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0" w:right="977"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东华软件股份公司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2"/>
          <w:szCs w:val="12"/>
        </w:rPr>
      </w:pPr>
    </w:p>
    <w:p>
      <w:pPr>
        <w:spacing w:line="3014" w:lineRule="exact"/>
        <w:ind w:left="3254"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2182060" cy="191414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182060" cy="1914144"/>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8"/>
        <w:rPr>
          <w:rFonts w:ascii="宋体" w:hAnsi="宋体" w:cs="宋体" w:eastAsia="宋体" w:hint="default"/>
          <w:b/>
          <w:bCs/>
          <w:sz w:val="46"/>
          <w:szCs w:val="46"/>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34"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公司负责人薛向东、主管会计工作负责人叶莉及会计机构负责人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初美伶声明：保证年度报告中财务报告的真实、准确、完整。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本报告中所涉及未来的经营计划和经营目标，并不代表公司的盈利预测，</w:t>
      </w:r>
      <w:r>
        <w:rPr>
          <w:rFonts w:ascii="宋体" w:hAnsi="宋体" w:cs="宋体" w:eastAsia="宋体" w:hint="default"/>
          <w:spacing w:val="3"/>
          <w:sz w:val="28"/>
          <w:szCs w:val="28"/>
        </w:rPr>
      </w:r>
    </w:p>
    <w:p>
      <w:pPr>
        <w:spacing w:line="410"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2"/>
          <w:w w:val="95"/>
          <w:sz w:val="28"/>
          <w:szCs w:val="28"/>
        </w:rPr>
        <w:t>也不构成公司对投资者的实质承诺，能否实现取决于市场状况变化等多种因素，</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z w:val="28"/>
          <w:szCs w:val="28"/>
        </w:rPr>
        <w:t>存在不确定性，请投资者注意投资风险。</w:t>
      </w:r>
      <w:r>
        <w:rPr>
          <w:rFonts w:ascii="宋体" w:hAnsi="宋体" w:cs="宋体" w:eastAsia="宋体" w:hint="default"/>
          <w:sz w:val="28"/>
          <w:szCs w:val="28"/>
        </w:rPr>
      </w:r>
    </w:p>
    <w:p>
      <w:pPr>
        <w:spacing w:line="386" w:lineRule="auto" w:before="158"/>
        <w:ind w:left="153" w:right="1133" w:firstLine="562"/>
        <w:jc w:val="both"/>
        <w:rPr>
          <w:rFonts w:ascii="宋体" w:hAnsi="宋体" w:cs="宋体" w:eastAsia="宋体" w:hint="default"/>
          <w:sz w:val="28"/>
          <w:szCs w:val="28"/>
        </w:rPr>
      </w:pPr>
      <w:r>
        <w:rPr>
          <w:rFonts w:ascii="宋体" w:hAnsi="宋体" w:cs="宋体" w:eastAsia="宋体" w:hint="default"/>
          <w:b/>
          <w:bCs/>
          <w:spacing w:val="11"/>
          <w:w w:val="95"/>
          <w:sz w:val="28"/>
          <w:szCs w:val="28"/>
        </w:rPr>
        <w:t>公司在本报告第四节</w:t>
      </w:r>
      <w:r>
        <w:rPr>
          <w:rFonts w:ascii="Times New Roman" w:hAnsi="Times New Roman" w:cs="Times New Roman" w:eastAsia="Times New Roman" w:hint="default"/>
          <w:b/>
          <w:bCs/>
          <w:spacing w:val="11"/>
          <w:w w:val="95"/>
          <w:sz w:val="28"/>
          <w:szCs w:val="28"/>
        </w:rPr>
        <w:t>“</w:t>
      </w:r>
      <w:r>
        <w:rPr>
          <w:rFonts w:ascii="宋体" w:hAnsi="宋体" w:cs="宋体" w:eastAsia="宋体" w:hint="default"/>
          <w:b/>
          <w:bCs/>
          <w:spacing w:val="11"/>
          <w:w w:val="95"/>
          <w:sz w:val="28"/>
          <w:szCs w:val="28"/>
        </w:rPr>
        <w:t>经营情况讨论与分析</w:t>
      </w:r>
      <w:r>
        <w:rPr>
          <w:rFonts w:ascii="Times New Roman" w:hAnsi="Times New Roman" w:cs="Times New Roman" w:eastAsia="Times New Roman" w:hint="default"/>
          <w:b/>
          <w:bCs/>
          <w:spacing w:val="11"/>
          <w:w w:val="95"/>
          <w:sz w:val="28"/>
          <w:szCs w:val="28"/>
        </w:rPr>
        <w:t>”</w:t>
      </w:r>
      <w:r>
        <w:rPr>
          <w:rFonts w:ascii="宋体" w:hAnsi="宋体" w:cs="宋体" w:eastAsia="宋体" w:hint="default"/>
          <w:b/>
          <w:bCs/>
          <w:spacing w:val="11"/>
          <w:w w:val="95"/>
          <w:sz w:val="28"/>
          <w:szCs w:val="28"/>
        </w:rPr>
        <w:t>中</w:t>
      </w:r>
      <w:r>
        <w:rPr>
          <w:rFonts w:ascii="Times New Roman" w:hAnsi="Times New Roman" w:cs="Times New Roman" w:eastAsia="Times New Roman" w:hint="default"/>
          <w:b/>
          <w:bCs/>
          <w:spacing w:val="11"/>
          <w:w w:val="95"/>
          <w:sz w:val="28"/>
          <w:szCs w:val="28"/>
        </w:rPr>
        <w:t>“</w:t>
      </w:r>
      <w:r>
        <w:rPr>
          <w:rFonts w:ascii="宋体" w:hAnsi="宋体" w:cs="宋体" w:eastAsia="宋体" w:hint="default"/>
          <w:b/>
          <w:bCs/>
          <w:spacing w:val="11"/>
          <w:w w:val="95"/>
          <w:sz w:val="28"/>
          <w:szCs w:val="28"/>
        </w:rPr>
        <w:t>公司未来发展的展望</w:t>
      </w:r>
      <w:r>
        <w:rPr>
          <w:rFonts w:ascii="Times New Roman" w:hAnsi="Times New Roman" w:cs="Times New Roman" w:eastAsia="Times New Roman" w:hint="default"/>
          <w:b/>
          <w:bCs/>
          <w:spacing w:val="11"/>
          <w:w w:val="95"/>
          <w:sz w:val="28"/>
          <w:szCs w:val="28"/>
        </w:rPr>
        <w:t>”</w:t>
      </w:r>
      <w:r>
        <w:rPr>
          <w:rFonts w:ascii="宋体" w:hAnsi="宋体" w:cs="宋体" w:eastAsia="宋体" w:hint="default"/>
          <w:b/>
          <w:bCs/>
          <w:spacing w:val="11"/>
          <w:w w:val="95"/>
          <w:sz w:val="28"/>
          <w:szCs w:val="28"/>
        </w:rPr>
        <w:t>部</w:t>
      </w:r>
      <w:r>
        <w:rPr>
          <w:rFonts w:ascii="宋体" w:hAnsi="宋体" w:cs="宋体" w:eastAsia="宋体" w:hint="default"/>
          <w:b/>
          <w:bCs/>
          <w:w w:val="99"/>
          <w:sz w:val="28"/>
          <w:szCs w:val="28"/>
        </w:rPr>
        <w:t> </w:t>
      </w:r>
      <w:r>
        <w:rPr>
          <w:rFonts w:ascii="宋体" w:hAnsi="宋体" w:cs="宋体" w:eastAsia="宋体" w:hint="default"/>
          <w:b/>
          <w:bCs/>
          <w:sz w:val="28"/>
          <w:szCs w:val="28"/>
        </w:rPr>
        <w:t>分，描述了公司未来经营中可能面临的风险以及</w:t>
      </w:r>
      <w:r>
        <w:rPr>
          <w:rFonts w:ascii="宋体" w:hAnsi="宋体" w:cs="宋体" w:eastAsia="宋体" w:hint="default"/>
          <w:b/>
          <w:bCs/>
          <w:spacing w:val="-89"/>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3"/>
          <w:sz w:val="28"/>
          <w:szCs w:val="28"/>
        </w:rPr>
        <w:t>年度经营计划，敬请广大</w:t>
      </w:r>
      <w:r>
        <w:rPr>
          <w:rFonts w:ascii="宋体" w:hAnsi="宋体" w:cs="宋体" w:eastAsia="宋体" w:hint="default"/>
          <w:b/>
          <w:bCs/>
          <w:w w:val="99"/>
          <w:sz w:val="28"/>
          <w:szCs w:val="28"/>
        </w:rPr>
        <w:t> </w:t>
      </w:r>
      <w:r>
        <w:rPr>
          <w:rFonts w:ascii="宋体" w:hAnsi="宋体" w:cs="宋体" w:eastAsia="宋体" w:hint="default"/>
          <w:b/>
          <w:bCs/>
          <w:sz w:val="28"/>
          <w:szCs w:val="28"/>
        </w:rPr>
        <w:t>投资者注意查阅。</w:t>
      </w:r>
      <w:r>
        <w:rPr>
          <w:rFonts w:ascii="宋体" w:hAnsi="宋体" w:cs="宋体" w:eastAsia="宋体" w:hint="default"/>
          <w:sz w:val="28"/>
          <w:szCs w:val="28"/>
        </w:rPr>
      </w:r>
    </w:p>
    <w:p>
      <w:pPr>
        <w:spacing w:before="185"/>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3,139,787,560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86" w:lineRule="auto"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192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北京兴华</w:t>
            </w:r>
            <w:r>
              <w:rPr>
                <w:rFonts w:ascii="Times New Roman" w:hAnsi="Times New Roman" w:cs="Times New Roman" w:eastAsia="Times New Roman" w:hint="default"/>
                <w:sz w:val="18"/>
                <w:szCs w:val="18"/>
              </w:rPr>
              <w:t>/</w:t>
            </w:r>
            <w:r>
              <w:rPr>
                <w:rFonts w:ascii="宋体" w:hAnsi="宋体" w:cs="宋体" w:eastAsia="宋体" w:hint="default"/>
                <w:sz w:val="18"/>
                <w:szCs w:val="18"/>
              </w:rPr>
              <w:t>审计</w:t>
            </w:r>
            <w:r>
              <w:rPr>
                <w:rFonts w:ascii="Times New Roman" w:hAnsi="Times New Roman" w:cs="Times New Roman" w:eastAsia="Times New Roman" w:hint="default"/>
                <w:sz w:val="18"/>
                <w:szCs w:val="18"/>
              </w:rPr>
              <w:t>/</w:t>
            </w:r>
            <w:r>
              <w:rPr>
                <w:rFonts w:ascii="宋体" w:hAnsi="宋体" w:cs="宋体" w:eastAsia="宋体" w:hint="default"/>
                <w:sz w:val="18"/>
                <w:szCs w:val="18"/>
              </w:rPr>
              <w:t>公司会计师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北京兴华会计师事务所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东华合创</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北京东华合创数码科技股份有限公司【发行人曾用名，</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日更名为东华软件股份公司】</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诚信电脑</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诚信投资</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5"/>
              <w:jc w:val="left"/>
              <w:rPr>
                <w:rFonts w:ascii="宋体" w:hAnsi="宋体" w:cs="宋体" w:eastAsia="宋体" w:hint="default"/>
                <w:sz w:val="18"/>
                <w:szCs w:val="18"/>
              </w:rPr>
            </w:pPr>
            <w:r>
              <w:rPr>
                <w:rFonts w:ascii="宋体" w:hAnsi="宋体" w:cs="宋体" w:eastAsia="宋体" w:hint="default"/>
                <w:spacing w:val="-4"/>
                <w:sz w:val="18"/>
                <w:szCs w:val="18"/>
              </w:rPr>
              <w:t>北京东华诚信工业设备中心（有限合伙）【</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日更名为北 京东华诚信投资管理中心（有限合伙）</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合创电商</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北京合创电商投资顾问有限公</w:t>
            </w:r>
            <w:r>
              <w:rPr>
                <w:rFonts w:ascii="宋体" w:hAnsi="宋体" w:cs="宋体" w:eastAsia="宋体" w:hint="default"/>
                <w:spacing w:val="-77"/>
                <w:sz w:val="18"/>
                <w:szCs w:val="18"/>
              </w:rPr>
              <w:t>司</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日更</w:t>
            </w:r>
            <w:r>
              <w:rPr>
                <w:rFonts w:ascii="宋体" w:hAnsi="宋体" w:cs="宋体" w:eastAsia="宋体" w:hint="default"/>
                <w:spacing w:val="1"/>
                <w:sz w:val="18"/>
                <w:szCs w:val="18"/>
              </w:rPr>
              <w:t>名</w:t>
            </w:r>
            <w:r>
              <w:rPr>
                <w:rFonts w:ascii="宋体" w:hAnsi="宋体" w:cs="宋体" w:eastAsia="宋体" w:hint="default"/>
                <w:sz w:val="18"/>
                <w:szCs w:val="18"/>
              </w:rPr>
              <w:t>为北京合创</w:t>
            </w:r>
            <w:r>
              <w:rPr>
                <w:rFonts w:ascii="宋体" w:hAnsi="宋体" w:cs="宋体" w:eastAsia="宋体" w:hint="default"/>
                <w:sz w:val="18"/>
                <w:szCs w:val="18"/>
              </w:rPr>
              <w:t> 电商投资顾问中心（有限合伙</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合创科技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r>
      <w:tr>
        <w:trPr>
          <w:trHeight w:val="161" w:hRule="exact"/>
        </w:trPr>
        <w:tc>
          <w:tcPr>
            <w:tcW w:w="3525"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广州东华</w:t>
            </w:r>
          </w:p>
        </w:tc>
        <w:tc>
          <w:tcPr>
            <w:tcW w:w="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宋体" w:hAnsi="宋体" w:cs="宋体" w:eastAsia="宋体" w:hint="default"/>
                <w:spacing w:val="-5"/>
                <w:sz w:val="18"/>
                <w:szCs w:val="18"/>
              </w:rPr>
              <w:t>广州东华合创数码科技有限公司【</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日更名为广州东华软 件有限公司】</w:t>
            </w:r>
          </w:p>
        </w:tc>
      </w:tr>
      <w:tr>
        <w:trPr>
          <w:trHeight w:val="392" w:hRule="exact"/>
        </w:trPr>
        <w:tc>
          <w:tcPr>
            <w:tcW w:w="3525" w:type="dxa"/>
            <w:vMerge/>
            <w:tcBorders>
              <w:left w:val="single" w:sz="4" w:space="0" w:color="000000"/>
              <w:right w:val="single" w:sz="9" w:space="0" w:color="D2D2D2"/>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25" w:type="dxa"/>
            <w:vMerge/>
            <w:tcBorders>
              <w:left w:val="single" w:sz="4" w:space="0" w:color="000000"/>
              <w:bottom w:val="single" w:sz="4" w:space="0" w:color="000000"/>
              <w:right w:val="single" w:sz="9" w:space="0" w:color="D2D2D2"/>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联银通科技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泰安东华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东华软件工程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厚盾科技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东华软件技术有限公司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厚盾软件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东华易时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神州新桥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普林科技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东华信息技术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东华医为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东华软件开发有限公司【</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日更名为东华医为科技有限</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东华博雅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天津东华博雅软件股份有限公司【</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日更名为东华博雅 软件股份有限公司】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东华星联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东华云计算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东华云计算有限公司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光明数据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北京光明数据信息技术有限公司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威锐达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北京威锐达测控系统有限公司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兰州东华软件有限公司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东华智慧城市</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东华智慧城市股份有限公司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至高通信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博育云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东华博育云有限公司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内蒙古东华软件有限公司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合力东华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合力东华（北京）科技有限公司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万兴软件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东华网络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东华网络股份公司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苏州东华软件科技有限公司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互联宜家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威海东华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东华软件威海有限公司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海南东华软件有限公司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智中能源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北京东华智中能源互联网科技有限公司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吉林省东华软件信息工程有限公司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华金在线</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华金在线股份公司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东华福蝉</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北京东华福蝉信息技术有限公司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贵州东华云数据科技有限责任公司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东华金云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东华金云网络股份公司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东华冀通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河北东华冀通软件有限公司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东华科创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南京东华科创信息技术有限公司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东华云信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三亚东华云信数据服务有限公司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郑州东华诚信软件有限公司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云南东合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云南东合数据信息技术有限公司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广西东华云数据科技有限公司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东华炜如</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福州东华炜如数码科技有限公司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国能智研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北京国能智研信息科技有限公司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安徽五星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安徽五星食品股份有限公司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中科前程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成都高新区中科前程科技有限公司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海南银行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海南银行股份有限公司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首创金服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北京首创金融资产交易信息服务股份有限公司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南大通用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天津南大通用技术股份有限公司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瑞客东华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瑞客东华转化医学研究中心有限公司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览海投资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览海医疗产业投资股份有限公司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DHCSA</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DHC Software Australia Pty</w:t>
            </w:r>
            <w:r>
              <w:rPr>
                <w:rFonts w:ascii="Times New Roman"/>
                <w:spacing w:val="-17"/>
                <w:sz w:val="18"/>
              </w:rPr>
              <w:t> </w:t>
            </w:r>
            <w:r>
              <w:rPr>
                <w:rFonts w:ascii="Times New Roman"/>
                <w:sz w:val="18"/>
              </w:rPr>
              <w:t>Ltd</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东华软件股份公司章程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发改委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04183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东华软件</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002065</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东华软件</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DHC Software</w:t>
            </w:r>
            <w:r>
              <w:rPr>
                <w:rFonts w:ascii="Times New Roman"/>
                <w:spacing w:val="-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DHCC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薛向东</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http://www.dhcc.com.cn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strongyang@dhcc.com.cn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张雯</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010-62662188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010-62662188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010-62662299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010-62662299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strongyang@dhcc.com.cn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zhangwen_cw@dhcc.com.cn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北京市海淀区紫金数码园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r>
        <w:rPr/>
        <w:pict>
          <v:shape style="position:absolute;margin-left:110.757004pt;margin-top:636.940002pt;width:101.7pt;height:15.6pt;mso-position-horizontal-relative:page;mso-position-vertical-relative:page;z-index:-1041808" type="#_x0000_t202" filled="false" stroked="false">
            <v:textbox inset="0,0,0,0">
              <w:txbxContent>
                <w:p>
                  <w:pPr>
                    <w:pStyle w:val="BodyText"/>
                    <w:spacing w:line="208" w:lineRule="exact"/>
                    <w:ind w:left="0" w:right="0"/>
                    <w:jc w:val="left"/>
                  </w:pPr>
                  <w:r>
                    <w:rPr/>
                    <w:t>（元）</w:t>
                  </w:r>
                </w:p>
              </w:txbxContent>
            </v:textbox>
            <w10:wrap type="none"/>
          </v:shape>
        </w:pict>
      </w:r>
      <w:r>
        <w:rPr/>
        <w:pict>
          <v:group style="position:absolute;margin-left:134.960007pt;margin-top:636.940002pt;width:77.5pt;height:15.6pt;mso-position-horizontal-relative:page;mso-position-vertical-relative:page;z-index:-1041784" coordorigin="2699,12739" coordsize="1550,312">
            <v:shape style="position:absolute;left:2699;top:12739;width:1550;height:312" coordorigin="2699,12739" coordsize="1550,312" path="m2699,13051l4248,13051,4248,12739,2699,12739,2699,13051xe" filled="true" fillcolor="#ffffff" stroked="false">
              <v:path arrowok="t"/>
              <v:fill type="solid"/>
            </v:shape>
            <w10:wrap type="none"/>
          </v:group>
        </w:pict>
      </w: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房间</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叶民、叶立萍</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348" w:lineRule="auto" w:before="116"/>
        <w:ind w:right="9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追溯调整或重述原因 其他原因</w:t>
      </w:r>
    </w:p>
    <w:tbl>
      <w:tblPr>
        <w:tblW w:w="0" w:type="auto"/>
        <w:jc w:val="left"/>
        <w:tblInd w:w="160" w:type="dxa"/>
        <w:tblLayout w:type="fixed"/>
        <w:tblCellMar>
          <w:top w:w="0" w:type="dxa"/>
          <w:left w:w="0" w:type="dxa"/>
          <w:bottom w:w="0" w:type="dxa"/>
          <w:right w:w="0" w:type="dxa"/>
        </w:tblCellMar>
        <w:tblLook w:val="01E0"/>
      </w:tblPr>
      <w:tblGrid>
        <w:gridCol w:w="1538"/>
        <w:gridCol w:w="245"/>
        <w:gridCol w:w="1326"/>
        <w:gridCol w:w="1418"/>
        <w:gridCol w:w="1418"/>
        <w:gridCol w:w="991"/>
        <w:gridCol w:w="1420"/>
        <w:gridCol w:w="1416"/>
      </w:tblGrid>
      <w:tr>
        <w:trPr>
          <w:trHeight w:val="161" w:hRule="exact"/>
        </w:trPr>
        <w:tc>
          <w:tcPr>
            <w:tcW w:w="1538" w:type="dxa"/>
            <w:vMerge w:val="restart"/>
            <w:tcBorders>
              <w:top w:val="single" w:sz="4" w:space="0" w:color="000000"/>
              <w:left w:val="single" w:sz="4" w:space="0" w:color="000000"/>
              <w:right w:val="single" w:sz="4" w:space="0" w:color="000000"/>
            </w:tcBorders>
            <w:shd w:val="clear" w:color="auto" w:fill="D2D2D2"/>
          </w:tcPr>
          <w:p>
            <w:pPr/>
          </w:p>
        </w:tc>
        <w:tc>
          <w:tcPr>
            <w:tcW w:w="1570" w:type="dxa"/>
            <w:gridSpan w:val="2"/>
            <w:vMerge w:val="restart"/>
            <w:tcBorders>
              <w:top w:val="single" w:sz="4" w:space="0" w:color="000000"/>
              <w:left w:val="single" w:sz="4" w:space="0" w:color="000000"/>
              <w:right w:val="single" w:sz="4" w:space="0" w:color="000000"/>
            </w:tcBorders>
            <w:shd w:val="clear" w:color="auto" w:fill="D2D2D2"/>
          </w:tcPr>
          <w:p>
            <w:pPr/>
          </w:p>
        </w:tc>
        <w:tc>
          <w:tcPr>
            <w:tcW w:w="283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0" w:right="38"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836"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570" w:type="dxa"/>
            <w:gridSpan w:val="2"/>
            <w:vMerge/>
            <w:tcBorders>
              <w:left w:val="single" w:sz="4" w:space="0" w:color="000000"/>
              <w:bottom w:val="nil" w:sz="6" w:space="0" w:color="auto"/>
              <w:right w:val="single" w:sz="4" w:space="0" w:color="000000"/>
            </w:tcBorders>
            <w:shd w:val="clear" w:color="auto" w:fill="D2D2D2"/>
          </w:tcPr>
          <w:p>
            <w:pPr/>
          </w:p>
        </w:tc>
        <w:tc>
          <w:tcPr>
            <w:tcW w:w="283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1" w:type="dxa"/>
            <w:vMerge/>
            <w:tcBorders>
              <w:left w:val="single" w:sz="4" w:space="0" w:color="000000"/>
              <w:right w:val="single" w:sz="4" w:space="0" w:color="000000"/>
            </w:tcBorders>
            <w:shd w:val="clear" w:color="auto" w:fill="D2D2D2"/>
          </w:tcPr>
          <w:p>
            <w:pPr/>
          </w:p>
        </w:tc>
        <w:tc>
          <w:tcPr>
            <w:tcW w:w="283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157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6" w:type="dxa"/>
            <w:gridSpan w:val="2"/>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2836"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570" w:type="dxa"/>
            <w:gridSpan w:val="2"/>
            <w:vMerge/>
            <w:tcBorders>
              <w:left w:val="single" w:sz="4" w:space="0" w:color="000000"/>
              <w:bottom w:val="nil" w:sz="6" w:space="0" w:color="auto"/>
              <w:right w:val="single" w:sz="4" w:space="0" w:color="000000"/>
            </w:tcBorders>
            <w:shd w:val="clear" w:color="auto" w:fill="D2D2D2"/>
          </w:tcPr>
          <w:p>
            <w:pPr/>
          </w:p>
        </w:tc>
        <w:tc>
          <w:tcPr>
            <w:tcW w:w="283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2836"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7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70" w:right="0"/>
              <w:jc w:val="left"/>
              <w:rPr>
                <w:rFonts w:ascii="Times New Roman" w:hAnsi="Times New Roman" w:cs="Times New Roman" w:eastAsia="Times New Roman" w:hint="default"/>
                <w:sz w:val="18"/>
                <w:szCs w:val="18"/>
              </w:rPr>
            </w:pPr>
            <w:r>
              <w:rPr>
                <w:rFonts w:ascii="Times New Roman"/>
                <w:sz w:val="18"/>
              </w:rPr>
              <w:t>7,290,128,453.42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6,476,747,733.49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6,476,747,733.49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5,629,416,583.02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5,629,416,583.02</w:t>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4"/>
              <w:jc w:val="left"/>
              <w:rPr>
                <w:rFonts w:ascii="宋体" w:hAnsi="宋体" w:cs="宋体" w:eastAsia="宋体" w:hint="default"/>
                <w:sz w:val="18"/>
                <w:szCs w:val="18"/>
              </w:rPr>
            </w:pPr>
            <w:r>
              <w:rPr>
                <w:rFonts w:ascii="宋体" w:hAnsi="宋体" w:cs="宋体" w:eastAsia="宋体" w:hint="default"/>
                <w:sz w:val="18"/>
                <w:szCs w:val="18"/>
              </w:rPr>
              <w:t>归属于上市公司股 东的净利润（元）</w:t>
            </w:r>
          </w:p>
        </w:tc>
        <w:tc>
          <w:tcPr>
            <w:tcW w:w="157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663,799,645.53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899,647,231.24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899,647,231.24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-26.22%</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1,141,878,403.18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1,141,878,403.18</w:t>
            </w:r>
          </w:p>
        </w:tc>
      </w:tr>
      <w:tr>
        <w:trPr>
          <w:trHeight w:val="1026"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4"/>
              <w:jc w:val="both"/>
              <w:rPr>
                <w:rFonts w:ascii="宋体" w:hAnsi="宋体" w:cs="宋体" w:eastAsia="宋体" w:hint="default"/>
                <w:sz w:val="18"/>
                <w:szCs w:val="18"/>
              </w:rPr>
            </w:pPr>
            <w:r>
              <w:rPr>
                <w:rFonts w:ascii="宋体" w:hAnsi="宋体" w:cs="宋体" w:eastAsia="宋体" w:hint="default"/>
                <w:sz w:val="18"/>
                <w:szCs w:val="18"/>
              </w:rPr>
              <w:t>归属于上市公司股 东的扣除非经常性 损益的净利润</w:t>
            </w:r>
          </w:p>
        </w:tc>
        <w:tc>
          <w:tcPr>
            <w:tcW w:w="245" w:type="dxa"/>
            <w:tcBorders>
              <w:top w:val="single" w:sz="4" w:space="0" w:color="000000"/>
              <w:left w:val="single" w:sz="9" w:space="0" w:color="D2D2D2"/>
              <w:bottom w:val="single" w:sz="4" w:space="0" w:color="000000"/>
              <w:right w:val="nil" w:sz="6" w:space="0" w:color="auto"/>
            </w:tcBorders>
          </w:tcPr>
          <w:p>
            <w:pPr/>
          </w:p>
        </w:tc>
        <w:tc>
          <w:tcPr>
            <w:tcW w:w="132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304,804,425.64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733,256,861.71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733,256,861.71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936,583,557.45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936,583,557.45</w:t>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4"/>
              <w:jc w:val="left"/>
              <w:rPr>
                <w:rFonts w:ascii="宋体" w:hAnsi="宋体" w:cs="宋体" w:eastAsia="宋体" w:hint="default"/>
                <w:sz w:val="18"/>
                <w:szCs w:val="18"/>
              </w:rPr>
            </w:pPr>
            <w:r>
              <w:rPr>
                <w:rFonts w:ascii="宋体" w:hAnsi="宋体" w:cs="宋体" w:eastAsia="宋体" w:hint="default"/>
                <w:sz w:val="18"/>
                <w:szCs w:val="18"/>
              </w:rPr>
              <w:t>经营活动产生的现 金流量净额（元）</w:t>
            </w:r>
          </w:p>
        </w:tc>
        <w:tc>
          <w:tcPr>
            <w:tcW w:w="157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167,677,716.04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-501,109,930.09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-501,109,930.09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133.46%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-34,556,857.73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-34,556,857.73</w:t>
            </w:r>
          </w:p>
        </w:tc>
      </w:tr>
      <w:tr>
        <w:trPr>
          <w:trHeight w:val="75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w:t>
            </w:r>
          </w:p>
          <w:p>
            <w:pPr>
              <w:pStyle w:val="TableParagraph"/>
              <w:spacing w:line="240" w:lineRule="auto" w:before="117"/>
              <w:ind w:left="11"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0.2114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-26.21%</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0.3708</w:t>
            </w:r>
          </w:p>
        </w:tc>
      </w:tr>
      <w:tr>
        <w:trPr>
          <w:trHeight w:val="755"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w:t>
            </w:r>
          </w:p>
          <w:p>
            <w:pPr>
              <w:pStyle w:val="TableParagraph"/>
              <w:spacing w:line="240" w:lineRule="auto" w:before="116"/>
              <w:ind w:left="11"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0.2114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-26.21%</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0.7397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49"/>
        <w:gridCol w:w="1559"/>
        <w:gridCol w:w="1418"/>
        <w:gridCol w:w="1418"/>
        <w:gridCol w:w="991"/>
        <w:gridCol w:w="1420"/>
        <w:gridCol w:w="1416"/>
      </w:tblGrid>
      <w:tr>
        <w:trPr>
          <w:trHeight w:val="754"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11" w:right="267"/>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15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15.28%</w:t>
            </w:r>
          </w:p>
        </w:tc>
      </w:tr>
      <w:tr>
        <w:trPr>
          <w:trHeight w:val="162" w:hRule="exact"/>
        </w:trPr>
        <w:tc>
          <w:tcPr>
            <w:tcW w:w="1549"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
        </w:tc>
        <w:tc>
          <w:tcPr>
            <w:tcW w:w="283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30" w:right="38"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836"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283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1" w:type="dxa"/>
            <w:vMerge/>
            <w:tcBorders>
              <w:left w:val="single" w:sz="4" w:space="0" w:color="000000"/>
              <w:right w:val="single" w:sz="4" w:space="0" w:color="000000"/>
            </w:tcBorders>
            <w:shd w:val="clear" w:color="auto" w:fill="D2D2D2"/>
          </w:tcPr>
          <w:p>
            <w:pPr/>
          </w:p>
        </w:tc>
        <w:tc>
          <w:tcPr>
            <w:tcW w:w="283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1549" w:type="dxa"/>
            <w:vMerge w:val="restart"/>
            <w:tcBorders>
              <w:top w:val="nil" w:sz="6" w:space="0" w:color="auto"/>
              <w:left w:val="single" w:sz="4" w:space="0" w:color="000000"/>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36" w:type="dxa"/>
            <w:gridSpan w:val="2"/>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2836" w:type="dxa"/>
            <w:gridSpan w:val="2"/>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283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2836"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14,154,048,899.04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12,428,188,875.83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12,428,188,875.83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13.89%</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11,156,713,729.02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11,156,713,729.02</w:t>
            </w:r>
          </w:p>
        </w:tc>
      </w:tr>
      <w:tr>
        <w:trPr>
          <w:trHeight w:val="715"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5"/>
              <w:jc w:val="left"/>
              <w:rPr>
                <w:rFonts w:ascii="宋体" w:hAnsi="宋体" w:cs="宋体" w:eastAsia="宋体" w:hint="default"/>
                <w:sz w:val="18"/>
                <w:szCs w:val="18"/>
              </w:rPr>
            </w:pPr>
            <w:r>
              <w:rPr>
                <w:rFonts w:ascii="宋体" w:hAnsi="宋体" w:cs="宋体" w:eastAsia="宋体" w:hint="default"/>
                <w:sz w:val="18"/>
                <w:szCs w:val="18"/>
              </w:rPr>
              <w:t>归属于上市公司股 东的净资产（元）</w:t>
            </w:r>
          </w:p>
        </w:tc>
        <w:tc>
          <w:tcPr>
            <w:tcW w:w="15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8,894,807,143.21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8,782,567,390.96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8,782,567,390.96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8,503,772,488.42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8,503,772,488.42</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1,280,519,945.97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1,238,329,975.49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1,708,991,531.47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3,062,287,000.49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466,758,800.88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145,858,557.31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287,723,127.38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-236,540,840.04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128,413,491.19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125,271,348.08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285,730,619.24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-234,611,032.87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-570,480,539.54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111,405,470.62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18,774,172.24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607,978,612.72</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12,383,097.54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23,601,895.73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6" w:right="0"/>
              <w:jc w:val="left"/>
              <w:rPr>
                <w:rFonts w:ascii="Times New Roman" w:hAnsi="Times New Roman" w:cs="Times New Roman" w:eastAsia="Times New Roman" w:hint="default"/>
                <w:sz w:val="18"/>
                <w:szCs w:val="18"/>
              </w:rPr>
            </w:pPr>
            <w:r>
              <w:rPr>
                <w:rFonts w:ascii="Times New Roman"/>
                <w:sz w:val="18"/>
              </w:rPr>
              <w:t>-13,211.78</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32,516,542.21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55,037,999.04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25,861,152.29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205,416.67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359,319,234.85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100,718,452.00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202,226,916.31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-5,866,114.44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2,101,649.14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993,602.06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-685,393.26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4,304,314.80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37,659,465.95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17,408,151.03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23,418,507.47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1,012,681.06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2,171,206.82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355,105.68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358,995,219.89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166,390,369.53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205,294,845.73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Heading6"/>
        <w:spacing w:line="240" w:lineRule="auto" w:before="105"/>
        <w:ind w:left="508" w:right="0"/>
        <w:jc w:val="left"/>
        <w:rPr>
          <w:b w:val="0"/>
          <w:bCs w:val="0"/>
        </w:rPr>
      </w:pPr>
      <w:r>
        <w:rPr/>
        <w:t>（一）公司从事的主要业务</w:t>
      </w:r>
      <w:r>
        <w:rPr>
          <w:b w:val="0"/>
          <w:bCs w:val="0"/>
        </w:rPr>
      </w:r>
    </w:p>
    <w:p>
      <w:pPr>
        <w:spacing w:line="240" w:lineRule="auto" w:before="0"/>
        <w:rPr>
          <w:rFonts w:ascii="宋体" w:hAnsi="宋体" w:cs="宋体" w:eastAsia="宋体" w:hint="default"/>
          <w:b/>
          <w:bCs/>
          <w:sz w:val="15"/>
          <w:szCs w:val="15"/>
        </w:rPr>
      </w:pPr>
    </w:p>
    <w:p>
      <w:pPr>
        <w:pStyle w:val="BodyText"/>
        <w:spacing w:line="312" w:lineRule="auto"/>
        <w:ind w:left="154" w:right="1032" w:firstLine="360"/>
        <w:jc w:val="left"/>
      </w:pPr>
      <w:r>
        <w:rPr>
          <w:spacing w:val="-2"/>
        </w:rPr>
        <w:t>公司成立于</w:t>
      </w:r>
      <w:r>
        <w:rPr>
          <w:rFonts w:ascii="Times New Roman" w:hAnsi="Times New Roman" w:cs="Times New Roman" w:eastAsia="Times New Roman" w:hint="default"/>
          <w:spacing w:val="-2"/>
        </w:rPr>
        <w:t>2001</w:t>
      </w:r>
      <w:r>
        <w:rPr>
          <w:spacing w:val="-2"/>
        </w:rPr>
        <w:t>年，专注于综合性行业应用软件开发、计算机信息系统集成和信息技术服务，为客户持续提供行业整体</w:t>
      </w:r>
      <w:r>
        <w:rPr/>
        <w:t> </w:t>
      </w:r>
      <w:r>
        <w:rPr>
          <w:spacing w:val="-2"/>
        </w:rPr>
        <w:t>解决方案和长期信息化服务。经过长期努力地发展，公司积累了丰富的技术与客户资源，实施了大量成功案例，赢得了良好</w:t>
      </w:r>
      <w:r>
        <w:rPr>
          <w:spacing w:val="-66"/>
        </w:rPr>
        <w:t> </w:t>
      </w:r>
      <w:r>
        <w:rPr>
          <w:spacing w:val="-66"/>
        </w:rPr>
      </w:r>
      <w:r>
        <w:rPr/>
        <w:t>的业界口碑。公司的应用软件、行业解决方案及技术服务已广泛应用于医疗、金融、电力、政府、通讯、运输物流等行业。 公司的主要产品及服务包括：</w:t>
      </w:r>
    </w:p>
    <w:p>
      <w:pPr>
        <w:pStyle w:val="BodyText"/>
        <w:spacing w:line="432" w:lineRule="exact" w:before="7"/>
        <w:ind w:left="514" w:right="0" w:hanging="6"/>
        <w:jc w:val="left"/>
      </w:pPr>
      <w:r>
        <w:rPr>
          <w:rFonts w:ascii="Times New Roman" w:hAnsi="Times New Roman" w:cs="Times New Roman" w:eastAsia="Times New Roman" w:hint="default"/>
          <w:b/>
          <w:bCs/>
        </w:rPr>
        <w:t>1</w:t>
      </w:r>
      <w:r>
        <w:rPr>
          <w:rFonts w:ascii="宋体" w:hAnsi="宋体" w:cs="宋体" w:eastAsia="宋体" w:hint="default"/>
          <w:b/>
          <w:bCs/>
        </w:rPr>
        <w:t>、应用软件开发</w:t>
      </w:r>
      <w:r>
        <w:rPr>
          <w:rFonts w:ascii="宋体" w:hAnsi="宋体" w:cs="宋体" w:eastAsia="宋体" w:hint="default"/>
          <w:b/>
          <w:bCs/>
          <w:w w:val="99"/>
        </w:rPr>
        <w:t> </w:t>
      </w:r>
      <w:r>
        <w:rPr>
          <w:spacing w:val="-2"/>
        </w:rPr>
        <w:t>应用软件开发业务主要是公司基于成熟的软件开发管理体系，根据对不同行业客户的深度理解开发出不同行业的系列软</w:t>
      </w:r>
    </w:p>
    <w:p>
      <w:pPr>
        <w:pStyle w:val="BodyText"/>
        <w:spacing w:line="314" w:lineRule="auto" w:before="15"/>
        <w:ind w:right="1132"/>
        <w:jc w:val="both"/>
      </w:pPr>
      <w:r>
        <w:rPr>
          <w:spacing w:val="-2"/>
        </w:rPr>
        <w:t>件，每种系列软件产品又包含若干细分软件产品。公司的软件开发模式包括自主软件开发和定制软件开发。前者是公司基于</w:t>
      </w:r>
      <w:r>
        <w:rPr>
          <w:spacing w:val="-66"/>
        </w:rPr>
        <w:t> </w:t>
      </w:r>
      <w:r>
        <w:rPr>
          <w:spacing w:val="-66"/>
        </w:rPr>
      </w:r>
      <w:r>
        <w:rPr>
          <w:spacing w:val="-2"/>
        </w:rPr>
        <w:t>市场需求和技术发展趋势，结合对过往项目经验的提炼和总结而开发的标准化、通用的软件产品；后者则是以客户的个性化</w:t>
      </w:r>
      <w:r>
        <w:rPr>
          <w:spacing w:val="-66"/>
        </w:rPr>
        <w:t> </w:t>
      </w:r>
      <w:r>
        <w:rPr>
          <w:spacing w:val="-66"/>
        </w:rPr>
      </w:r>
      <w:r>
        <w:rPr>
          <w:spacing w:val="-2"/>
        </w:rPr>
        <w:t>需求为导向，以公司现有应用系统架构为基础而进行的软件开发。公司的应用软件开发业务主要产品及服务包括：商业银行</w:t>
      </w:r>
      <w:r>
        <w:rPr>
          <w:spacing w:val="-66"/>
        </w:rPr>
        <w:t> </w:t>
      </w:r>
      <w:r>
        <w:rPr>
          <w:spacing w:val="-66"/>
        </w:rPr>
      </w:r>
      <w:r>
        <w:rPr/>
        <w:t>业务集成平台、智能物流系统、</w:t>
      </w:r>
      <w:r>
        <w:rPr>
          <w:rFonts w:ascii="Times New Roman" w:hAnsi="Times New Roman" w:cs="Times New Roman" w:eastAsia="Times New Roman" w:hint="default"/>
        </w:rPr>
        <w:t>DRGs</w:t>
      </w:r>
      <w:r>
        <w:rPr/>
        <w:t>医保支付系统、医院信息平台、东华智慧教育服务平台、流量管理系统、桌面安全管 理系统、厚盾全面预算管理平台等。</w:t>
      </w:r>
    </w:p>
    <w:p>
      <w:pPr>
        <w:pStyle w:val="BodyText"/>
        <w:spacing w:line="432" w:lineRule="exact" w:before="5"/>
        <w:ind w:left="514" w:right="0" w:hanging="6"/>
        <w:jc w:val="left"/>
      </w:pPr>
      <w:r>
        <w:rPr>
          <w:rFonts w:ascii="Times New Roman" w:hAnsi="Times New Roman" w:cs="Times New Roman" w:eastAsia="Times New Roman" w:hint="default"/>
          <w:b/>
          <w:bCs/>
        </w:rPr>
        <w:t>2</w:t>
      </w:r>
      <w:r>
        <w:rPr>
          <w:rFonts w:ascii="宋体" w:hAnsi="宋体" w:cs="宋体" w:eastAsia="宋体" w:hint="default"/>
          <w:b/>
          <w:bCs/>
        </w:rPr>
        <w:t>、计算机信息系统集成</w:t>
      </w:r>
      <w:r>
        <w:rPr>
          <w:rFonts w:ascii="宋体" w:hAnsi="宋体" w:cs="宋体" w:eastAsia="宋体" w:hint="default"/>
          <w:b/>
          <w:bCs/>
          <w:w w:val="99"/>
        </w:rPr>
        <w:t> </w:t>
      </w:r>
      <w:r>
        <w:rPr>
          <w:spacing w:val="-2"/>
        </w:rPr>
        <w:t>计算机信息系统集成业务主要是公司据客户的业务需求，为客户设计和升级提供咨询规划、</w:t>
      </w:r>
      <w:r>
        <w:rPr>
          <w:rFonts w:ascii="Times New Roman" w:hAnsi="Times New Roman" w:cs="Times New Roman" w:eastAsia="Times New Roman" w:hint="default"/>
          <w:spacing w:val="-2"/>
        </w:rPr>
        <w:t>IT</w:t>
      </w:r>
      <w:r>
        <w:rPr>
          <w:spacing w:val="-2"/>
        </w:rPr>
        <w:t>系统架构设计、软硬件选</w:t>
      </w:r>
    </w:p>
    <w:p>
      <w:pPr>
        <w:pStyle w:val="BodyText"/>
        <w:spacing w:line="312" w:lineRule="auto" w:before="15"/>
        <w:ind w:right="1129"/>
        <w:jc w:val="both"/>
      </w:pPr>
      <w:r>
        <w:rPr>
          <w:spacing w:val="-2"/>
        </w:rPr>
        <w:t>型与集成，将相关的软硬件有机地结合在一起。公司自设立以来长期从事软硬件销售业务，对于软硬件的性能、安装实施环</w:t>
      </w:r>
      <w:r>
        <w:rPr>
          <w:spacing w:val="-66"/>
        </w:rPr>
        <w:t> </w:t>
      </w:r>
      <w:r>
        <w:rPr>
          <w:spacing w:val="-66"/>
        </w:rPr>
      </w:r>
      <w:r>
        <w:rPr>
          <w:spacing w:val="-2"/>
        </w:rPr>
        <w:t>境、获取渠道、调试方法极为熟悉，辅以核心技术人员的设计方案，形成了设计规划、实施、技术支持以及运行维护完整的</w:t>
      </w:r>
      <w:r>
        <w:rPr>
          <w:spacing w:val="-68"/>
        </w:rPr>
        <w:t> </w:t>
      </w:r>
      <w:r>
        <w:rPr>
          <w:spacing w:val="-68"/>
        </w:rPr>
      </w:r>
      <w:r>
        <w:rPr/>
        <w:t>系统集成能力。公司的计算机系统集成业务主要产品及服务包括</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网络工程、数据储存与容灾、信息安全、智能建筑、远程 会议、安防系统等。</w:t>
      </w:r>
    </w:p>
    <w:p>
      <w:pPr>
        <w:pStyle w:val="BodyText"/>
        <w:spacing w:line="432" w:lineRule="exact" w:before="7"/>
        <w:ind w:left="514" w:right="0" w:hanging="6"/>
        <w:jc w:val="left"/>
      </w:pPr>
      <w:r>
        <w:rPr>
          <w:rFonts w:ascii="Times New Roman" w:hAnsi="Times New Roman" w:cs="Times New Roman" w:eastAsia="Times New Roman" w:hint="default"/>
          <w:b/>
          <w:bCs/>
        </w:rPr>
        <w:t>3</w:t>
      </w:r>
      <w:r>
        <w:rPr>
          <w:rFonts w:ascii="宋体" w:hAnsi="宋体" w:cs="宋体" w:eastAsia="宋体" w:hint="default"/>
          <w:b/>
          <w:bCs/>
        </w:rPr>
        <w:t>、信息技术服务</w:t>
      </w:r>
      <w:r>
        <w:rPr>
          <w:rFonts w:ascii="宋体" w:hAnsi="宋体" w:cs="宋体" w:eastAsia="宋体" w:hint="default"/>
          <w:b/>
          <w:bCs/>
          <w:w w:val="99"/>
        </w:rPr>
        <w:t> </w:t>
      </w:r>
      <w:r>
        <w:rPr>
          <w:spacing w:val="-2"/>
        </w:rPr>
        <w:t>信息技术服务业务主要是为客户提供系统解决方案及相关产品后，为客户提供长期的系统维护。公司的运维服务能力是</w:t>
      </w:r>
    </w:p>
    <w:p>
      <w:pPr>
        <w:pStyle w:val="BodyText"/>
        <w:spacing w:line="312" w:lineRule="auto" w:before="15"/>
        <w:ind w:right="1033"/>
        <w:jc w:val="left"/>
      </w:pPr>
      <w:r>
        <w:rPr/>
        <w:t>建立在公司已有的技术基础上。公司拥有科学的服务质量保证和交付管理体系，公司通过客户热线、定期巡检、远程诊断、 </w:t>
      </w:r>
      <w:r>
        <w:rPr>
          <w:spacing w:val="-2"/>
        </w:rPr>
        <w:t>现场支持、常驻外派、预约值守等各种手段，保证了客户系统的稳定运行。在免费维护期之后，公司与客户签订系统维护服</w:t>
      </w:r>
      <w:r>
        <w:rPr>
          <w:spacing w:val="-66"/>
        </w:rPr>
        <w:t> </w:t>
      </w:r>
      <w:r>
        <w:rPr>
          <w:spacing w:val="-66"/>
        </w:rPr>
      </w:r>
      <w:r>
        <w:rPr>
          <w:spacing w:val="-2"/>
        </w:rPr>
        <w:t>务合同，根据服务支持的内容和方式收取不同等级的费用。公司的信息技术服务业务主要产品及服务包括：</w:t>
      </w:r>
      <w:r>
        <w:rPr>
          <w:rFonts w:ascii="Times New Roman" w:hAnsi="Times New Roman" w:cs="Times New Roman" w:eastAsia="Times New Roman" w:hint="default"/>
          <w:spacing w:val="-2"/>
        </w:rPr>
        <w:t>IT</w:t>
      </w:r>
      <w:r>
        <w:rPr>
          <w:spacing w:val="-2"/>
        </w:rPr>
        <w:t>咨询规划、</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4"/>
        </w:rPr>
        <w:t> </w:t>
      </w:r>
      <w:r>
        <w:rPr/>
        <w:t>运维管理、</w:t>
      </w:r>
      <w:r>
        <w:rPr>
          <w:rFonts w:ascii="Times New Roman" w:hAnsi="Times New Roman" w:cs="Times New Roman" w:eastAsia="Times New Roman" w:hint="default"/>
        </w:rPr>
        <w:t>IT</w:t>
      </w:r>
      <w:r>
        <w:rPr/>
        <w:t>业务外包、大型软件定制实施、系统数据移植、云托管等。</w:t>
      </w:r>
    </w:p>
    <w:p>
      <w:pPr>
        <w:pStyle w:val="BodyText"/>
        <w:spacing w:line="300" w:lineRule="auto" w:before="123"/>
        <w:ind w:right="1132" w:firstLine="360"/>
        <w:jc w:val="both"/>
      </w:pPr>
      <w:r>
        <w:rPr/>
        <w:t>在做大做强传统业务的基础上，公司在技术、产品、业务模式等方面不断创新，逐步实现</w:t>
      </w:r>
      <w:r>
        <w:rPr>
          <w:rFonts w:ascii="Times New Roman" w:hAnsi="Times New Roman" w:cs="Times New Roman" w:eastAsia="Times New Roman" w:hint="default"/>
        </w:rPr>
        <w:t>“</w:t>
      </w:r>
      <w:r>
        <w:rPr/>
        <w:t>东华</w:t>
      </w:r>
      <w:r>
        <w:rPr>
          <w:rFonts w:ascii="Times New Roman" w:hAnsi="Times New Roman" w:cs="Times New Roman" w:eastAsia="Times New Roman" w:hint="default"/>
        </w:rPr>
        <w:t>+”</w:t>
      </w:r>
      <w:r>
        <w:rPr/>
        <w:t>的战略计划。在业务 </w:t>
      </w:r>
      <w:r>
        <w:rPr>
          <w:spacing w:val="-1"/>
        </w:rPr>
        <w:t>模式上，公司调整转变传统项目型经营模式，不断加强公司平台型产品的竞争力，在金融、健康、教育等行业领域加大</w:t>
      </w:r>
      <w:r>
        <w:rPr>
          <w:rFonts w:ascii="Times New Roman" w:hAnsi="Times New Roman" w:cs="Times New Roman" w:eastAsia="Times New Roman" w:hint="default"/>
          <w:spacing w:val="-1"/>
        </w:rPr>
        <w:t>B2C</w:t>
      </w:r>
      <w:r>
        <w:rPr>
          <w:rFonts w:ascii="Times New Roman" w:hAnsi="Times New Roman" w:cs="Times New Roman" w:eastAsia="Times New Roman" w:hint="default"/>
        </w:rPr>
        <w:t> </w:t>
      </w:r>
      <w:r>
        <w:rPr>
          <w:spacing w:val="-1"/>
        </w:rPr>
        <w:t>产品线的研发与推广，向下游延伸增值服务及产品，逐步在</w:t>
      </w:r>
      <w:r>
        <w:rPr>
          <w:rFonts w:ascii="Times New Roman" w:hAnsi="Times New Roman" w:cs="Times New Roman" w:eastAsia="Times New Roman" w:hint="default"/>
          <w:spacing w:val="-1"/>
        </w:rPr>
        <w:t>C</w:t>
      </w:r>
      <w:r>
        <w:rPr>
          <w:spacing w:val="-1"/>
        </w:rPr>
        <w:t>端客户中形成网络效应。在技术上，公司积极关注、拥抱新技</w:t>
      </w:r>
      <w:r>
        <w:rPr>
          <w:spacing w:val="-60"/>
        </w:rPr>
        <w:t> </w:t>
      </w:r>
      <w:r>
        <w:rPr>
          <w:spacing w:val="-60"/>
        </w:rPr>
      </w:r>
      <w:r>
        <w:rPr/>
        <w:t>术，在区块链、人工智能、大数据、物联网、工业互联网等技术研发和行业应用方面都有所突破。通过深入实施</w:t>
      </w:r>
      <w:r>
        <w:rPr>
          <w:rFonts w:ascii="Times New Roman" w:hAnsi="Times New Roman" w:cs="Times New Roman" w:eastAsia="Times New Roman" w:hint="default"/>
        </w:rPr>
        <w:t>“</w:t>
      </w:r>
      <w:r>
        <w:rPr/>
        <w:t>东华</w:t>
      </w:r>
      <w:r>
        <w:rPr>
          <w:rFonts w:ascii="Times New Roman" w:hAnsi="Times New Roman" w:cs="Times New Roman" w:eastAsia="Times New Roman" w:hint="default"/>
        </w:rPr>
        <w:t>+”</w:t>
      </w:r>
      <w:r>
        <w:rPr/>
        <w:t>的 战略计划，逐步展现出公司的新布局、新状态、新技术、新风采，为公司带来新的增长动力与机会。</w:t>
      </w:r>
    </w:p>
    <w:p>
      <w:pPr>
        <w:pStyle w:val="BodyText"/>
        <w:spacing w:line="432" w:lineRule="exact" w:before="16"/>
        <w:ind w:left="461" w:right="0" w:firstLine="46"/>
        <w:jc w:val="left"/>
      </w:pPr>
      <w:r>
        <w:rPr>
          <w:rFonts w:ascii="宋体" w:hAnsi="宋体" w:cs="宋体" w:eastAsia="宋体" w:hint="default"/>
          <w:b/>
          <w:bCs/>
        </w:rPr>
        <w:t>（二）公司所处的行业地位</w:t>
      </w:r>
      <w:r>
        <w:rPr>
          <w:rFonts w:ascii="宋体" w:hAnsi="宋体" w:cs="宋体" w:eastAsia="宋体" w:hint="default"/>
          <w:b/>
          <w:bCs/>
          <w:w w:val="99"/>
        </w:rPr>
        <w:t> </w:t>
      </w:r>
      <w:r>
        <w:rPr>
          <w:spacing w:val="-1"/>
        </w:rPr>
        <w:t>根据工业和信息化部公布的数据，</w:t>
      </w:r>
      <w:r>
        <w:rPr>
          <w:rFonts w:ascii="Times New Roman" w:hAnsi="Times New Roman" w:cs="Times New Roman" w:eastAsia="Times New Roman" w:hint="default"/>
          <w:spacing w:val="-1"/>
        </w:rPr>
        <w:t>2017</w:t>
      </w:r>
      <w:r>
        <w:rPr>
          <w:spacing w:val="-1"/>
        </w:rPr>
        <w:t>年我国软件和信息技术服务业继续呈现稳中向好运行态势，全国软件和信息技术</w:t>
      </w:r>
    </w:p>
    <w:p>
      <w:pPr>
        <w:pStyle w:val="BodyText"/>
        <w:spacing w:line="240" w:lineRule="auto" w:before="15"/>
        <w:ind w:left="154" w:right="0"/>
        <w:jc w:val="both"/>
      </w:pPr>
      <w:r>
        <w:rPr/>
        <w:t>服务业完成软件业务收入</w:t>
      </w:r>
      <w:r>
        <w:rPr>
          <w:rFonts w:ascii="Times New Roman" w:hAnsi="Times New Roman" w:cs="Times New Roman" w:eastAsia="Times New Roman" w:hint="default"/>
        </w:rPr>
        <w:t>5.5</w:t>
      </w:r>
      <w:r>
        <w:rPr/>
        <w:t>万亿元，比上年同期增长</w:t>
      </w:r>
      <w:r>
        <w:rPr>
          <w:rFonts w:ascii="Times New Roman" w:hAnsi="Times New Roman" w:cs="Times New Roman" w:eastAsia="Times New Roman" w:hint="default"/>
        </w:rPr>
        <w:t>13.9%</w:t>
      </w:r>
      <w:r>
        <w:rPr/>
        <w:t>，行业仍保持较快的增长。</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33" w:firstLine="307"/>
        <w:jc w:val="both"/>
      </w:pPr>
      <w:r>
        <w:rPr>
          <w:spacing w:val="-1"/>
        </w:rPr>
        <w:t>随着我国信息化进程的深化，越来越多的传统企业意识到信息化的好处并着手布局企业信息化，对企业信息化的复杂程</w:t>
      </w:r>
      <w:r>
        <w:rPr/>
        <w:t> </w:t>
      </w:r>
      <w:r>
        <w:rPr>
          <w:spacing w:val="-2"/>
        </w:rPr>
        <w:t>度、成熟程度、质量、服务等都有了更高的要求。客户在选择企业信息化服务商时，主要偏向于在业内已经具备名气的服务</w:t>
      </w:r>
      <w:r>
        <w:rPr>
          <w:spacing w:val="-66"/>
        </w:rPr>
        <w:t> </w:t>
      </w:r>
      <w:r>
        <w:rPr>
          <w:spacing w:val="-66"/>
        </w:rPr>
      </w:r>
      <w:r>
        <w:rPr>
          <w:spacing w:val="-2"/>
        </w:rPr>
        <w:t>商。公司已在软件和信息技术服务行业深耕细作</w:t>
      </w:r>
      <w:r>
        <w:rPr>
          <w:rFonts w:ascii="Times New Roman" w:hAnsi="Times New Roman" w:cs="Times New Roman" w:eastAsia="Times New Roman" w:hint="default"/>
          <w:spacing w:val="-2"/>
        </w:rPr>
        <w:t>17</w:t>
      </w:r>
      <w:r>
        <w:rPr>
          <w:spacing w:val="-2"/>
        </w:rPr>
        <w:t>年有余，在医疗、金融、能源等行业拥有大量的产品研发、实施与服务经</w:t>
      </w:r>
      <w:r>
        <w:rPr>
          <w:spacing w:val="-64"/>
        </w:rPr>
        <w:t> </w:t>
      </w:r>
      <w:r>
        <w:rPr>
          <w:spacing w:val="-64"/>
        </w:rPr>
      </w:r>
      <w:r>
        <w:rPr/>
        <w:t>验，马太效应逐步显现。</w:t>
      </w:r>
    </w:p>
    <w:p>
      <w:pPr>
        <w:pStyle w:val="BodyText"/>
        <w:spacing w:line="307" w:lineRule="auto" w:before="143"/>
        <w:ind w:right="1039" w:firstLine="235"/>
        <w:jc w:val="left"/>
      </w:pPr>
      <w:r>
        <w:rPr/>
        <w:t>公司作为中国市场上大型的综合性行业应用软件开发、计算机信息系统集成和信息技术服务提供商，不同于大多数软件 </w:t>
      </w:r>
      <w:r>
        <w:rPr>
          <w:spacing w:val="-2"/>
        </w:rPr>
        <w:t>和信息化提供商针对某单一行业进行信息化服务，公司的多行业战略和产品线服务模式，使公司对多个行业有着深入的了解</w:t>
      </w:r>
      <w:r>
        <w:rPr>
          <w:spacing w:val="-64"/>
        </w:rPr>
        <w:t> </w:t>
      </w:r>
      <w:r>
        <w:rPr>
          <w:spacing w:val="-64"/>
        </w:rPr>
      </w:r>
      <w:r>
        <w:rPr>
          <w:spacing w:val="-2"/>
        </w:rPr>
        <w:t>与技术积累，形成多元化拓展业务的协同产业链。同时，公司对行业客户的深耕细作，使公司在客户中拥有良好的口碑，拥</w:t>
      </w:r>
      <w:r>
        <w:rPr>
          <w:spacing w:val="-66"/>
        </w:rPr>
        <w:t> </w:t>
      </w:r>
      <w:r>
        <w:rPr>
          <w:spacing w:val="-66"/>
        </w:rPr>
      </w:r>
      <w:r>
        <w:rPr>
          <w:spacing w:val="-1"/>
        </w:rPr>
        <w:t>有很高的客户粘性，形成了较强的竞争优势。公司是国内最早通过软件能力成熟度集成（</w:t>
      </w:r>
      <w:r>
        <w:rPr>
          <w:rFonts w:ascii="Times New Roman" w:hAnsi="Times New Roman" w:cs="Times New Roman" w:eastAsia="Times New Roman" w:hint="default"/>
          <w:spacing w:val="-1"/>
        </w:rPr>
        <w:t>CMMI</w:t>
      </w:r>
      <w:r>
        <w:rPr>
          <w:spacing w:val="-1"/>
        </w:rPr>
        <w:t>）</w:t>
      </w:r>
      <w:r>
        <w:rPr>
          <w:rFonts w:ascii="Times New Roman" w:hAnsi="Times New Roman" w:cs="Times New Roman" w:eastAsia="Times New Roman" w:hint="default"/>
          <w:spacing w:val="-1"/>
        </w:rPr>
        <w:t>5</w:t>
      </w:r>
      <w:r>
        <w:rPr>
          <w:spacing w:val="-1"/>
        </w:rPr>
        <w:t>级认证的软件企业之一，</w:t>
      </w:r>
      <w:r>
        <w:rPr>
          <w:spacing w:val="-78"/>
        </w:rPr>
        <w:t> </w:t>
      </w:r>
      <w:r>
        <w:rPr/>
        <w:t>是国家首批信息系统集成及服务大型一级企业。公司具有国家涉密计算机信息系统集成甲级资质、安防工程企业一级资质、</w:t>
      </w:r>
      <w:r>
        <w:rPr>
          <w:w w:val="99"/>
        </w:rPr>
        <w:t> </w:t>
      </w:r>
      <w:r>
        <w:rPr>
          <w:spacing w:val="-4"/>
        </w:rPr>
        <w:t>信息系统安全集成服务二级资质、信息系统运行维护一级资质、</w:t>
      </w:r>
      <w:r>
        <w:rPr>
          <w:rFonts w:ascii="Times New Roman" w:hAnsi="Times New Roman" w:cs="Times New Roman" w:eastAsia="Times New Roman" w:hint="default"/>
          <w:spacing w:val="-4"/>
        </w:rPr>
        <w:t>ITSS</w:t>
      </w:r>
      <w:r>
        <w:rPr>
          <w:spacing w:val="-4"/>
        </w:rPr>
        <w:t>二级证书等，并取得了</w:t>
      </w:r>
      <w:r>
        <w:rPr>
          <w:rFonts w:ascii="Times New Roman" w:hAnsi="Times New Roman" w:cs="Times New Roman" w:eastAsia="Times New Roman" w:hint="default"/>
          <w:spacing w:val="-4"/>
        </w:rPr>
        <w:t>ISO14001</w:t>
      </w:r>
      <w:r>
        <w:rPr>
          <w:spacing w:val="-4"/>
        </w:rPr>
        <w:t>、</w:t>
      </w:r>
      <w:r>
        <w:rPr>
          <w:rFonts w:ascii="Times New Roman" w:hAnsi="Times New Roman" w:cs="Times New Roman" w:eastAsia="Times New Roman" w:hint="default"/>
          <w:spacing w:val="-4"/>
        </w:rPr>
        <w:t>ISO20000</w:t>
      </w:r>
      <w:r>
        <w:rPr>
          <w:spacing w:val="-4"/>
        </w:rPr>
        <w:t>、</w:t>
      </w:r>
      <w:r>
        <w:rPr>
          <w:rFonts w:ascii="Times New Roman" w:hAnsi="Times New Roman" w:cs="Times New Roman" w:eastAsia="Times New Roman" w:hint="default"/>
          <w:spacing w:val="-4"/>
        </w:rPr>
        <w:t>ISO27001</w:t>
      </w:r>
      <w:r>
        <w:rPr>
          <w:spacing w:val="-4"/>
        </w:rPr>
        <w:t>、</w:t>
      </w:r>
      <w:r>
        <w:rPr>
          <w:spacing w:val="-61"/>
        </w:rPr>
        <w:t> </w:t>
      </w:r>
      <w:r>
        <w:rPr>
          <w:rFonts w:ascii="Times New Roman" w:hAnsi="Times New Roman" w:cs="Times New Roman" w:eastAsia="Times New Roman" w:hint="default"/>
        </w:rPr>
        <w:t>ISO9001</w:t>
      </w:r>
      <w:r>
        <w:rPr/>
        <w:t>、国军标质量管理等质量体系认证，拥有</w:t>
      </w:r>
      <w:r>
        <w:rPr>
          <w:rFonts w:ascii="Times New Roman" w:hAnsi="Times New Roman" w:cs="Times New Roman" w:eastAsia="Times New Roman" w:hint="default"/>
        </w:rPr>
        <w:t>1,000</w:t>
      </w:r>
      <w:r>
        <w:rPr/>
        <w:t>余项软件著作版权。另外，公司为北京高新技术企业、北京市信用 </w:t>
      </w:r>
      <w:r>
        <w:rPr>
          <w:rFonts w:ascii="Times New Roman" w:hAnsi="Times New Roman" w:cs="Times New Roman" w:eastAsia="Times New Roman" w:hint="default"/>
        </w:rPr>
        <w:t>AAA</w:t>
      </w:r>
      <w:r>
        <w:rPr/>
        <w:t>级企业、国家火炬计划重点高新技术企业、智慧城市发展研究中心企业联合组成员、全国信息技术标准化委员会云计 算标准工作组成员单位、电子行业联合会理事单位、北京信息化协会理事长会员单位、</w:t>
      </w:r>
      <w:r>
        <w:rPr>
          <w:rFonts w:ascii="Times New Roman" w:hAnsi="Times New Roman" w:cs="Times New Roman" w:eastAsia="Times New Roman" w:hint="default"/>
        </w:rPr>
        <w:t>ITSS</w:t>
      </w:r>
      <w:r>
        <w:rPr/>
        <w:t>全权成员单位等，荣获</w:t>
      </w:r>
      <w:r>
        <w:rPr>
          <w:rFonts w:ascii="Times New Roman" w:hAnsi="Times New Roman" w:cs="Times New Roman" w:eastAsia="Times New Roman" w:hint="default"/>
        </w:rPr>
        <w:t>2017</w:t>
      </w:r>
      <w:r>
        <w:rPr/>
        <w:t>年 </w:t>
      </w:r>
      <w:r>
        <w:rPr>
          <w:spacing w:val="-2"/>
        </w:rPr>
        <w:t>北京软件和信息技术服务综合实力百强企业、</w:t>
      </w:r>
      <w:r>
        <w:rPr>
          <w:rFonts w:ascii="Times New Roman" w:hAnsi="Times New Roman" w:cs="Times New Roman" w:eastAsia="Times New Roman" w:hint="default"/>
          <w:spacing w:val="-2"/>
        </w:rPr>
        <w:t>2017</w:t>
      </w:r>
      <w:r>
        <w:rPr>
          <w:spacing w:val="-2"/>
        </w:rPr>
        <w:t>中国</w:t>
      </w:r>
      <w:r>
        <w:rPr>
          <w:rFonts w:ascii="Times New Roman" w:hAnsi="Times New Roman" w:cs="Times New Roman" w:eastAsia="Times New Roman" w:hint="default"/>
          <w:spacing w:val="-2"/>
        </w:rPr>
        <w:t>IT</w:t>
      </w:r>
      <w:r>
        <w:rPr>
          <w:spacing w:val="-2"/>
        </w:rPr>
        <w:t>互联网产品最受用户欢迎奖、中国大数据企业</w:t>
      </w:r>
      <w:r>
        <w:rPr>
          <w:rFonts w:ascii="Times New Roman" w:hAnsi="Times New Roman" w:cs="Times New Roman" w:eastAsia="Times New Roman" w:hint="default"/>
          <w:spacing w:val="-2"/>
        </w:rPr>
        <w:t>50</w:t>
      </w:r>
      <w:r>
        <w:rPr>
          <w:spacing w:val="-2"/>
        </w:rPr>
        <w:t>强、第十一届中国</w:t>
      </w:r>
      <w:r>
        <w:rPr>
          <w:spacing w:val="-46"/>
        </w:rPr>
        <w:t> </w:t>
      </w:r>
      <w:r>
        <w:rPr>
          <w:spacing w:val="-46"/>
        </w:rPr>
      </w:r>
      <w:r>
        <w:rPr/>
        <w:t>品牌节</w:t>
      </w:r>
      <w:r>
        <w:rPr>
          <w:rFonts w:ascii="Times New Roman" w:hAnsi="Times New Roman" w:cs="Times New Roman" w:eastAsia="Times New Roman" w:hint="default"/>
        </w:rPr>
        <w:t>-</w:t>
      </w:r>
      <w:r>
        <w:rPr/>
        <w:t>华谱奖等。经过长期的耕耘，公司在相关业务领域具有较为全面的资质、能力与经验，将不断的为公司带来新的业 绩。</w:t>
      </w:r>
    </w:p>
    <w:p>
      <w:pPr>
        <w:spacing w:line="240" w:lineRule="auto" w:before="4"/>
        <w:rPr>
          <w:rFonts w:ascii="宋体" w:hAnsi="宋体" w:cs="宋体" w:eastAsia="宋体" w:hint="default"/>
          <w:sz w:val="21"/>
          <w:szCs w:val="21"/>
        </w:rPr>
      </w:pPr>
    </w:p>
    <w:p>
      <w:pPr>
        <w:pStyle w:val="Heading2"/>
        <w:spacing w:line="240" w:lineRule="auto"/>
        <w:ind w:left="154"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1"/>
        <w:gridCol w:w="6517"/>
      </w:tblGrid>
      <w:tr>
        <w:trPr>
          <w:trHeight w:val="186"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股权资产较上年度末增加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17.84%</w:t>
            </w:r>
            <w:r>
              <w:rPr>
                <w:rFonts w:ascii="宋体" w:hAnsi="宋体" w:cs="宋体" w:eastAsia="宋体" w:hint="default"/>
                <w:sz w:val="18"/>
                <w:szCs w:val="18"/>
              </w:rPr>
              <w:t>，主要原因系公司对外投资增加所致。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固定资产较上年度末减少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21.45%</w:t>
            </w:r>
            <w:r>
              <w:rPr>
                <w:rFonts w:ascii="宋体" w:hAnsi="宋体" w:cs="宋体" w:eastAsia="宋体" w:hint="default"/>
                <w:sz w:val="18"/>
                <w:szCs w:val="18"/>
              </w:rPr>
              <w:t>，主要原因系固定资产计提折旧所致。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在建工程较上年度末减少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14.40%</w:t>
            </w:r>
            <w:r>
              <w:rPr>
                <w:rFonts w:ascii="宋体" w:hAnsi="宋体" w:cs="宋体" w:eastAsia="宋体" w:hint="default"/>
                <w:sz w:val="18"/>
                <w:szCs w:val="18"/>
              </w:rPr>
              <w:t>，主要原因系公司在建工程转固定资减少所致。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无形资产较上年度末减少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19.60%</w:t>
            </w:r>
            <w:r>
              <w:rPr>
                <w:rFonts w:ascii="宋体" w:hAnsi="宋体" w:cs="宋体" w:eastAsia="宋体" w:hint="default"/>
                <w:sz w:val="18"/>
                <w:szCs w:val="18"/>
              </w:rPr>
              <w:t>，主要原因系公司外购无形资产减少所致。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货币资金较上年度末增加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55.44%</w:t>
            </w:r>
            <w:r>
              <w:rPr>
                <w:rFonts w:ascii="宋体" w:hAnsi="宋体" w:cs="宋体" w:eastAsia="宋体" w:hint="default"/>
                <w:sz w:val="18"/>
                <w:szCs w:val="18"/>
              </w:rPr>
              <w:t>，主要原因系货款回款增加所致。</w:t>
            </w:r>
          </w:p>
        </w:tc>
      </w:tr>
      <w:tr>
        <w:trPr>
          <w:trHeight w:val="63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应收票据较上年度末增加</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147.99%</w:t>
            </w:r>
            <w:r>
              <w:rPr>
                <w:rFonts w:ascii="宋体" w:hAnsi="宋体" w:cs="宋体" w:eastAsia="宋体" w:hint="default"/>
                <w:sz w:val="18"/>
                <w:szCs w:val="18"/>
              </w:rPr>
              <w:t>，主要原因系收到以商业承兑汇票及银行承兑汇 票方式结算的项目货款增加所致。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预付账款较上年度末增加</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46.94%</w:t>
            </w:r>
            <w:r>
              <w:rPr>
                <w:rFonts w:ascii="宋体" w:hAnsi="宋体" w:cs="宋体" w:eastAsia="宋体" w:hint="default"/>
                <w:spacing w:val="-3"/>
                <w:sz w:val="18"/>
                <w:szCs w:val="18"/>
              </w:rPr>
              <w:t>，主要原因系公司承接的项目采购增加导致预付账</w:t>
            </w:r>
            <w:r>
              <w:rPr>
                <w:rFonts w:ascii="宋体" w:hAnsi="宋体" w:cs="宋体" w:eastAsia="宋体" w:hint="default"/>
                <w:sz w:val="18"/>
                <w:szCs w:val="18"/>
              </w:rPr>
              <w:t> 款增加所致。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长期股权投资较上年度末增加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2,867.73%</w:t>
            </w:r>
            <w:r>
              <w:rPr>
                <w:rFonts w:ascii="宋体" w:hAnsi="宋体" w:cs="宋体" w:eastAsia="宋体" w:hint="default"/>
                <w:sz w:val="18"/>
                <w:szCs w:val="18"/>
              </w:rPr>
              <w:t>，主要原因系所属子公司深圳至高投资深 圳市贝尔加数据信息有限公司增加所致。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开发支出较上年度末减少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41.36%,</w:t>
            </w:r>
            <w:r>
              <w:rPr>
                <w:rFonts w:ascii="宋体" w:hAnsi="宋体" w:cs="宋体" w:eastAsia="宋体" w:hint="default"/>
                <w:sz w:val="18"/>
                <w:szCs w:val="18"/>
              </w:rPr>
              <w:t>主要原因系子公司互联宜家研究开发费资本化转 增无无形资产所致。</w:t>
            </w:r>
          </w:p>
        </w:tc>
      </w:tr>
      <w:tr>
        <w:trPr>
          <w:trHeight w:val="63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商誉较上年度末减少</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30.79%</w:t>
            </w:r>
            <w:r>
              <w:rPr>
                <w:rFonts w:ascii="宋体" w:hAnsi="宋体" w:cs="宋体" w:eastAsia="宋体" w:hint="default"/>
                <w:spacing w:val="-3"/>
                <w:sz w:val="18"/>
                <w:szCs w:val="18"/>
              </w:rPr>
              <w:t>，主要原因系公司对至高、威锐达、东华万兴计提商誉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减值增加所致。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递延所得税资产较上年度末增加</w:t>
            </w:r>
            <w:r>
              <w:rPr>
                <w:rFonts w:ascii="宋体" w:hAnsi="宋体" w:cs="宋体" w:eastAsia="宋体" w:hint="default"/>
                <w:spacing w:val="-31"/>
                <w:sz w:val="18"/>
                <w:szCs w:val="18"/>
              </w:rPr>
              <w:t> </w:t>
            </w:r>
            <w:r>
              <w:rPr>
                <w:rFonts w:ascii="Times New Roman" w:hAnsi="Times New Roman" w:cs="Times New Roman" w:eastAsia="Times New Roman" w:hint="default"/>
                <w:spacing w:val="-4"/>
                <w:sz w:val="18"/>
                <w:szCs w:val="18"/>
              </w:rPr>
              <w:t>45.52%</w:t>
            </w:r>
            <w:r>
              <w:rPr>
                <w:rFonts w:ascii="宋体" w:hAnsi="宋体" w:cs="宋体" w:eastAsia="宋体" w:hint="default"/>
                <w:spacing w:val="-4"/>
                <w:sz w:val="18"/>
                <w:szCs w:val="18"/>
              </w:rPr>
              <w:t>，主要原因系本期计提的坏账准备增加，导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致确认的递延所得税资产增加所致。</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Heading6"/>
        <w:spacing w:line="240" w:lineRule="auto" w:before="144"/>
        <w:ind w:left="515" w:right="0"/>
        <w:jc w:val="left"/>
        <w:rPr>
          <w:b w:val="0"/>
          <w:bCs w:val="0"/>
        </w:rPr>
      </w:pPr>
      <w:r>
        <w:rPr>
          <w:rFonts w:ascii="Times New Roman" w:hAnsi="Times New Roman" w:cs="Times New Roman" w:eastAsia="Times New Roman" w:hint="default"/>
        </w:rPr>
        <w:t>1</w:t>
      </w:r>
      <w:r>
        <w:rPr/>
        <w:t>、持续的技术自主研发与创新</w:t>
      </w:r>
      <w:r>
        <w:rPr>
          <w:b w:val="0"/>
          <w:bCs w:val="0"/>
        </w:rPr>
      </w:r>
    </w:p>
    <w:p>
      <w:pPr>
        <w:spacing w:line="240" w:lineRule="auto" w:before="8"/>
        <w:rPr>
          <w:rFonts w:ascii="宋体" w:hAnsi="宋体" w:cs="宋体" w:eastAsia="宋体" w:hint="default"/>
          <w:b/>
          <w:bCs/>
          <w:sz w:val="16"/>
          <w:szCs w:val="16"/>
        </w:rPr>
      </w:pPr>
    </w:p>
    <w:p>
      <w:pPr>
        <w:pStyle w:val="BodyText"/>
        <w:spacing w:line="309" w:lineRule="auto"/>
        <w:ind w:right="1131" w:firstLine="360"/>
        <w:jc w:val="both"/>
      </w:pPr>
      <w:r>
        <w:rPr>
          <w:spacing w:val="-2"/>
        </w:rPr>
        <w:t>公司在技术研发方面坚持注重自主研发与创新，先后成立了软件研究院、企业管理研究院，参与了多个软件和系统集成</w:t>
      </w:r>
      <w:r>
        <w:rPr/>
        <w:t> </w:t>
      </w:r>
      <w:r>
        <w:rPr>
          <w:spacing w:val="-2"/>
        </w:rPr>
        <w:t>专业技术委员会、联合实验室和合作研发机构，建立了博士后工作站、雄安全球研发中心、区块链技术研究院等，汇集了大</w:t>
      </w:r>
      <w:r>
        <w:rPr>
          <w:spacing w:val="-66"/>
        </w:rPr>
        <w:t> </w:t>
      </w:r>
      <w:r>
        <w:rPr>
          <w:spacing w:val="-66"/>
        </w:rPr>
      </w:r>
      <w:r>
        <w:rPr>
          <w:spacing w:val="-2"/>
        </w:rPr>
        <w:t>量具有丰富的项目实施经验及技术创新能力的人才。通过持续的研发投入，公司已获得</w:t>
      </w:r>
      <w:r>
        <w:rPr>
          <w:rFonts w:ascii="Times New Roman" w:hAnsi="Times New Roman" w:cs="Times New Roman" w:eastAsia="Times New Roman" w:hint="default"/>
          <w:spacing w:val="-2"/>
        </w:rPr>
        <w:t>1000</w:t>
      </w:r>
      <w:r>
        <w:rPr>
          <w:spacing w:val="-2"/>
        </w:rPr>
        <w:t>余项软件著作版权，多项产品和</w:t>
      </w:r>
      <w:r>
        <w:rPr>
          <w:spacing w:val="-62"/>
        </w:rPr>
        <w:t> </w:t>
      </w:r>
      <w:r>
        <w:rPr>
          <w:spacing w:val="-62"/>
        </w:rPr>
      </w:r>
      <w:r>
        <w:rPr/>
        <w:t>核心技术列入国家和地方重大专项和科技计划。公司是国内最早通过软件能力成熟度集成（</w:t>
      </w:r>
      <w:r>
        <w:rPr>
          <w:rFonts w:ascii="Times New Roman" w:hAnsi="Times New Roman" w:cs="Times New Roman" w:eastAsia="Times New Roman" w:hint="default"/>
        </w:rPr>
        <w:t>CMMI</w:t>
      </w:r>
      <w:r>
        <w:rPr/>
        <w:t>）</w:t>
      </w:r>
      <w:r>
        <w:rPr>
          <w:rFonts w:ascii="Times New Roman" w:hAnsi="Times New Roman" w:cs="Times New Roman" w:eastAsia="Times New Roman" w:hint="default"/>
        </w:rPr>
        <w:t>5</w:t>
      </w:r>
      <w:r>
        <w:rPr/>
        <w:t>级认证的软件企业之</w:t>
      </w:r>
      <w:r>
        <w:rPr>
          <w:w w:val="99"/>
        </w:rPr>
        <w:t> </w:t>
      </w:r>
      <w:r>
        <w:rPr/>
        <w:t>一，国家首批信息系统集成及服务大型一级企业，具有国家涉密计算机信息系统集成甲级资质及软件开发单项资质等。</w:t>
      </w:r>
    </w:p>
    <w:p>
      <w:pPr>
        <w:pStyle w:val="BodyText"/>
        <w:spacing w:line="468" w:lineRule="exact" w:before="16"/>
        <w:ind w:left="513" w:right="0" w:firstLine="1"/>
        <w:jc w:val="left"/>
      </w:pPr>
      <w:r>
        <w:rPr>
          <w:rFonts w:ascii="Times New Roman" w:hAnsi="Times New Roman" w:cs="Times New Roman" w:eastAsia="Times New Roman" w:hint="default"/>
          <w:b/>
          <w:bCs/>
        </w:rPr>
        <w:t>2</w:t>
      </w:r>
      <w:r>
        <w:rPr>
          <w:rFonts w:ascii="宋体" w:hAnsi="宋体" w:cs="宋体" w:eastAsia="宋体" w:hint="default"/>
          <w:b/>
          <w:bCs/>
        </w:rPr>
        <w:t>、丰富的产品及服务</w:t>
      </w:r>
      <w:r>
        <w:rPr>
          <w:rFonts w:ascii="宋体" w:hAnsi="宋体" w:cs="宋体" w:eastAsia="宋体" w:hint="default"/>
          <w:b/>
          <w:bCs/>
          <w:w w:val="99"/>
        </w:rPr>
        <w:t> </w:t>
      </w:r>
      <w:r>
        <w:rPr>
          <w:spacing w:val="-2"/>
        </w:rPr>
        <w:t>公司在全国拥有</w:t>
      </w:r>
      <w:r>
        <w:rPr>
          <w:rFonts w:ascii="Times New Roman" w:hAnsi="Times New Roman" w:cs="Times New Roman" w:eastAsia="Times New Roman" w:hint="default"/>
          <w:spacing w:val="-2"/>
        </w:rPr>
        <w:t>60</w:t>
      </w:r>
      <w:r>
        <w:rPr>
          <w:spacing w:val="-2"/>
        </w:rPr>
        <w:t>余家分支机构，产品及服务涉及电力、政府、交通、医疗、金融、交通、制造业等行业。在金融、医</w:t>
      </w:r>
    </w:p>
    <w:p>
      <w:pPr>
        <w:pStyle w:val="BodyText"/>
        <w:spacing w:line="319" w:lineRule="auto" w:before="8"/>
        <w:ind w:left="154" w:right="1032"/>
        <w:jc w:val="left"/>
      </w:pPr>
      <w:r>
        <w:rPr>
          <w:spacing w:val="-2"/>
        </w:rPr>
        <w:t>疗、农产品流通等多个行业中，公司的产品及服务市场占有率处于领先地位。公司项目涵盖多种产品及解决方案，已为数千</w:t>
      </w:r>
      <w:r>
        <w:rPr>
          <w:spacing w:val="-66"/>
        </w:rPr>
        <w:t> </w:t>
      </w:r>
      <w:r>
        <w:rPr>
          <w:spacing w:val="-66"/>
        </w:rPr>
      </w:r>
      <w:r>
        <w:rPr/>
        <w:t>个用户提供了优秀的软件和信息系统解决方案，完成了国家电网公司、华夏银行、中石油股份公司、水利部、国家气象局、 </w:t>
      </w:r>
      <w:r>
        <w:rPr>
          <w:spacing w:val="-2"/>
        </w:rPr>
        <w:t>北京协和医院、中国人寿保险公司等堪称业界典范的应用软件开发和计算机信息系统集成项目。基于公司十七年来在各行业</w:t>
      </w:r>
      <w:r>
        <w:rPr>
          <w:spacing w:val="-64"/>
        </w:rPr>
        <w:t> </w:t>
      </w:r>
      <w:r>
        <w:rPr>
          <w:spacing w:val="-64"/>
        </w:rPr>
      </w:r>
      <w:r>
        <w:rPr>
          <w:spacing w:val="-2"/>
        </w:rPr>
        <w:t>积累的经验与市场优势，依托大数据、云计算、物联网、区块链等技术的支撑，逐步构建完善的产品及服务生态圈，增强公</w:t>
      </w:r>
      <w:r>
        <w:rPr>
          <w:spacing w:val="-68"/>
        </w:rPr>
        <w:t> </w:t>
      </w:r>
      <w:r>
        <w:rPr>
          <w:spacing w:val="-68"/>
        </w:rPr>
      </w:r>
      <w:r>
        <w:rPr/>
        <w:t>司产业核心竞争力，拓宽公司的盈利方式。</w:t>
      </w:r>
    </w:p>
    <w:p>
      <w:pPr>
        <w:spacing w:line="468" w:lineRule="exact" w:before="9"/>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、深度的市场理解与准确的产品定位</w:t>
      </w:r>
      <w:r>
        <w:rPr>
          <w:rFonts w:ascii="宋体" w:hAnsi="宋体" w:cs="宋体" w:eastAsia="宋体" w:hint="default"/>
          <w:b/>
          <w:bCs/>
          <w:w w:val="99"/>
          <w:sz w:val="18"/>
          <w:szCs w:val="18"/>
        </w:rPr>
        <w:t> </w:t>
      </w:r>
      <w:r>
        <w:rPr>
          <w:rFonts w:ascii="宋体" w:hAnsi="宋体" w:cs="宋体" w:eastAsia="宋体" w:hint="default"/>
          <w:spacing w:val="-2"/>
          <w:sz w:val="18"/>
          <w:szCs w:val="18"/>
        </w:rPr>
        <w:t>公司自成立以来坚持行业的深耕细作，各团队能够及时与客户进行深度的沟通与需求了解，使产品有效的定位于满足行</w:t>
      </w:r>
    </w:p>
    <w:p>
      <w:pPr>
        <w:pStyle w:val="BodyText"/>
        <w:spacing w:line="316" w:lineRule="auto" w:before="8"/>
        <w:ind w:right="0"/>
        <w:jc w:val="left"/>
      </w:pPr>
      <w:r>
        <w:rPr>
          <w:spacing w:val="-2"/>
        </w:rPr>
        <w:t>业用户在特定行业要求、规则下个性化需求。企业软件市场的特点是客户需求个性化，对产品的要求高，技术更新较快，深</w:t>
      </w:r>
      <w:r>
        <w:rPr>
          <w:spacing w:val="-66"/>
        </w:rPr>
        <w:t> </w:t>
      </w:r>
      <w:r>
        <w:rPr>
          <w:spacing w:val="-66"/>
        </w:rPr>
      </w:r>
      <w:r>
        <w:rPr/>
        <w:t>度的理解市场需求对企业软件提供商至关重要。</w:t>
      </w:r>
    </w:p>
    <w:p>
      <w:pPr>
        <w:spacing w:line="240" w:lineRule="auto" w:before="5"/>
        <w:rPr>
          <w:rFonts w:ascii="宋体" w:hAnsi="宋体" w:cs="宋体" w:eastAsia="宋体" w:hint="default"/>
          <w:sz w:val="13"/>
          <w:szCs w:val="13"/>
        </w:rPr>
      </w:pPr>
    </w:p>
    <w:p>
      <w:pPr>
        <w:pStyle w:val="BodyText"/>
        <w:spacing w:line="316" w:lineRule="auto"/>
        <w:ind w:right="1130" w:firstLine="360"/>
        <w:jc w:val="both"/>
      </w:pPr>
      <w:r>
        <w:rPr>
          <w:spacing w:val="-2"/>
        </w:rPr>
        <w:t>公司建立了多渠道信息反馈机制，各事业部门业务、技术、售后团队通过沟通、调研、分析等方式及时、全面了解市场</w:t>
      </w:r>
      <w:r>
        <w:rPr/>
        <w:t> </w:t>
      </w:r>
      <w:r>
        <w:rPr>
          <w:spacing w:val="-2"/>
        </w:rPr>
        <w:t>需求，第一时间布局市场，确保公司的先发优势。经过多年来不断的积累与完善，公司已建立了系统的产品迭代流程，根据</w:t>
      </w:r>
      <w:r>
        <w:rPr>
          <w:spacing w:val="-66"/>
        </w:rPr>
        <w:t> </w:t>
      </w:r>
      <w:r>
        <w:rPr>
          <w:spacing w:val="-66"/>
        </w:rPr>
      </w:r>
      <w:r>
        <w:rPr/>
        <w:t>反馈信息对产品进行持续优化、升级，不断提升产品与服务的质量。</w:t>
      </w:r>
    </w:p>
    <w:p>
      <w:pPr>
        <w:pStyle w:val="BodyText"/>
        <w:spacing w:line="468" w:lineRule="exact" w:before="10"/>
        <w:ind w:left="513" w:right="1168" w:firstLine="1"/>
        <w:jc w:val="left"/>
      </w:pPr>
      <w:r>
        <w:rPr>
          <w:rFonts w:ascii="Times New Roman" w:hAnsi="Times New Roman" w:cs="Times New Roman" w:eastAsia="Times New Roman" w:hint="default"/>
          <w:b/>
          <w:bCs/>
        </w:rPr>
        <w:t>4</w:t>
      </w:r>
      <w:r>
        <w:rPr>
          <w:rFonts w:ascii="宋体" w:hAnsi="宋体" w:cs="宋体" w:eastAsia="宋体" w:hint="default"/>
          <w:b/>
          <w:bCs/>
        </w:rPr>
        <w:t>、稳定的上下游资源</w:t>
      </w:r>
      <w:r>
        <w:rPr>
          <w:rFonts w:ascii="宋体" w:hAnsi="宋体" w:cs="宋体" w:eastAsia="宋体" w:hint="default"/>
          <w:b/>
          <w:bCs/>
          <w:w w:val="99"/>
        </w:rPr>
        <w:t> </w:t>
      </w:r>
      <w:r>
        <w:rPr/>
        <w:t>在上游资源方面，公司建立了稳定的战略合作伙伴体系</w:t>
      </w:r>
      <w:r>
        <w:rPr>
          <w:rFonts w:ascii="Times New Roman" w:hAnsi="Times New Roman" w:cs="Times New Roman" w:eastAsia="Times New Roman" w:hint="default"/>
        </w:rPr>
        <w:t>,</w:t>
      </w:r>
      <w:r>
        <w:rPr/>
        <w:t>通过与一流战略合作伙伴在最新的技术与产品领域进行的深入</w:t>
      </w:r>
    </w:p>
    <w:p>
      <w:pPr>
        <w:pStyle w:val="BodyText"/>
        <w:spacing w:line="300" w:lineRule="auto" w:before="8"/>
        <w:ind w:left="154" w:right="0"/>
        <w:jc w:val="left"/>
      </w:pPr>
      <w:r>
        <w:rPr>
          <w:spacing w:val="-3"/>
        </w:rPr>
        <w:t>合作，有力的提升了公司议价能力与整体竞争力。目前，公司通过与国内外核心部件供应商华为、</w:t>
      </w:r>
      <w:r>
        <w:rPr>
          <w:rFonts w:ascii="Times New Roman" w:hAnsi="Times New Roman" w:cs="Times New Roman" w:eastAsia="Times New Roman" w:hint="default"/>
          <w:spacing w:val="-3"/>
        </w:rPr>
        <w:t>H3C</w:t>
      </w:r>
      <w:r>
        <w:rPr>
          <w:spacing w:val="-3"/>
        </w:rPr>
        <w:t>、浪潮、联想、</w:t>
      </w:r>
      <w:r>
        <w:rPr>
          <w:rFonts w:ascii="Times New Roman" w:hAnsi="Times New Roman" w:cs="Times New Roman" w:eastAsia="Times New Roman" w:hint="default"/>
          <w:spacing w:val="-3"/>
        </w:rPr>
        <w:t>IBM</w:t>
      </w:r>
      <w:r>
        <w:rPr>
          <w:spacing w:val="-3"/>
        </w:rPr>
        <w:t>、</w:t>
      </w:r>
      <w:r>
        <w:rPr>
          <w:spacing w:val="-54"/>
        </w:rPr>
        <w:t> </w:t>
      </w:r>
      <w:r>
        <w:rPr>
          <w:rFonts w:ascii="Times New Roman" w:hAnsi="Times New Roman" w:cs="Times New Roman" w:eastAsia="Times New Roman" w:hint="default"/>
          <w:spacing w:val="-2"/>
        </w:rPr>
        <w:t>Cisco</w:t>
      </w:r>
      <w:r>
        <w:rPr>
          <w:spacing w:val="-2"/>
        </w:rPr>
        <w:t>、</w:t>
      </w:r>
      <w:r>
        <w:rPr>
          <w:rFonts w:ascii="Times New Roman" w:hAnsi="Times New Roman" w:cs="Times New Roman" w:eastAsia="Times New Roman" w:hint="default"/>
          <w:spacing w:val="-2"/>
        </w:rPr>
        <w:t>Oracle</w:t>
      </w:r>
      <w:r>
        <w:rPr>
          <w:spacing w:val="-2"/>
        </w:rPr>
        <w:t>、</w:t>
      </w:r>
      <w:r>
        <w:rPr>
          <w:rFonts w:ascii="Times New Roman" w:hAnsi="Times New Roman" w:cs="Times New Roman" w:eastAsia="Times New Roman" w:hint="default"/>
          <w:spacing w:val="-2"/>
        </w:rPr>
        <w:t>EMC</w:t>
      </w:r>
      <w:r>
        <w:rPr>
          <w:spacing w:val="-2"/>
        </w:rPr>
        <w:t>、</w:t>
      </w:r>
      <w:r>
        <w:rPr>
          <w:rFonts w:ascii="Times New Roman" w:hAnsi="Times New Roman" w:cs="Times New Roman" w:eastAsia="Times New Roman" w:hint="default"/>
          <w:spacing w:val="-2"/>
        </w:rPr>
        <w:t>Intel</w:t>
      </w:r>
      <w:r>
        <w:rPr>
          <w:spacing w:val="-2"/>
        </w:rPr>
        <w:t>、施耐德等保持长期的战略合作关系，增强公司自身与供应商价格、供货周期、后续服务谈判能</w:t>
      </w:r>
      <w:r>
        <w:rPr>
          <w:spacing w:val="-39"/>
        </w:rPr>
        <w:t> </w:t>
      </w:r>
      <w:r>
        <w:rPr>
          <w:spacing w:val="-39"/>
        </w:rPr>
      </w:r>
      <w:r>
        <w:rPr/>
        <w:t>力，以此为客户提供优质可靠的产品及服务，促进了公司技术研发能力的提高。</w:t>
      </w:r>
    </w:p>
    <w:p>
      <w:pPr>
        <w:pStyle w:val="BodyText"/>
        <w:spacing w:line="314" w:lineRule="auto" w:before="151"/>
        <w:ind w:left="154" w:right="0" w:firstLine="360"/>
        <w:jc w:val="left"/>
      </w:pPr>
      <w:r>
        <w:rPr>
          <w:spacing w:val="-2"/>
        </w:rPr>
        <w:t>在下游资源方面，公司作为整体解决方案提供商，与客户长期保持沟通合作，提供持续服务，因而对客户业务现状、发</w:t>
      </w:r>
      <w:r>
        <w:rPr/>
        <w:t> 展趋势和本质性需求有着其他竞争者无法比拟的深刻了解，能够及时的发现下游客户的需求</w:t>
      </w:r>
      <w:r>
        <w:rPr>
          <w:rFonts w:ascii="Times New Roman" w:hAnsi="Times New Roman" w:cs="Times New Roman" w:eastAsia="Times New Roman" w:hint="default"/>
        </w:rPr>
        <w:t>,</w:t>
      </w:r>
      <w:r>
        <w:rPr/>
        <w:t>不断纵向深耕业务。经过多年 </w:t>
      </w:r>
      <w:r>
        <w:rPr>
          <w:spacing w:val="-2"/>
        </w:rPr>
        <w:t>的项目积累，公司已经形成了涵盖金融、医疗、电力、电信、交通、制造业等行业的庞大客户基础。公司所拥有的客户在广</w:t>
      </w:r>
      <w:r>
        <w:rPr>
          <w:spacing w:val="-72"/>
        </w:rPr>
        <w:t> </w:t>
      </w:r>
      <w:r>
        <w:rPr>
          <w:spacing w:val="-72"/>
        </w:rPr>
      </w:r>
      <w:r>
        <w:rPr>
          <w:spacing w:val="-4"/>
        </w:rPr>
        <w:t>度、深度上都具有明显优势，已形成了一定的网络效应，同时良好的客户口碑也为公司带了交叉营销的机会。截至报告期内，</w:t>
      </w:r>
      <w:r>
        <w:rPr>
          <w:spacing w:val="-46"/>
        </w:rPr>
        <w:t> </w:t>
      </w:r>
      <w:r>
        <w:rPr>
          <w:spacing w:val="-46"/>
        </w:rPr>
      </w:r>
      <w:r>
        <w:rPr>
          <w:spacing w:val="-2"/>
        </w:rPr>
        <w:t>公司拥有上千家长期稳定的客户资源，包含中国人民银行、国家开发银行、中国银行、中国铝业集团、首钢集团、中国大唐</w:t>
      </w:r>
      <w:r>
        <w:rPr>
          <w:spacing w:val="-68"/>
        </w:rPr>
        <w:t> </w:t>
      </w:r>
      <w:r>
        <w:rPr>
          <w:spacing w:val="-68"/>
        </w:rPr>
      </w:r>
      <w:r>
        <w:rPr>
          <w:spacing w:val="-4"/>
        </w:rPr>
        <w:t>电力公司、国电电力股份公司、中国电信总部、中国国际航空公司、首都国际机场、山西省煤炭工业局、中国石化股份公司、</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463" w:lineRule="auto" w:before="44"/>
        <w:ind w:left="513" w:right="5733" w:hanging="360"/>
        <w:jc w:val="left"/>
        <w:rPr>
          <w:rFonts w:ascii="宋体" w:hAnsi="宋体" w:cs="宋体" w:eastAsia="宋体" w:hint="default"/>
          <w:sz w:val="18"/>
          <w:szCs w:val="18"/>
        </w:rPr>
      </w:pPr>
      <w:r>
        <w:rPr>
          <w:rFonts w:ascii="宋体" w:hAnsi="宋体" w:cs="宋体" w:eastAsia="宋体" w:hint="default"/>
          <w:sz w:val="18"/>
          <w:szCs w:val="18"/>
        </w:rPr>
        <w:t>北京协和医院、北京安贞医院等知名企业。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、始终如一的企业文化与理念</w:t>
      </w:r>
      <w:r>
        <w:rPr>
          <w:rFonts w:ascii="宋体" w:hAnsi="宋体" w:cs="宋体" w:eastAsia="宋体" w:hint="default"/>
          <w:b/>
          <w:bCs/>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诚信、快捷、专业、理性</w:t>
      </w:r>
      <w:r>
        <w:rPr>
          <w:rFonts w:ascii="Times New Roman" w:hAnsi="Times New Roman" w:cs="Times New Roman" w:eastAsia="Times New Roman" w:hint="default"/>
          <w:sz w:val="18"/>
          <w:szCs w:val="18"/>
        </w:rPr>
        <w:t>”</w:t>
      </w:r>
      <w:r>
        <w:rPr>
          <w:rFonts w:ascii="宋体" w:hAnsi="宋体" w:cs="宋体" w:eastAsia="宋体" w:hint="default"/>
          <w:sz w:val="18"/>
          <w:szCs w:val="18"/>
        </w:rPr>
        <w:t>始终作为公司整体文化和理念。</w:t>
      </w:r>
    </w:p>
    <w:p>
      <w:pPr>
        <w:pStyle w:val="BodyText"/>
        <w:spacing w:line="316" w:lineRule="auto"/>
        <w:ind w:right="0" w:firstLine="360"/>
        <w:jc w:val="left"/>
      </w:pPr>
      <w:r>
        <w:rPr>
          <w:spacing w:val="-2"/>
        </w:rPr>
        <w:t>公司立志于不断为客户提供创新、优秀的产品、解决方案与服务，为客户创造价值，提供高性价比的产品和便捷、高效</w:t>
      </w:r>
      <w:r>
        <w:rPr/>
        <w:t> 的服务，提升客户对公司产品、服务质量的满意度和信任度。</w:t>
      </w:r>
    </w:p>
    <w:p>
      <w:pPr>
        <w:pStyle w:val="BodyText"/>
        <w:spacing w:line="300" w:lineRule="auto" w:before="139"/>
        <w:ind w:left="154" w:right="0" w:firstLine="360"/>
        <w:jc w:val="left"/>
      </w:pPr>
      <w:r>
        <w:rPr>
          <w:spacing w:val="-2"/>
        </w:rPr>
        <w:t>公司企业文化以</w:t>
      </w:r>
      <w:r>
        <w:rPr>
          <w:rFonts w:ascii="Times New Roman" w:hAnsi="Times New Roman" w:cs="Times New Roman" w:eastAsia="Times New Roman" w:hint="default"/>
          <w:spacing w:val="-2"/>
        </w:rPr>
        <w:t>“</w:t>
      </w:r>
      <w:r>
        <w:rPr>
          <w:spacing w:val="-2"/>
        </w:rPr>
        <w:t>客户至上</w:t>
      </w:r>
      <w:r>
        <w:rPr>
          <w:rFonts w:ascii="Times New Roman" w:hAnsi="Times New Roman" w:cs="Times New Roman" w:eastAsia="Times New Roman" w:hint="default"/>
          <w:spacing w:val="-2"/>
        </w:rPr>
        <w:t>”</w:t>
      </w:r>
      <w:r>
        <w:rPr>
          <w:spacing w:val="-2"/>
        </w:rPr>
        <w:t>为核心，通过以客户为中心、以需求为导向，以优质的服务积极发展并保持长期客户群为重</w:t>
      </w:r>
      <w:r>
        <w:rPr/>
        <w:t> 要策略。公司为更早地发现挖掘客户的潜在需求，快速响应，搭建了客户反馈平台。</w:t>
      </w:r>
    </w:p>
    <w:p>
      <w:pPr>
        <w:pStyle w:val="BodyText"/>
        <w:spacing w:line="316" w:lineRule="auto" w:before="151"/>
        <w:ind w:right="0" w:firstLine="360"/>
        <w:jc w:val="left"/>
      </w:pPr>
      <w:r>
        <w:rPr>
          <w:spacing w:val="-2"/>
        </w:rPr>
        <w:t>公司通过优秀的企业文化加强了内部团队建设力、凝聚力，增强了整体竞争力，提升了客户的满意度和忠诚度。从而提</w:t>
      </w:r>
      <w:r>
        <w:rPr/>
        <w:t> 高品牌影响力，为公司长期健康稳定发展提供了坚实稳定的基础。</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84"/>
        <w:jc w:val="left"/>
      </w:pPr>
      <w:r>
        <w:rPr>
          <w:rFonts w:ascii="Times New Roman" w:hAnsi="Times New Roman" w:cs="Times New Roman" w:eastAsia="Times New Roman" w:hint="default"/>
        </w:rPr>
        <w:t>2017</w:t>
      </w:r>
      <w:r>
        <w:rPr/>
        <w:t>年，面对软件和信息技术行业的快速更迭和国家信息化建设的高速发展，公司继续以</w:t>
      </w:r>
      <w:r>
        <w:rPr>
          <w:rFonts w:ascii="Times New Roman" w:hAnsi="Times New Roman" w:cs="Times New Roman" w:eastAsia="Times New Roman" w:hint="default"/>
        </w:rPr>
        <w:t>“</w:t>
      </w:r>
      <w:r>
        <w:rPr/>
        <w:t>诚信、快捷、专业、理性</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为发展理念，</w:t>
      </w:r>
      <w:r>
        <w:rPr>
          <w:color w:val="242424"/>
          <w:spacing w:val="-2"/>
        </w:rPr>
        <w:t>加大创新研发力度和市场拓展力度，</w:t>
      </w:r>
      <w:r>
        <w:rPr>
          <w:spacing w:val="-2"/>
        </w:rPr>
        <w:t>继续保持了</w:t>
      </w:r>
      <w:r>
        <w:rPr>
          <w:color w:val="242424"/>
          <w:spacing w:val="-2"/>
        </w:rPr>
        <w:t>平稳健康的良好发展态势。公</w:t>
      </w:r>
      <w:r>
        <w:rPr>
          <w:spacing w:val="-2"/>
        </w:rPr>
        <w:t>司实现营业收入</w:t>
      </w:r>
      <w:r>
        <w:rPr>
          <w:rFonts w:ascii="Times New Roman" w:hAnsi="Times New Roman" w:cs="Times New Roman" w:eastAsia="Times New Roman" w:hint="default"/>
          <w:spacing w:val="-2"/>
        </w:rPr>
        <w:t>729,012.85</w:t>
      </w:r>
      <w:r>
        <w:rPr>
          <w:spacing w:val="-2"/>
        </w:rPr>
        <w:t>万元，</w:t>
      </w:r>
      <w:r>
        <w:rPr>
          <w:spacing w:val="-54"/>
        </w:rPr>
        <w:t> </w:t>
      </w:r>
      <w:r>
        <w:rPr>
          <w:spacing w:val="-54"/>
        </w:rPr>
      </w:r>
      <w:r>
        <w:rPr/>
        <w:t>比上年同期增长</w:t>
      </w:r>
      <w:r>
        <w:rPr>
          <w:rFonts w:ascii="Times New Roman" w:hAnsi="Times New Roman" w:cs="Times New Roman" w:eastAsia="Times New Roman" w:hint="default"/>
        </w:rPr>
        <w:t>12.56%</w:t>
      </w:r>
      <w:r>
        <w:rPr/>
        <w:t>；归属于上市公司股东的净利润为</w:t>
      </w:r>
      <w:r>
        <w:rPr>
          <w:rFonts w:ascii="Times New Roman" w:hAnsi="Times New Roman" w:cs="Times New Roman" w:eastAsia="Times New Roman" w:hint="default"/>
        </w:rPr>
        <w:t>66,379.96</w:t>
      </w:r>
      <w:r>
        <w:rPr/>
        <w:t>万元，比上年同期下降</w:t>
      </w:r>
      <w:r>
        <w:rPr>
          <w:rFonts w:ascii="Times New Roman" w:hAnsi="Times New Roman" w:cs="Times New Roman" w:eastAsia="Times New Roman" w:hint="default"/>
        </w:rPr>
        <w:t>26.22%</w:t>
      </w:r>
      <w:r>
        <w:rPr/>
        <w:t>。</w:t>
      </w:r>
    </w:p>
    <w:p>
      <w:pPr>
        <w:pStyle w:val="BodyText"/>
        <w:spacing w:line="240" w:lineRule="auto" w:before="133"/>
        <w:ind w:left="633" w:right="0"/>
        <w:jc w:val="left"/>
      </w:pPr>
      <w:r>
        <w:rPr/>
        <w:t>公司在报告期内经营发展情况如下：</w:t>
      </w:r>
    </w:p>
    <w:p>
      <w:pPr>
        <w:spacing w:line="240" w:lineRule="auto" w:before="0"/>
        <w:rPr>
          <w:rFonts w:ascii="宋体" w:hAnsi="宋体" w:cs="宋体" w:eastAsia="宋体" w:hint="default"/>
          <w:sz w:val="15"/>
          <w:szCs w:val="15"/>
        </w:rPr>
      </w:pPr>
    </w:p>
    <w:p>
      <w:pPr>
        <w:pStyle w:val="Heading6"/>
        <w:spacing w:line="415" w:lineRule="auto"/>
        <w:ind w:left="634" w:right="8734" w:firstLine="2"/>
        <w:jc w:val="left"/>
        <w:rPr>
          <w:b w:val="0"/>
          <w:bCs w:val="0"/>
        </w:rPr>
      </w:pPr>
      <w:r>
        <w:rPr/>
        <w:t>（</w:t>
      </w:r>
      <w:r>
        <w:rPr>
          <w:rFonts w:ascii="Times New Roman" w:hAnsi="Times New Roman" w:cs="Times New Roman" w:eastAsia="Times New Roman" w:hint="default"/>
        </w:rPr>
        <w:t>1</w:t>
      </w:r>
      <w:r>
        <w:rPr/>
        <w:t>）主营业务情况</w:t>
      </w:r>
      <w:r>
        <w:rPr>
          <w:w w:val="99"/>
        </w:rPr>
        <w:t> </w:t>
      </w:r>
      <w:r>
        <w:rPr/>
        <w:t>医疗卫生行业</w:t>
      </w:r>
      <w:r>
        <w:rPr>
          <w:b w:val="0"/>
          <w:bCs w:val="0"/>
        </w:rPr>
      </w:r>
    </w:p>
    <w:p>
      <w:pPr>
        <w:pStyle w:val="BodyText"/>
        <w:spacing w:line="316" w:lineRule="auto" w:before="65"/>
        <w:ind w:left="154" w:right="0" w:firstLine="480"/>
        <w:jc w:val="left"/>
      </w:pPr>
      <w:r>
        <w:rPr>
          <w:spacing w:val="-1"/>
        </w:rPr>
        <w:t>公司坚持深耕细作的业务理念，不断为新老客户提供专业化的医疗软件系统及解决方案。报告期内，公司在全国已拥</w:t>
      </w:r>
      <w:r>
        <w:rPr/>
        <w:t> 有近</w:t>
      </w:r>
      <w:r>
        <w:rPr>
          <w:rFonts w:ascii="Times New Roman" w:hAnsi="Times New Roman" w:cs="Times New Roman" w:eastAsia="Times New Roman" w:hint="default"/>
        </w:rPr>
        <w:t>500</w:t>
      </w:r>
      <w:r>
        <w:rPr/>
        <w:t>多家签约医疗卫生客户。</w:t>
      </w:r>
    </w:p>
    <w:p>
      <w:pPr>
        <w:pStyle w:val="BodyText"/>
        <w:spacing w:line="314" w:lineRule="auto" w:before="119"/>
        <w:ind w:left="154" w:right="1032" w:firstLine="480"/>
        <w:jc w:val="left"/>
      </w:pPr>
      <w:r>
        <w:rPr/>
        <w:t>在数字化医疗领域，公司深化完善已签约客户现有系统，相继与青岛大学附属医院、北京安贞医院、成都第七人民医 </w:t>
      </w:r>
      <w:r>
        <w:rPr>
          <w:spacing w:val="-2"/>
        </w:rPr>
        <w:t>院、潍坊市人民医院、珠海市人民医院、秦皇岛市第一医院、中国医科大学附属第一医院、中南大学湘雅医院等多家医院签</w:t>
      </w:r>
      <w:r>
        <w:rPr>
          <w:spacing w:val="-66"/>
        </w:rPr>
        <w:t> </w:t>
      </w:r>
      <w:r>
        <w:rPr>
          <w:spacing w:val="-66"/>
        </w:rPr>
      </w:r>
      <w:r>
        <w:rPr>
          <w:spacing w:val="-2"/>
        </w:rPr>
        <w:t>署信息系统升级及维护合同。公司逐步扩大地市级医院的用户数量，先后与菏泽市中医院、周口市中心医院、沧州市人民医</w:t>
      </w:r>
      <w:r>
        <w:rPr>
          <w:spacing w:val="-66"/>
        </w:rPr>
        <w:t> </w:t>
      </w:r>
      <w:r>
        <w:rPr>
          <w:spacing w:val="-66"/>
        </w:rPr>
      </w:r>
      <w:r>
        <w:rPr>
          <w:spacing w:val="-4"/>
        </w:rPr>
        <w:t>院、黔西南州人民医院等多家地市级医院签署数字化医院信息系统建设项目。同时，公司积极推进黑龙江绥化第一人民医院、</w:t>
      </w:r>
      <w:r>
        <w:rPr>
          <w:spacing w:val="-44"/>
        </w:rPr>
        <w:t> </w:t>
      </w:r>
      <w:r>
        <w:rPr>
          <w:spacing w:val="-44"/>
        </w:rPr>
      </w:r>
      <w:r>
        <w:rPr>
          <w:spacing w:val="-2"/>
        </w:rPr>
        <w:t>西安交通大学第二附属医院等</w:t>
      </w:r>
      <w:r>
        <w:rPr>
          <w:rFonts w:ascii="Times New Roman" w:hAnsi="Times New Roman" w:cs="Times New Roman" w:eastAsia="Times New Roman" w:hint="default"/>
          <w:spacing w:val="-2"/>
        </w:rPr>
        <w:t>30</w:t>
      </w:r>
      <w:r>
        <w:rPr>
          <w:spacing w:val="-2"/>
        </w:rPr>
        <w:t>余家医院的系统上线工作，完成对牡丹江第一人民医院、江西上饶东信集团医院等医院系统</w:t>
      </w:r>
      <w:r>
        <w:rPr>
          <w:spacing w:val="-62"/>
        </w:rPr>
        <w:t> </w:t>
      </w:r>
      <w:r>
        <w:rPr>
          <w:spacing w:val="-62"/>
        </w:rPr>
      </w:r>
      <w:r>
        <w:rPr/>
        <w:t>验收工作。</w:t>
      </w:r>
    </w:p>
    <w:p>
      <w:pPr>
        <w:pStyle w:val="BodyText"/>
        <w:spacing w:line="300" w:lineRule="auto" w:before="141"/>
        <w:ind w:right="1129" w:firstLine="480"/>
        <w:jc w:val="both"/>
      </w:pPr>
      <w:r>
        <w:rPr/>
        <w:t>公司作为</w:t>
      </w:r>
      <w:r>
        <w:rPr>
          <w:rFonts w:ascii="Times New Roman" w:hAnsi="Times New Roman" w:cs="Times New Roman" w:eastAsia="Times New Roman" w:hint="default"/>
        </w:rPr>
        <w:t>DRGs</w:t>
      </w:r>
      <w:r>
        <w:rPr/>
        <w:t>细分行业的领军者</w:t>
      </w:r>
      <w:r>
        <w:rPr>
          <w:rFonts w:ascii="Times New Roman" w:hAnsi="Times New Roman" w:cs="Times New Roman" w:eastAsia="Times New Roman" w:hint="default"/>
        </w:rPr>
        <w:t>,</w:t>
      </w:r>
      <w:r>
        <w:rPr>
          <w:color w:val="1D1D1D"/>
        </w:rPr>
        <w:t>严格遵循</w:t>
      </w:r>
      <w:r>
        <w:rPr>
          <w:rFonts w:ascii="Times New Roman" w:hAnsi="Times New Roman" w:cs="Times New Roman" w:eastAsia="Times New Roman" w:hint="default"/>
          <w:color w:val="1D1D1D"/>
        </w:rPr>
        <w:t>CN-DRGs</w:t>
      </w:r>
      <w:r>
        <w:rPr>
          <w:color w:val="1D1D1D"/>
        </w:rPr>
        <w:t>标准向不同层级客户推出全面的</w:t>
      </w:r>
      <w:r>
        <w:rPr>
          <w:rFonts w:ascii="Times New Roman" w:hAnsi="Times New Roman" w:cs="Times New Roman" w:eastAsia="Times New Roman" w:hint="default"/>
          <w:color w:val="1D1D1D"/>
        </w:rPr>
        <w:t>DRGs</w:t>
      </w:r>
      <w:r>
        <w:rPr>
          <w:color w:val="1D1D1D"/>
        </w:rPr>
        <w:t>解决方案，覆盖区域卫生 </w:t>
      </w:r>
      <w:r>
        <w:rPr>
          <w:color w:val="1D1D1D"/>
          <w:spacing w:val="-2"/>
        </w:rPr>
        <w:t>管理，区域医保基金管理和医院综合管理三大领域</w:t>
      </w:r>
      <w:r>
        <w:rPr>
          <w:spacing w:val="-2"/>
        </w:rPr>
        <w:t>。公司在</w:t>
      </w:r>
      <w:r>
        <w:rPr>
          <w:rFonts w:ascii="Times New Roman" w:hAnsi="Times New Roman" w:cs="Times New Roman" w:eastAsia="Times New Roman" w:hint="default"/>
          <w:spacing w:val="-2"/>
        </w:rPr>
        <w:t>2017</w:t>
      </w:r>
      <w:r>
        <w:rPr>
          <w:spacing w:val="-2"/>
        </w:rPr>
        <w:t>年相继与深圳市医学信息中心、深圳市儿童医院、深圳市中</w:t>
      </w:r>
      <w:r>
        <w:rPr>
          <w:spacing w:val="-63"/>
        </w:rPr>
        <w:t> </w:t>
      </w:r>
      <w:r>
        <w:rPr>
          <w:spacing w:val="-63"/>
        </w:rPr>
      </w:r>
      <w:r>
        <w:rPr/>
        <w:t>医院、武汉市第一医院、郑州中心医院、漯河市第一人民医院、恩施州中心医院等几十余家医疗机构签署</w:t>
      </w:r>
      <w:r>
        <w:rPr>
          <w:rFonts w:ascii="Times New Roman" w:hAnsi="Times New Roman" w:cs="Times New Roman" w:eastAsia="Times New Roman" w:hint="default"/>
        </w:rPr>
        <w:t>DRGs</w:t>
      </w:r>
      <w:r>
        <w:rPr/>
        <w:t>信息系统建</w:t>
      </w:r>
      <w:r>
        <w:rPr>
          <w:spacing w:val="-81"/>
        </w:rPr>
        <w:t> </w:t>
      </w:r>
      <w:r>
        <w:rPr/>
        <w:t>设合同，在医保控费、区域卫生管理和医院管理三个层面积极开展</w:t>
      </w:r>
      <w:r>
        <w:rPr>
          <w:rFonts w:ascii="Times New Roman" w:hAnsi="Times New Roman" w:cs="Times New Roman" w:eastAsia="Times New Roman" w:hint="default"/>
        </w:rPr>
        <w:t>DRGs</w:t>
      </w:r>
      <w:r>
        <w:rPr/>
        <w:t>项目建设。</w:t>
      </w:r>
    </w:p>
    <w:p>
      <w:pPr>
        <w:pStyle w:val="BodyText"/>
        <w:spacing w:line="304" w:lineRule="auto" w:before="133"/>
        <w:ind w:right="1130" w:firstLine="480"/>
        <w:jc w:val="both"/>
      </w:pPr>
      <w:r>
        <w:rPr/>
        <w:t>公司立足医疗卫生信息化行业，积极把握市场机遇，</w:t>
      </w:r>
      <w:r>
        <w:rPr>
          <w:rFonts w:ascii="Times New Roman" w:hAnsi="Times New Roman" w:cs="Times New Roman" w:eastAsia="Times New Roman" w:hint="default"/>
        </w:rPr>
        <w:t>2017</w:t>
      </w:r>
      <w:r>
        <w:rPr/>
        <w:t>年相继与多家大型医疗集团达成合作。</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月，公司与 </w:t>
      </w:r>
      <w:r>
        <w:rPr>
          <w:spacing w:val="-2"/>
        </w:rPr>
        <w:t>京东方展开合作并签署整体医疗信息化建设项目。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月，公司与上海复星医投集团展开合作并签署医院整体信息化建</w:t>
      </w:r>
      <w:r>
        <w:rPr>
          <w:spacing w:val="-57"/>
        </w:rPr>
        <w:t> </w:t>
      </w:r>
      <w:r>
        <w:rPr>
          <w:spacing w:val="-57"/>
        </w:rPr>
      </w:r>
      <w:r>
        <w:rPr/>
        <w:t>设项目，计划承建复星医投集团下属所有成员医院的信息化建设，包括但不限于医院</w:t>
      </w:r>
      <w:r>
        <w:rPr>
          <w:rFonts w:ascii="Times New Roman" w:hAnsi="Times New Roman" w:cs="Times New Roman" w:eastAsia="Times New Roman" w:hint="default"/>
        </w:rPr>
        <w:t>HIS</w:t>
      </w:r>
      <w:r>
        <w:rPr/>
        <w:t>、</w:t>
      </w:r>
      <w:r>
        <w:rPr>
          <w:rFonts w:ascii="Times New Roman" w:hAnsi="Times New Roman" w:cs="Times New Roman" w:eastAsia="Times New Roman" w:hint="default"/>
        </w:rPr>
        <w:t>HERP</w:t>
      </w:r>
      <w:r>
        <w:rPr/>
        <w:t>等软件系统，以全面提高</w:t>
      </w:r>
      <w:r>
        <w:rPr>
          <w:spacing w:val="-28"/>
        </w:rPr>
        <w:t> </w:t>
      </w:r>
      <w:r>
        <w:rPr>
          <w:spacing w:val="-28"/>
        </w:rPr>
      </w:r>
      <w:r>
        <w:rPr>
          <w:spacing w:val="-2"/>
        </w:rPr>
        <w:t>复星医投下属医院的科教研管理水平以及集团化运营、管理和监测的能力。公司凭借其医疗行业积累的市场优势，通过与合</w:t>
      </w:r>
      <w:r>
        <w:rPr>
          <w:spacing w:val="-66"/>
        </w:rPr>
        <w:t> </w:t>
      </w:r>
      <w:r>
        <w:rPr>
          <w:spacing w:val="-66"/>
        </w:rPr>
      </w:r>
      <w:r>
        <w:rPr/>
        <w:t>作方资源互补的协同效应，逐步完善公司在医疗卫生信息化行业的发展规划和全景布局。</w:t>
      </w:r>
    </w:p>
    <w:p>
      <w:pPr>
        <w:pStyle w:val="Heading6"/>
        <w:spacing w:line="240" w:lineRule="auto" w:before="148"/>
        <w:ind w:left="634" w:right="0"/>
        <w:jc w:val="left"/>
        <w:rPr>
          <w:b w:val="0"/>
          <w:bCs w:val="0"/>
        </w:rPr>
      </w:pPr>
      <w:r>
        <w:rPr/>
        <w:t>金融行业</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left="154" w:right="0" w:firstLine="480"/>
        <w:jc w:val="left"/>
      </w:pPr>
      <w:r>
        <w:rPr>
          <w:rFonts w:ascii="Times New Roman" w:hAnsi="Times New Roman" w:cs="Times New Roman" w:eastAsia="Times New Roman" w:hint="default"/>
          <w:spacing w:val="-1"/>
        </w:rPr>
        <w:t>2017</w:t>
      </w:r>
      <w:r>
        <w:rPr>
          <w:spacing w:val="-1"/>
        </w:rPr>
        <w:t>年，公司凭借在软件开发与系统集成方面的行业优势，依靠</w:t>
      </w:r>
      <w:r>
        <w:rPr>
          <w:rFonts w:ascii="Times New Roman" w:hAnsi="Times New Roman" w:cs="Times New Roman" w:eastAsia="Times New Roman" w:hint="default"/>
          <w:spacing w:val="-1"/>
        </w:rPr>
        <w:t>IT</w:t>
      </w:r>
      <w:r>
        <w:rPr>
          <w:spacing w:val="-1"/>
        </w:rPr>
        <w:t>系统规划与建设方面的丰富经验，继续增加在金融</w:t>
      </w:r>
      <w:r>
        <w:rPr/>
        <w:t> 行业的市场份额。</w:t>
      </w:r>
    </w:p>
    <w:p>
      <w:pPr>
        <w:pStyle w:val="BodyText"/>
        <w:spacing w:line="314" w:lineRule="auto" w:before="151"/>
        <w:ind w:right="1033" w:firstLine="480"/>
        <w:jc w:val="left"/>
      </w:pPr>
      <w:r>
        <w:rPr>
          <w:spacing w:val="2"/>
        </w:rPr>
        <w:t>公司保持并深化与老客户的合作关系，保证了在大型国有银行项目上的签约份额，先后成功中标中国邮政储蓄银行</w:t>
      </w:r>
      <w:r>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IT</w:t>
      </w:r>
      <w:r>
        <w:rPr/>
        <w:t>及网络设备集中采购项目及</w:t>
      </w:r>
      <w:r>
        <w:rPr>
          <w:rFonts w:ascii="Times New Roman" w:hAnsi="Times New Roman" w:cs="Times New Roman" w:eastAsia="Times New Roman" w:hint="default"/>
        </w:rPr>
        <w:t>2016</w:t>
      </w:r>
      <w:r>
        <w:rPr/>
        <w:t>年通用软件采购项目</w:t>
      </w:r>
      <w:r>
        <w:rPr>
          <w:rFonts w:ascii="Times New Roman" w:hAnsi="Times New Roman" w:cs="Times New Roman" w:eastAsia="Times New Roman" w:hint="default"/>
        </w:rPr>
        <w:t>,</w:t>
      </w:r>
      <w:r>
        <w:rPr/>
        <w:t>中国人民银行征信中心高端存储及光纤交换设备项目、边界</w:t>
      </w:r>
      <w:r>
        <w:rPr>
          <w:spacing w:val="-39"/>
        </w:rPr>
        <w:t> </w:t>
      </w:r>
      <w:r>
        <w:rPr/>
        <w:t>安全类设备采购项目、低端存储采购项目，中国人民银行征信中心上海生产系统存储扩容项，中国人民银行征信中心主机、</w:t>
      </w:r>
      <w:r>
        <w:rPr/>
        <w:t> </w:t>
      </w:r>
      <w:r>
        <w:rPr>
          <w:spacing w:val="-2"/>
        </w:rPr>
        <w:t>安全、存储等设备续保采购项目，中国人民银行反洗钱监测分析二代系统应用软件开发服务采购项目。公司继续保持在大型</w:t>
      </w:r>
      <w:r>
        <w:rPr>
          <w:spacing w:val="-66"/>
        </w:rPr>
        <w:t> </w:t>
      </w:r>
      <w:r>
        <w:rPr>
          <w:spacing w:val="-66"/>
        </w:rPr>
      </w:r>
      <w:r>
        <w:rPr/>
        <w:t>网络项目上的集成和实施能力的优势，逐步扩大在金融行业的市场份额。</w:t>
      </w:r>
    </w:p>
    <w:p>
      <w:pPr>
        <w:pStyle w:val="BodyText"/>
        <w:spacing w:line="316" w:lineRule="auto" w:before="140"/>
        <w:ind w:right="1133" w:firstLine="480"/>
        <w:jc w:val="both"/>
      </w:pPr>
      <w:r>
        <w:rPr>
          <w:spacing w:val="-1"/>
        </w:rPr>
        <w:t>在商业银行方面，公司继续向老客户提供品质可靠的产品和整体解决方案，相继签约黄河农村商业银行项目群、中关</w:t>
      </w:r>
      <w:r>
        <w:rPr/>
        <w:t> </w:t>
      </w:r>
      <w:r>
        <w:rPr>
          <w:spacing w:val="-2"/>
        </w:rPr>
        <w:t>村银行项目群、长安银行互联网金融项目群、长治银行手机银行及微信银行项目，并新增贵阳银行视频会议系统采购项目和</w:t>
      </w:r>
      <w:r>
        <w:rPr>
          <w:spacing w:val="-66"/>
        </w:rPr>
        <w:t> </w:t>
      </w:r>
      <w:r>
        <w:rPr>
          <w:spacing w:val="-66"/>
        </w:rPr>
      </w:r>
      <w:r>
        <w:rPr/>
        <w:t>本钢集团财务有限公司电票票据池及地上清算项目。</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480"/>
        <w:jc w:val="both"/>
      </w:pPr>
      <w:r>
        <w:rPr>
          <w:spacing w:val="-1"/>
        </w:rPr>
        <w:t>在银行信贷业务领域，新增云南红塔银行、兰州银行、宁夏银行等多家省级银行、省级农信村新一代信贷系统与移动</w:t>
      </w:r>
      <w:r>
        <w:rPr/>
        <w:t> 营销管理平台，逐步增强在银行信贷领域的影响力。</w:t>
      </w:r>
    </w:p>
    <w:p>
      <w:pPr>
        <w:pStyle w:val="BodyText"/>
        <w:spacing w:line="300" w:lineRule="auto" w:before="139"/>
        <w:ind w:right="1132" w:firstLine="480"/>
        <w:jc w:val="both"/>
      </w:pPr>
      <w:r>
        <w:rPr>
          <w:spacing w:val="-1"/>
        </w:rPr>
        <w:t>在信托行业消费金融领域，实施了包括外贸信托、中信信托、华润信托、中建投信托、五矿信托在内的</w:t>
      </w:r>
      <w:r>
        <w:rPr>
          <w:rFonts w:ascii="Times New Roman" w:hAnsi="Times New Roman" w:cs="Times New Roman" w:eastAsia="Times New Roman" w:hint="default"/>
          <w:spacing w:val="-1"/>
        </w:rPr>
        <w:t>68</w:t>
      </w:r>
      <w:r>
        <w:rPr>
          <w:spacing w:val="-1"/>
        </w:rPr>
        <w:t>家信托公司</w:t>
      </w:r>
      <w:r>
        <w:rPr/>
        <w:t> 中超过</w:t>
      </w:r>
      <w:r>
        <w:rPr>
          <w:rFonts w:ascii="Times New Roman" w:hAnsi="Times New Roman" w:cs="Times New Roman" w:eastAsia="Times New Roman" w:hint="default"/>
        </w:rPr>
        <w:t>1/7</w:t>
      </w:r>
      <w:r>
        <w:rPr/>
        <w:t>以上的信托公司的消费金融系统、征信报送及查询系统。其中，消费金融系统对接近百家贷款服务机构及主流三</w:t>
      </w:r>
      <w:r>
        <w:rPr>
          <w:spacing w:val="-49"/>
        </w:rPr>
        <w:t> </w:t>
      </w:r>
      <w:r>
        <w:rPr>
          <w:spacing w:val="-49"/>
        </w:rPr>
      </w:r>
      <w:r>
        <w:rPr/>
        <w:t>方支付机构、三方征信机构，助力信托公司增强盈利能力和核心竞争力。</w:t>
      </w:r>
    </w:p>
    <w:p>
      <w:pPr>
        <w:pStyle w:val="Heading6"/>
        <w:spacing w:line="240" w:lineRule="auto" w:before="151"/>
        <w:ind w:left="573" w:right="0"/>
        <w:jc w:val="left"/>
        <w:rPr>
          <w:b w:val="0"/>
          <w:bCs w:val="0"/>
        </w:rPr>
      </w:pPr>
      <w:r>
        <w:rPr/>
        <w:t>电力行业</w:t>
      </w:r>
      <w:r>
        <w:rPr>
          <w:b w:val="0"/>
          <w:bCs w:val="0"/>
        </w:rPr>
      </w:r>
    </w:p>
    <w:p>
      <w:pPr>
        <w:pStyle w:val="BodyText"/>
        <w:spacing w:line="300" w:lineRule="auto" w:before="76"/>
        <w:ind w:right="1134" w:firstLine="420"/>
        <w:jc w:val="both"/>
      </w:pPr>
      <w:r>
        <w:rPr>
          <w:rFonts w:ascii="Times New Roman" w:hAnsi="Times New Roman" w:cs="Times New Roman" w:eastAsia="Times New Roman" w:hint="default"/>
        </w:rPr>
        <w:t>2017</w:t>
      </w:r>
      <w:r>
        <w:rPr/>
        <w:t>年，公司为适应电力改革带来的新变化，积极布局电力大数据、能源互联网、电力营销及交易等新兴领域，并陆 续形成具有核心竞争力的产品。</w:t>
      </w:r>
    </w:p>
    <w:p>
      <w:pPr>
        <w:pStyle w:val="BodyText"/>
        <w:spacing w:line="316" w:lineRule="auto" w:before="31"/>
        <w:ind w:right="1130" w:firstLine="420"/>
        <w:jc w:val="both"/>
      </w:pPr>
      <w:r>
        <w:rPr/>
        <w:t>在电力大数据方面，公司从原有的单纯信息化管理逐步延伸到水电新能源的控制、数据分析、远程故障诊断等领域， </w:t>
      </w:r>
      <w:r>
        <w:rPr>
          <w:spacing w:val="-2"/>
        </w:rPr>
        <w:t>先后中标国电投多个新能源集控中心项目，为后续此类项目的推广奠定了雄厚基础；在电力营销方面，公司中标国投电力营</w:t>
      </w:r>
      <w:r>
        <w:rPr>
          <w:spacing w:val="-66"/>
        </w:rPr>
        <w:t> </w:t>
      </w:r>
      <w:r>
        <w:rPr>
          <w:spacing w:val="-66"/>
        </w:rPr>
      </w:r>
      <w:r>
        <w:rPr>
          <w:spacing w:val="-2"/>
        </w:rPr>
        <w:t>销系统，积累丰富的实际经验，为发电集团更好的参与电力市场改革提供了完善的系统支持；在能源互联网方面，积极与合</w:t>
      </w:r>
      <w:r>
        <w:rPr>
          <w:spacing w:val="-65"/>
        </w:rPr>
        <w:t> </w:t>
      </w:r>
      <w:r>
        <w:rPr>
          <w:spacing w:val="-65"/>
        </w:rPr>
      </w:r>
      <w:r>
        <w:rPr>
          <w:spacing w:val="-2"/>
        </w:rPr>
        <w:t>作单位配合，在争取能源局试点单位落地上积极布局并有收获，为公司自有产品后续推广奠定基础。此外，公司在区块链的</w:t>
      </w:r>
      <w:r>
        <w:rPr>
          <w:spacing w:val="-66"/>
        </w:rPr>
        <w:t> </w:t>
      </w:r>
      <w:r>
        <w:rPr>
          <w:spacing w:val="-66"/>
        </w:rPr>
      </w:r>
      <w:r>
        <w:rPr/>
        <w:t>基础研究及区块链技术在未来电力现货交易市场的应用已开始研发。</w:t>
      </w:r>
    </w:p>
    <w:p>
      <w:pPr>
        <w:pStyle w:val="BodyText"/>
        <w:spacing w:line="432" w:lineRule="exact" w:before="3"/>
        <w:ind w:left="634" w:right="1118"/>
        <w:jc w:val="left"/>
      </w:pPr>
      <w:r>
        <w:rPr>
          <w:rFonts w:ascii="宋体" w:hAnsi="宋体" w:cs="宋体" w:eastAsia="宋体" w:hint="default"/>
          <w:b/>
          <w:bCs/>
        </w:rPr>
        <w:t>通讯行业</w:t>
      </w:r>
      <w:r>
        <w:rPr>
          <w:rFonts w:ascii="宋体" w:hAnsi="宋体" w:cs="宋体" w:eastAsia="宋体" w:hint="default"/>
          <w:b/>
          <w:bCs/>
          <w:w w:val="99"/>
        </w:rPr>
        <w:t> </w:t>
      </w:r>
      <w:r>
        <w:rPr>
          <w:spacing w:val="-1"/>
        </w:rPr>
        <w:t>公司在</w:t>
      </w:r>
      <w:r>
        <w:rPr>
          <w:rFonts w:ascii="Times New Roman" w:hAnsi="Times New Roman" w:cs="Times New Roman" w:eastAsia="Times New Roman" w:hint="default"/>
          <w:spacing w:val="-1"/>
        </w:rPr>
        <w:t>2017</w:t>
      </w:r>
      <w:r>
        <w:rPr>
          <w:spacing w:val="-1"/>
        </w:rPr>
        <w:t>年度实现了业务量、业务收入和用户总数持续快速增长。公司相继签约了中国移动通信集团贵州互联网自</w:t>
      </w:r>
    </w:p>
    <w:p>
      <w:pPr>
        <w:pStyle w:val="BodyText"/>
        <w:spacing w:line="309" w:lineRule="auto" w:before="15"/>
        <w:ind w:right="1130"/>
        <w:jc w:val="both"/>
      </w:pPr>
      <w:r>
        <w:rPr>
          <w:spacing w:val="-2"/>
        </w:rPr>
        <w:t>动化排障项目、河北移动综合运营管理系统二期工程项目、黑龙江流程管理平台一体化改造及交换机项目、辽宁网络扩容工</w:t>
      </w:r>
      <w:r>
        <w:rPr>
          <w:spacing w:val="-66"/>
        </w:rPr>
        <w:t> </w:t>
      </w:r>
      <w:r>
        <w:rPr>
          <w:spacing w:val="-66"/>
        </w:rPr>
      </w:r>
      <w:r>
        <w:rPr/>
        <w:t>程</w:t>
      </w:r>
      <w:r>
        <w:rPr>
          <w:spacing w:val="15"/>
        </w:rPr>
        <w:t> </w:t>
      </w:r>
      <w:r>
        <w:rPr/>
        <w:t>项目、企业大数据平台建设一期工程系统总集成项目；中国联通安徽系统集成项目、江西</w:t>
      </w:r>
      <w:r>
        <w:rPr>
          <w:rFonts w:ascii="Times New Roman" w:hAnsi="Times New Roman" w:cs="Times New Roman" w:eastAsia="Times New Roman" w:hint="default"/>
        </w:rPr>
        <w:t>IT</w:t>
      </w:r>
      <w:r>
        <w:rPr/>
        <w:t>承载网扩容二期工程项目、 北京联通信息化部</w:t>
      </w:r>
      <w:r>
        <w:rPr>
          <w:rFonts w:ascii="Times New Roman" w:hAnsi="Times New Roman" w:cs="Times New Roman" w:eastAsia="Times New Roman" w:hint="default"/>
        </w:rPr>
        <w:t>IT</w:t>
      </w:r>
      <w:r>
        <w:rPr/>
        <w:t>承载网络维护及扩容工程网络流量分析设备项目等。</w:t>
      </w:r>
    </w:p>
    <w:p>
      <w:pPr>
        <w:pStyle w:val="Heading6"/>
        <w:spacing w:line="240" w:lineRule="auto" w:before="125"/>
        <w:ind w:right="0"/>
        <w:jc w:val="left"/>
        <w:rPr>
          <w:b w:val="0"/>
          <w:bCs w:val="0"/>
        </w:rPr>
      </w:pPr>
      <w:r>
        <w:rPr/>
        <w:t>交通运输行业</w:t>
      </w:r>
      <w:r>
        <w:rPr>
          <w:b w:val="0"/>
          <w:bCs w:val="0"/>
        </w:rPr>
      </w:r>
    </w:p>
    <w:p>
      <w:pPr>
        <w:spacing w:line="240" w:lineRule="auto" w:before="0"/>
        <w:rPr>
          <w:rFonts w:ascii="宋体" w:hAnsi="宋体" w:cs="宋体" w:eastAsia="宋体" w:hint="default"/>
          <w:b/>
          <w:bCs/>
          <w:sz w:val="15"/>
          <w:szCs w:val="15"/>
        </w:rPr>
      </w:pPr>
    </w:p>
    <w:p>
      <w:pPr>
        <w:pStyle w:val="BodyText"/>
        <w:spacing w:line="312" w:lineRule="auto"/>
        <w:ind w:right="1033" w:firstLine="480"/>
        <w:jc w:val="left"/>
      </w:pPr>
      <w:r>
        <w:rPr/>
        <w:t>公司凭借过硬的产品质量、系统化的解决方案、良好的售后服务及企业形象，在交通运输行业持续开拓并积累了重点 客户资源，先后中标海航集团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月和</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IT</w:t>
      </w:r>
      <w:r>
        <w:rPr/>
        <w:t>设备集中采购项目、四川航空</w:t>
      </w:r>
      <w:r>
        <w:rPr>
          <w:rFonts w:ascii="Times New Roman" w:hAnsi="Times New Roman" w:cs="Times New Roman" w:eastAsia="Times New Roman" w:hint="default"/>
        </w:rPr>
        <w:t>A350</w:t>
      </w:r>
      <w:r>
        <w:rPr/>
        <w:t>系统采购项目、国航</w:t>
      </w:r>
      <w:r>
        <w:rPr>
          <w:rFonts w:ascii="Times New Roman" w:hAnsi="Times New Roman" w:cs="Times New Roman" w:eastAsia="Times New Roman" w:hint="default"/>
        </w:rPr>
        <w:t>cognos</w:t>
      </w:r>
      <w:r>
        <w:rPr/>
        <w:t>、 </w:t>
      </w:r>
      <w:r>
        <w:rPr>
          <w:rFonts w:ascii="Times New Roman" w:hAnsi="Times New Roman" w:cs="Times New Roman" w:eastAsia="Times New Roman" w:hint="default"/>
        </w:rPr>
        <w:t>websphere</w:t>
      </w:r>
      <w:r>
        <w:rPr/>
        <w:t>软件产品维护项目、上海嘉星物流公司近千万级项目等。通过与重点客户建立并维持良好的合作关系，以有效地</w:t>
      </w:r>
      <w:r>
        <w:rPr>
          <w:spacing w:val="-49"/>
        </w:rPr>
        <w:t> </w:t>
      </w:r>
      <w:r>
        <w:rPr>
          <w:spacing w:val="-49"/>
        </w:rPr>
      </w:r>
      <w:r>
        <w:rPr>
          <w:spacing w:val="-2"/>
        </w:rPr>
        <w:t>扩大公司产品的知名度。报告期内，公司相继签约北京首都国际机场股份有限公司能源管理软件扩展需求开发及维保外包项</w:t>
      </w:r>
      <w:r>
        <w:rPr>
          <w:spacing w:val="-63"/>
        </w:rPr>
        <w:t> </w:t>
      </w:r>
      <w:r>
        <w:rPr>
          <w:spacing w:val="-63"/>
        </w:rPr>
      </w:r>
      <w:r>
        <w:rPr>
          <w:spacing w:val="-2"/>
        </w:rPr>
        <w:t>目、福州中外运现代物有限公司网络设备采购和技术服务项目、广西北部湾航空有限责任公司人资行政部网络改造项目、海</w:t>
      </w:r>
      <w:r>
        <w:rPr>
          <w:spacing w:val="-66"/>
        </w:rPr>
        <w:t> </w:t>
      </w:r>
      <w:r>
        <w:rPr>
          <w:spacing w:val="-66"/>
        </w:rPr>
      </w:r>
      <w:r>
        <w:rPr/>
        <w:t>南航空股份有限公司设备维保项目、交通运输部规划研究院项目等，为公司将来进一步拓展市场打下了坚实基础。</w:t>
      </w:r>
    </w:p>
    <w:p>
      <w:pPr>
        <w:spacing w:line="432" w:lineRule="exact" w:before="7"/>
        <w:ind w:left="633" w:right="0" w:firstLine="0"/>
        <w:jc w:val="left"/>
        <w:rPr>
          <w:rFonts w:ascii="宋体" w:hAnsi="宋体" w:cs="宋体" w:eastAsia="宋体" w:hint="default"/>
          <w:sz w:val="18"/>
          <w:szCs w:val="18"/>
        </w:rPr>
      </w:pPr>
      <w:r>
        <w:rPr>
          <w:rFonts w:ascii="宋体" w:hAnsi="宋体" w:cs="宋体" w:eastAsia="宋体" w:hint="default"/>
          <w:b/>
          <w:bCs/>
          <w:sz w:val="18"/>
          <w:szCs w:val="18"/>
        </w:rPr>
        <w:t>水利、气象海洋及政府行业</w:t>
      </w:r>
      <w:r>
        <w:rPr>
          <w:rFonts w:ascii="宋体" w:hAnsi="宋体" w:cs="宋体" w:eastAsia="宋体" w:hint="default"/>
          <w:b/>
          <w:bCs/>
          <w:w w:val="99"/>
          <w:sz w:val="18"/>
          <w:szCs w:val="18"/>
        </w:rPr>
        <w:t> </w:t>
      </w:r>
      <w:r>
        <w:rPr>
          <w:rFonts w:ascii="宋体" w:hAnsi="宋体" w:cs="宋体" w:eastAsia="宋体" w:hint="default"/>
          <w:spacing w:val="-1"/>
          <w:sz w:val="18"/>
          <w:szCs w:val="18"/>
        </w:rPr>
        <w:t>在水利方面，公司持续推进和落实既定战略，依靠专业的技术实力和优质的技术服务，不断拓展新客户和行业细分市</w:t>
      </w:r>
    </w:p>
    <w:p>
      <w:pPr>
        <w:pStyle w:val="BodyText"/>
        <w:spacing w:line="316" w:lineRule="auto" w:before="15"/>
        <w:ind w:right="1033"/>
        <w:jc w:val="left"/>
      </w:pPr>
      <w:r>
        <w:rPr>
          <w:spacing w:val="-4"/>
        </w:rPr>
        <w:t>场，逐步增加市场占有率。在水资源领域，公司基于为国家水资源监控能力建设项目一期系统提供优质服务，相继与吉林省、</w:t>
      </w:r>
      <w:r>
        <w:rPr>
          <w:spacing w:val="-46"/>
        </w:rPr>
        <w:t> </w:t>
      </w:r>
      <w:r>
        <w:rPr>
          <w:spacing w:val="-46"/>
        </w:rPr>
      </w:r>
      <w:r>
        <w:rPr>
          <w:spacing w:val="-2"/>
        </w:rPr>
        <w:t>珠江委、松辽委、淮委、重庆市、黑龙江省、河南省、内蒙古自治区、四川省、云南省、水科院等签署了国家水资源监控能</w:t>
      </w:r>
      <w:r>
        <w:rPr>
          <w:spacing w:val="-69"/>
        </w:rPr>
        <w:t> </w:t>
      </w:r>
      <w:r>
        <w:rPr>
          <w:spacing w:val="-69"/>
        </w:rPr>
      </w:r>
      <w:r>
        <w:rPr/>
        <w:t>力建设项目二期合同。在水利工程领域，公司先后签署了</w:t>
      </w:r>
      <w:r>
        <w:rPr>
          <w:rFonts w:ascii="Times New Roman" w:hAnsi="Times New Roman" w:cs="Times New Roman" w:eastAsia="Times New Roman" w:hint="default"/>
        </w:rPr>
        <w:t>LXB</w:t>
      </w:r>
      <w:r>
        <w:rPr/>
        <w:t>供水工程信息化系统、引黄入冀补淀信息化系统等项目合同。 </w:t>
      </w:r>
      <w:r>
        <w:rPr>
          <w:spacing w:val="-2"/>
        </w:rPr>
        <w:t>在农村水利领域，公司签署了内蒙古农业灌溉信息化管理平台项目合同。在智慧灌区领域，公司签署了疏勒河灌区干流水资</w:t>
      </w:r>
      <w:r>
        <w:rPr>
          <w:spacing w:val="-66"/>
        </w:rPr>
        <w:t> </w:t>
      </w:r>
      <w:r>
        <w:rPr>
          <w:spacing w:val="-66"/>
        </w:rPr>
      </w:r>
      <w:r>
        <w:rPr>
          <w:spacing w:val="-2"/>
        </w:rPr>
        <w:t>源监测和调度管理项目合同。在水利信息化资源整合领域，公司先后与淮委、新疆维吾尔自治区等签署了资源整合应用平台</w:t>
      </w:r>
      <w:r>
        <w:rPr>
          <w:spacing w:val="-66"/>
        </w:rPr>
        <w:t> </w:t>
      </w:r>
      <w:r>
        <w:rPr>
          <w:spacing w:val="-66"/>
        </w:rPr>
      </w:r>
      <w:r>
        <w:rPr>
          <w:spacing w:val="-2"/>
        </w:rPr>
        <w:t>项目合同。在水利安监领域，公司与水利部签署了应用支撑平台及业务协同项目合同。在水利大数据领域，公司与水利部签</w:t>
      </w:r>
      <w:r>
        <w:rPr>
          <w:spacing w:val="-66"/>
        </w:rPr>
        <w:t> </w:t>
      </w:r>
      <w:r>
        <w:rPr>
          <w:spacing w:val="-66"/>
        </w:rPr>
      </w:r>
      <w:r>
        <w:rPr>
          <w:spacing w:val="-4"/>
        </w:rPr>
        <w:t>署了水资源大数据分析与应用服务合同。在河长制领域，公司自主研发的河长制平台在山东、云南等省份已开始试用。此外，</w:t>
      </w:r>
      <w:r>
        <w:rPr>
          <w:spacing w:val="-46"/>
        </w:rPr>
        <w:t> </w:t>
      </w:r>
      <w:r>
        <w:rPr>
          <w:spacing w:val="-46"/>
        </w:rPr>
      </w:r>
      <w:r>
        <w:rPr>
          <w:spacing w:val="-2"/>
        </w:rPr>
        <w:t>公司积极展开智慧水利顶层设计，在报告期内与华为、腾讯、阿里等展开多维度合作，并结合物联网、大数据、人工智能等</w:t>
      </w:r>
      <w:r>
        <w:rPr>
          <w:spacing w:val="-68"/>
        </w:rPr>
        <w:t> </w:t>
      </w:r>
      <w:r>
        <w:rPr>
          <w:spacing w:val="-68"/>
        </w:rPr>
      </w:r>
      <w:r>
        <w:rPr/>
        <w:t>技术在水利行业进行试点应用。</w:t>
      </w:r>
    </w:p>
    <w:p>
      <w:pPr>
        <w:pStyle w:val="BodyText"/>
        <w:spacing w:line="309" w:lineRule="auto" w:before="139"/>
        <w:ind w:right="1131" w:firstLine="480"/>
        <w:jc w:val="both"/>
      </w:pPr>
      <w:r>
        <w:rPr>
          <w:spacing w:val="-1"/>
        </w:rPr>
        <w:t>在气象海洋信息化业务领域，公司继续深化完善现有项目，完成对国家卫星气象中心风云二号和风云三号卫星部分地</w:t>
      </w:r>
      <w:r>
        <w:rPr/>
        <w:t> </w:t>
      </w:r>
      <w:r>
        <w:rPr>
          <w:spacing w:val="-2"/>
        </w:rPr>
        <w:t>面系统软硬件维护工作</w:t>
      </w:r>
      <w:r>
        <w:rPr>
          <w:rFonts w:ascii="Times New Roman" w:hAnsi="Times New Roman" w:cs="Times New Roman" w:eastAsia="Times New Roman" w:hint="default"/>
          <w:spacing w:val="-2"/>
        </w:rPr>
        <w:t>,</w:t>
      </w:r>
      <w:r>
        <w:rPr>
          <w:spacing w:val="-2"/>
        </w:rPr>
        <w:t>并签约了国家卫星气象中心的风云三号</w:t>
      </w:r>
      <w:r>
        <w:rPr>
          <w:rFonts w:ascii="Times New Roman" w:hAnsi="Times New Roman" w:cs="Times New Roman" w:eastAsia="Times New Roman" w:hint="default"/>
          <w:spacing w:val="-2"/>
        </w:rPr>
        <w:t>02</w:t>
      </w:r>
      <w:r>
        <w:rPr>
          <w:spacing w:val="-2"/>
        </w:rPr>
        <w:t>批气象卫星（</w:t>
      </w:r>
      <w:r>
        <w:rPr>
          <w:rFonts w:ascii="Times New Roman" w:hAnsi="Times New Roman" w:cs="Times New Roman" w:eastAsia="Times New Roman" w:hint="default"/>
          <w:spacing w:val="-2"/>
        </w:rPr>
        <w:t>D</w:t>
      </w:r>
      <w:r>
        <w:rPr>
          <w:spacing w:val="-2"/>
        </w:rPr>
        <w:t>星）地面应用系统软件、人工增雨作业潜力</w:t>
      </w:r>
      <w:r>
        <w:rPr>
          <w:spacing w:val="-59"/>
        </w:rPr>
        <w:t> </w:t>
      </w:r>
      <w:r>
        <w:rPr>
          <w:spacing w:val="-59"/>
        </w:rPr>
      </w:r>
      <w:r>
        <w:rPr/>
        <w:t>与作业技术研究等项目。</w:t>
      </w:r>
    </w:p>
    <w:p>
      <w:pPr>
        <w:pStyle w:val="BodyText"/>
        <w:spacing w:line="300" w:lineRule="auto" w:before="144"/>
        <w:ind w:left="154" w:right="1131" w:firstLine="480"/>
        <w:jc w:val="both"/>
      </w:pPr>
      <w:r>
        <w:rPr>
          <w:spacing w:val="-1"/>
        </w:rPr>
        <w:t>在政府方面，公司自</w:t>
      </w:r>
      <w:r>
        <w:rPr>
          <w:rFonts w:ascii="Times New Roman" w:hAnsi="Times New Roman" w:cs="Times New Roman" w:eastAsia="Times New Roman" w:hint="default"/>
          <w:spacing w:val="-1"/>
        </w:rPr>
        <w:t>2016</w:t>
      </w:r>
      <w:r>
        <w:rPr>
          <w:spacing w:val="-1"/>
        </w:rPr>
        <w:t>年开启全国人大信息资源整合工作的序幕以来，在本报告期内公司作为全国人大信息化建设</w:t>
      </w:r>
      <w:r>
        <w:rPr/>
        <w:t> </w:t>
      </w:r>
      <w:r>
        <w:rPr>
          <w:spacing w:val="-2"/>
        </w:rPr>
        <w:t>的主要应用开发商，先后参与了全国人大应用支撑平台、数据资源整理与整合、法规法律备案审查信息平台、会议服务反映</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0"/>
        <w:jc w:val="left"/>
      </w:pPr>
      <w:r>
        <w:rPr>
          <w:spacing w:val="-2"/>
        </w:rPr>
        <w:t>与审议系统等项目建设，其技术平台已经成为全国人大信息化建设的基础，并全面应用于人大各类业务应用系统建设中。法</w:t>
      </w:r>
      <w:r>
        <w:rPr>
          <w:spacing w:val="-66"/>
        </w:rPr>
        <w:t> </w:t>
      </w:r>
      <w:r>
        <w:rPr>
          <w:spacing w:val="-66"/>
        </w:rPr>
      </w:r>
      <w:r>
        <w:rPr>
          <w:spacing w:val="-4"/>
        </w:rPr>
        <w:t>律法规备案审查信息平台作为全国人大法律监督的重要支撑，也是未来合宪性审查的重要基础，目前该平台已逐步向省、市、</w:t>
      </w:r>
      <w:r>
        <w:rPr>
          <w:spacing w:val="-44"/>
        </w:rPr>
        <w:t> </w:t>
      </w:r>
      <w:r>
        <w:rPr>
          <w:spacing w:val="-44"/>
        </w:rPr>
      </w:r>
      <w:r>
        <w:rPr/>
        <w:t>县三级进行推广，已覆盖全国</w:t>
      </w:r>
      <w:r>
        <w:rPr>
          <w:rFonts w:ascii="Times New Roman" w:hAnsi="Times New Roman" w:cs="Times New Roman" w:eastAsia="Times New Roman" w:hint="default"/>
        </w:rPr>
        <w:t>31</w:t>
      </w:r>
      <w:r>
        <w:rPr/>
        <w:t>个省市和</w:t>
      </w:r>
      <w:r>
        <w:rPr>
          <w:rFonts w:ascii="Times New Roman" w:hAnsi="Times New Roman" w:cs="Times New Roman" w:eastAsia="Times New Roman" w:hint="default"/>
        </w:rPr>
        <w:t>4</w:t>
      </w:r>
      <w:r>
        <w:rPr/>
        <w:t>个经济特区。报告期内，公司积极拓展各省人大信息化市场，先后中标安徽、河</w:t>
      </w:r>
      <w:r>
        <w:rPr>
          <w:spacing w:val="-83"/>
        </w:rPr>
        <w:t> </w:t>
      </w:r>
      <w:r>
        <w:rPr>
          <w:spacing w:val="-83"/>
        </w:rPr>
      </w:r>
      <w:r>
        <w:rPr/>
        <w:t>南、湖北、江西、宁夏、福建等多省份省级</w:t>
      </w:r>
      <w:r>
        <w:rPr>
          <w:rFonts w:ascii="Times New Roman" w:hAnsi="Times New Roman" w:cs="Times New Roman" w:eastAsia="Times New Roman" w:hint="default"/>
        </w:rPr>
        <w:t>“</w:t>
      </w:r>
      <w:r>
        <w:rPr/>
        <w:t>备案审查信息平台</w:t>
      </w:r>
      <w:r>
        <w:rPr>
          <w:rFonts w:ascii="Times New Roman" w:hAnsi="Times New Roman" w:cs="Times New Roman" w:eastAsia="Times New Roman" w:hint="default"/>
        </w:rPr>
        <w:t>”</w:t>
      </w:r>
      <w:r>
        <w:rPr/>
        <w:t>的建设及实施项目。值得一提的是，</w:t>
      </w:r>
      <w:r>
        <w:rPr>
          <w:rFonts w:ascii="Times New Roman" w:hAnsi="Times New Roman" w:cs="Times New Roman" w:eastAsia="Times New Roman" w:hint="default"/>
        </w:rPr>
        <w:t>2017</w:t>
      </w:r>
      <w:r>
        <w:rPr/>
        <w:t>年经第十二届全国 </w:t>
      </w:r>
      <w:r>
        <w:rPr>
          <w:spacing w:val="-2"/>
        </w:rPr>
        <w:t>人民代表大会第五次会议表决通过的《中华人民共和国民法通则》和</w:t>
      </w:r>
      <w:r>
        <w:rPr>
          <w:rFonts w:ascii="Times New Roman" w:hAnsi="Times New Roman" w:cs="Times New Roman" w:eastAsia="Times New Roman" w:hint="default"/>
          <w:spacing w:val="-2"/>
        </w:rPr>
        <w:t>2018</w:t>
      </w:r>
      <w:r>
        <w:rPr>
          <w:spacing w:val="-2"/>
        </w:rPr>
        <w:t>年十三届全国人大一次会议第三次全体会议表决通</w:t>
      </w:r>
      <w:r>
        <w:rPr>
          <w:spacing w:val="-60"/>
        </w:rPr>
        <w:t> </w:t>
      </w:r>
      <w:r>
        <w:rPr/>
        <w:t>过的《中华人民共和国宪法修正案》正是通过由公司建设的会议服务反映与审议系统产生。</w:t>
      </w:r>
    </w:p>
    <w:p>
      <w:pPr>
        <w:pStyle w:val="BodyText"/>
        <w:spacing w:line="300" w:lineRule="auto" w:before="146"/>
        <w:ind w:left="154" w:right="0" w:firstLine="480"/>
        <w:jc w:val="left"/>
      </w:pPr>
      <w:r>
        <w:rPr/>
        <w:t>公司继续保持与国家外汇管理局良好的合作关系，在报告期内负责了</w:t>
      </w:r>
      <w:r>
        <w:rPr>
          <w:rFonts w:ascii="Times New Roman" w:hAnsi="Times New Roman" w:cs="Times New Roman" w:eastAsia="Times New Roman" w:hint="default"/>
        </w:rPr>
        <w:t>“</w:t>
      </w:r>
      <w:r>
        <w:rPr/>
        <w:t>国家外汇管理局对外金融资产负债统计交易系 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大数据应用场景开发</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上海自贸区数据采集分析</w:t>
      </w:r>
      <w:r>
        <w:rPr>
          <w:rFonts w:ascii="Times New Roman" w:hAnsi="Times New Roman" w:cs="Times New Roman" w:eastAsia="Times New Roman" w:hint="default"/>
        </w:rPr>
        <w:t>”</w:t>
      </w:r>
      <w:r>
        <w:rPr/>
        <w:t>等重点项目。</w:t>
      </w:r>
    </w:p>
    <w:p>
      <w:pPr>
        <w:pStyle w:val="BodyText"/>
        <w:spacing w:line="316" w:lineRule="auto" w:before="133"/>
        <w:ind w:right="1132" w:firstLine="480"/>
        <w:jc w:val="both"/>
      </w:pPr>
      <w:r>
        <w:rPr>
          <w:spacing w:val="-1"/>
        </w:rPr>
        <w:t>公司大力推进政府项目，相继签约贵阳市民宗委、商务局和质量技术监督局等数据铁笼建设项目。此外，公司先后中</w:t>
      </w:r>
      <w:r>
        <w:rPr/>
        <w:t> </w:t>
      </w:r>
      <w:r>
        <w:rPr>
          <w:spacing w:val="-2"/>
        </w:rPr>
        <w:t>标上海市检察机关电子检务工程远程教育培训系统项目、国家认监委软件维保项目，国家信息中心政府外网二期项目、云平</w:t>
      </w:r>
      <w:r>
        <w:rPr>
          <w:spacing w:val="-66"/>
        </w:rPr>
        <w:t> </w:t>
      </w:r>
      <w:r>
        <w:rPr>
          <w:spacing w:val="-66"/>
        </w:rPr>
      </w:r>
      <w:r>
        <w:rPr>
          <w:spacing w:val="-2"/>
        </w:rPr>
        <w:t>台设备采购和系统集成项目、国家公共资源交易服务平台一期工程项目，百色市公共信用信息平台建设及运行维护项目，大</w:t>
      </w:r>
      <w:r>
        <w:rPr>
          <w:spacing w:val="-66"/>
        </w:rPr>
        <w:t> </w:t>
      </w:r>
      <w:r>
        <w:rPr>
          <w:spacing w:val="-66"/>
        </w:rPr>
      </w:r>
      <w:r>
        <w:rPr/>
        <w:t>新县城区不动产统一登记历史数据整合建库项目，上海市检查机关电子检务工程远程教育培训系统项目等。</w:t>
      </w:r>
    </w:p>
    <w:p>
      <w:pPr>
        <w:pStyle w:val="BodyText"/>
        <w:spacing w:line="432" w:lineRule="exact" w:before="3"/>
        <w:ind w:left="633" w:right="0"/>
        <w:jc w:val="left"/>
      </w:pPr>
      <w:r>
        <w:rPr>
          <w:rFonts w:ascii="宋体" w:hAnsi="宋体" w:cs="宋体" w:eastAsia="宋体" w:hint="default"/>
          <w:b/>
          <w:bCs/>
        </w:rPr>
        <w:t>石油石化、煤炭行业</w:t>
      </w:r>
      <w:r>
        <w:rPr>
          <w:rFonts w:ascii="宋体" w:hAnsi="宋体" w:cs="宋体" w:eastAsia="宋体" w:hint="default"/>
          <w:b/>
          <w:bCs/>
          <w:w w:val="99"/>
        </w:rPr>
        <w:t> </w:t>
      </w:r>
      <w:r>
        <w:rPr>
          <w:spacing w:val="-1"/>
        </w:rPr>
        <w:t>在石油石化领域，公司已签约延长石油（集团）有限责任公司中心机房网络环境安全运维项目、中国石化中原石油化</w:t>
      </w:r>
    </w:p>
    <w:p>
      <w:pPr>
        <w:pStyle w:val="BodyText"/>
        <w:spacing w:line="316" w:lineRule="auto" w:before="15"/>
        <w:ind w:right="1131"/>
        <w:jc w:val="both"/>
      </w:pPr>
      <w:r>
        <w:rPr>
          <w:spacing w:val="-2"/>
        </w:rPr>
        <w:t>工有限责任公司服务器虚拟化平台项目、中国石油天然气股份有限公司青海油田油气生产物联网系统设备管理和系统运维平</w:t>
      </w:r>
      <w:r>
        <w:rPr>
          <w:spacing w:val="-64"/>
        </w:rPr>
        <w:t> </w:t>
      </w:r>
      <w:r>
        <w:rPr>
          <w:spacing w:val="-64"/>
        </w:rPr>
      </w:r>
      <w:r>
        <w:rPr>
          <w:spacing w:val="-2"/>
        </w:rPr>
        <w:t>台项目、科技项目运行管理系统项目、网络交换机项目，中化石油浙江有限公司硬件采购项目、分销油库提油凭证系统硬件</w:t>
      </w:r>
      <w:r>
        <w:rPr>
          <w:spacing w:val="-66"/>
        </w:rPr>
        <w:t> </w:t>
      </w:r>
      <w:r>
        <w:rPr>
          <w:spacing w:val="-66"/>
        </w:rPr>
      </w:r>
      <w:r>
        <w:rPr/>
        <w:t>采购项目。</w:t>
      </w:r>
    </w:p>
    <w:p>
      <w:pPr>
        <w:pStyle w:val="BodyText"/>
        <w:spacing w:line="316" w:lineRule="auto" w:before="139"/>
        <w:ind w:left="154" w:right="1133" w:firstLine="480"/>
        <w:jc w:val="both"/>
      </w:pPr>
      <w:r>
        <w:rPr>
          <w:spacing w:val="-1"/>
        </w:rPr>
        <w:t>在煤炭方面，公司凭借在煤炭行业的技术优势，积极开拓煤炭行业市场，成功中标隆德煤矿综合自动化项目、中煤能</w:t>
      </w:r>
      <w:r>
        <w:rPr/>
        <w:t> </w:t>
      </w:r>
      <w:r>
        <w:rPr>
          <w:spacing w:val="-2"/>
        </w:rPr>
        <w:t>源集团公司视频监控联网系统二期工程等项目。其中，中煤能源集团公司视频监控联网系统二期工程项目包括集团总部、大</w:t>
      </w:r>
      <w:r>
        <w:rPr>
          <w:spacing w:val="-66"/>
        </w:rPr>
        <w:t> </w:t>
      </w:r>
      <w:r>
        <w:rPr>
          <w:spacing w:val="-66"/>
        </w:rPr>
      </w:r>
      <w:r>
        <w:rPr/>
        <w:t>屯、鄂尔多斯分公司、图克化肥厂、陕西公司、山不拉矿、蒙大公司、远新公司、国投新集、中天合创、山东公司等。</w:t>
      </w:r>
    </w:p>
    <w:p>
      <w:pPr>
        <w:pStyle w:val="BodyText"/>
        <w:spacing w:line="432" w:lineRule="exact" w:before="4"/>
        <w:ind w:left="633" w:right="0"/>
        <w:jc w:val="left"/>
      </w:pPr>
      <w:r>
        <w:rPr>
          <w:rFonts w:ascii="宋体" w:hAnsi="宋体" w:cs="宋体" w:eastAsia="宋体" w:hint="default"/>
          <w:b/>
          <w:bCs/>
        </w:rPr>
        <w:t>智慧城市及智慧社区</w:t>
      </w:r>
      <w:r>
        <w:rPr>
          <w:rFonts w:ascii="宋体" w:hAnsi="宋体" w:cs="宋体" w:eastAsia="宋体" w:hint="default"/>
          <w:b/>
          <w:bCs/>
          <w:w w:val="99"/>
        </w:rPr>
        <w:t> </w:t>
      </w:r>
      <w:r>
        <w:rPr>
          <w:spacing w:val="-3"/>
        </w:rPr>
        <w:t>东华智慧城市集团</w:t>
      </w:r>
      <w:r>
        <w:rPr>
          <w:rFonts w:ascii="Times New Roman" w:hAnsi="Times New Roman" w:cs="Times New Roman" w:eastAsia="Times New Roman" w:hint="default"/>
          <w:spacing w:val="-3"/>
        </w:rPr>
        <w:t>2017</w:t>
      </w:r>
      <w:r>
        <w:rPr>
          <w:spacing w:val="-3"/>
        </w:rPr>
        <w:t>年继续发力新型智慧城市国家战略，布局市场及制定技术发展规划，先后成功中标辽宁、陕西、</w:t>
      </w:r>
    </w:p>
    <w:p>
      <w:pPr>
        <w:pStyle w:val="BodyText"/>
        <w:spacing w:line="309" w:lineRule="auto" w:before="15"/>
        <w:ind w:right="1130"/>
        <w:jc w:val="both"/>
      </w:pPr>
      <w:r>
        <w:rPr/>
        <w:t>湖南、广东、广西、贵州等省份数十个智慧项目，并与腾讯云联合在数博会发布扶贫云，重新构建</w:t>
      </w:r>
      <w:r>
        <w:rPr>
          <w:rFonts w:ascii="Times New Roman" w:hAnsi="Times New Roman" w:cs="Times New Roman" w:eastAsia="Times New Roman" w:hint="default"/>
        </w:rPr>
        <w:t>SAAS</w:t>
      </w:r>
      <w:r>
        <w:rPr/>
        <w:t>化各类普惠服务能 </w:t>
      </w:r>
      <w:r>
        <w:rPr>
          <w:spacing w:val="-2"/>
        </w:rPr>
        <w:t>力。东华智慧城市集团在文化旅游、食品安全、粮食监管、政务服务、城市安全等领域不断新增创新案例，持续完善项目案</w:t>
      </w:r>
      <w:r>
        <w:rPr>
          <w:spacing w:val="-68"/>
        </w:rPr>
        <w:t> </w:t>
      </w:r>
      <w:r>
        <w:rPr>
          <w:spacing w:val="-68"/>
        </w:rPr>
      </w:r>
      <w:r>
        <w:rPr/>
        <w:t>例。东华智慧城市集团以</w:t>
      </w:r>
      <w:r>
        <w:rPr>
          <w:rFonts w:ascii="Times New Roman" w:hAnsi="Times New Roman" w:cs="Times New Roman" w:eastAsia="Times New Roman" w:hint="default"/>
        </w:rPr>
        <w:t>“</w:t>
      </w:r>
      <w:r>
        <w:rPr/>
        <w:t>未来新型智慧城市</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实现惠民为目标，通过协助政府打造新经济产业来进一步优化产业机</w:t>
      </w:r>
      <w:r>
        <w:rPr>
          <w:spacing w:val="-78"/>
        </w:rPr>
        <w:t> </w:t>
      </w:r>
      <w:r>
        <w:rPr>
          <w:spacing w:val="-78"/>
        </w:rPr>
      </w:r>
      <w:r>
        <w:rPr>
          <w:spacing w:val="-2"/>
        </w:rPr>
        <w:t>构，增强核心竞争力的同时助力政府提升服务效率与质量。报告期内，东华智慧城市集团持续加强技术创新投入，在云计算</w:t>
      </w:r>
      <w:r>
        <w:rPr>
          <w:spacing w:val="-66"/>
        </w:rPr>
        <w:t> </w:t>
      </w:r>
      <w:r>
        <w:rPr>
          <w:spacing w:val="-66"/>
        </w:rPr>
      </w:r>
      <w:r>
        <w:rPr/>
        <w:t>和人工智能领域新增研发人员并已完成基础技术研发，通过对外技术合作确立市场领先地位。</w:t>
      </w:r>
    </w:p>
    <w:p>
      <w:pPr>
        <w:pStyle w:val="BodyText"/>
        <w:spacing w:line="316" w:lineRule="auto" w:before="144"/>
        <w:ind w:right="0" w:firstLine="480"/>
        <w:jc w:val="left"/>
      </w:pPr>
      <w:r>
        <w:rPr/>
        <w:t>在智慧社区业务上，子公司互联宜家报告期内先后在天津、哈尔滨、陕西等省市陆续开展业务落地。在网络建设集成 </w:t>
      </w:r>
      <w:r>
        <w:rPr>
          <w:spacing w:val="-4"/>
        </w:rPr>
        <w:t>业务上，互联宜家与贵州广电、天津广电建立良好的合作伙伴关系，并相继与贵州遵义、毕节、安顺等市政府签署合作协议，</w:t>
      </w:r>
      <w:r>
        <w:rPr>
          <w:spacing w:val="-44"/>
        </w:rPr>
        <w:t> </w:t>
      </w:r>
      <w:r>
        <w:rPr>
          <w:spacing w:val="-44"/>
        </w:rPr>
      </w:r>
      <w:r>
        <w:rPr/>
        <w:t>助力智慧社区建设。</w:t>
      </w:r>
    </w:p>
    <w:p>
      <w:pPr>
        <w:pStyle w:val="BodyText"/>
        <w:spacing w:line="432" w:lineRule="exact" w:before="3"/>
        <w:ind w:left="633" w:right="0"/>
        <w:jc w:val="left"/>
      </w:pPr>
      <w:r>
        <w:rPr>
          <w:rFonts w:ascii="宋体" w:hAnsi="宋体" w:cs="宋体" w:eastAsia="宋体" w:hint="default"/>
          <w:b/>
          <w:bCs/>
        </w:rPr>
        <w:t>住建、国土及不动产行业</w:t>
      </w:r>
      <w:r>
        <w:rPr>
          <w:rFonts w:ascii="宋体" w:hAnsi="宋体" w:cs="宋体" w:eastAsia="宋体" w:hint="default"/>
          <w:b/>
          <w:bCs/>
          <w:w w:val="99"/>
        </w:rPr>
        <w:t> </w:t>
      </w:r>
      <w:r>
        <w:rPr>
          <w:spacing w:val="-1"/>
        </w:rPr>
        <w:t>公司相继与福建泉州、江苏常熟、湖南常德、漳州等住建局、无锡房产局、广州住保办、广西大新不动产局、河南灵</w:t>
      </w:r>
    </w:p>
    <w:p>
      <w:pPr>
        <w:pStyle w:val="BodyText"/>
        <w:spacing w:line="309" w:lineRule="auto" w:before="15"/>
        <w:ind w:right="1033"/>
        <w:jc w:val="left"/>
      </w:pPr>
      <w:r>
        <w:rPr/>
        <w:t>宝不动产局等众多国土住建房产行业新老客户签订信息化项目服务合同，并成功实施上线江西上饶、福建漳州、安徽黄山、 </w:t>
      </w:r>
      <w:r>
        <w:rPr>
          <w:spacing w:val="-2"/>
        </w:rPr>
        <w:t>湖北孝感等近</w:t>
      </w:r>
      <w:r>
        <w:rPr>
          <w:rFonts w:ascii="Times New Roman" w:hAnsi="Times New Roman" w:cs="Times New Roman" w:eastAsia="Times New Roman" w:hint="default"/>
          <w:spacing w:val="-2"/>
        </w:rPr>
        <w:t>30</w:t>
      </w:r>
      <w:r>
        <w:rPr>
          <w:spacing w:val="-2"/>
        </w:rPr>
        <w:t>个地市级国土房产信息化系统，实现了市场拓展和市场交付稳健快速的持续性发展。公司立足于住建、房产</w:t>
      </w:r>
      <w:r>
        <w:rPr>
          <w:spacing w:val="-64"/>
        </w:rPr>
        <w:t> </w:t>
      </w:r>
      <w:r>
        <w:rPr>
          <w:spacing w:val="-64"/>
        </w:rPr>
      </w:r>
      <w:r>
        <w:rPr/>
        <w:t>的市场优势，</w:t>
      </w:r>
      <w:r>
        <w:rPr>
          <w:rFonts w:ascii="Times New Roman" w:hAnsi="Times New Roman" w:cs="Times New Roman" w:eastAsia="Times New Roman" w:hint="default"/>
        </w:rPr>
        <w:t>2017</w:t>
      </w:r>
      <w:r>
        <w:rPr/>
        <w:t>年大力发展房产住房保障信息系统的推广，在住房保障行业占有率遥遥领先其他竞争对手。</w:t>
      </w:r>
    </w:p>
    <w:p>
      <w:pPr>
        <w:pStyle w:val="BodyText"/>
        <w:spacing w:line="312" w:lineRule="auto" w:before="125"/>
        <w:ind w:right="0" w:firstLine="480"/>
        <w:jc w:val="left"/>
      </w:pPr>
      <w:r>
        <w:rPr/>
        <w:t>在互联网和大数据方面，公司持续进行研发和创新，其中房地产行业诚信管理信息系统建设项目在安徽黄山、湖北孝 感、福建泉州等地成功实施；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租赁</w:t>
      </w:r>
      <w:r>
        <w:rPr>
          <w:rFonts w:ascii="Times New Roman" w:hAnsi="Times New Roman" w:cs="Times New Roman" w:eastAsia="Times New Roman" w:hint="default"/>
        </w:rPr>
        <w:t>”</w:t>
      </w:r>
      <w:r>
        <w:rPr/>
        <w:t>产品在全国数十个城市上线运营；不动产登记管理系统在河南灵宝等地成功上</w:t>
      </w:r>
      <w:r>
        <w:rPr>
          <w:spacing w:val="-77"/>
        </w:rPr>
        <w:t> </w:t>
      </w:r>
      <w:r>
        <w:rPr>
          <w:spacing w:val="-77"/>
        </w:rPr>
      </w:r>
      <w:r>
        <w:rPr>
          <w:spacing w:val="-4"/>
        </w:rPr>
        <w:t>线运行。基于互联网、大数据、人工智能、物联网、区块链等技术的行业应用均已形成可落地的解决方案，并与漳州住建局、</w:t>
      </w:r>
      <w:r>
        <w:rPr>
          <w:spacing w:val="-44"/>
        </w:rPr>
        <w:t> </w:t>
      </w:r>
      <w:r>
        <w:rPr>
          <w:spacing w:val="-44"/>
        </w:rPr>
      </w:r>
      <w:r>
        <w:rPr/>
        <w:t>杭州住建局、无锡住建局等典型客户进行了项目规划设计，为进一步切入</w:t>
      </w:r>
      <w:r>
        <w:rPr>
          <w:rFonts w:ascii="Times New Roman" w:hAnsi="Times New Roman" w:cs="Times New Roman" w:eastAsia="Times New Roman" w:hint="default"/>
        </w:rPr>
        <w:t>“</w:t>
      </w:r>
      <w:r>
        <w:rPr/>
        <w:t>基于区块链技术的智慧互联</w:t>
      </w:r>
      <w:r>
        <w:rPr>
          <w:rFonts w:ascii="Times New Roman" w:hAnsi="Times New Roman" w:cs="Times New Roman" w:eastAsia="Times New Roman" w:hint="default"/>
        </w:rPr>
        <w:t>”</w:t>
      </w:r>
      <w:r>
        <w:rPr/>
        <w:t>打下了坚实的基础。</w:t>
      </w:r>
    </w:p>
    <w:p>
      <w:pPr>
        <w:pStyle w:val="Heading6"/>
        <w:spacing w:line="240" w:lineRule="auto" w:before="123"/>
        <w:ind w:right="0"/>
        <w:jc w:val="left"/>
        <w:rPr>
          <w:b w:val="0"/>
          <w:bCs w:val="0"/>
        </w:rPr>
      </w:pPr>
      <w:r>
        <w:rPr/>
        <w:t>建筑智能化及云中心建设</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4" w:lineRule="auto" w:before="44"/>
        <w:ind w:right="1043" w:firstLine="480"/>
        <w:jc w:val="left"/>
      </w:pPr>
      <w:r>
        <w:rPr/>
        <w:t>公司在建筑智能化及云中心建设领域持续发力，先后承建北京电子城园区管理智能化项目一期项目、儋州市公安局业 </w:t>
      </w:r>
      <w:r>
        <w:rPr>
          <w:spacing w:val="-2"/>
        </w:rPr>
        <w:t>务技术用房智能信息化项目、密市伊州区公乡村道路视频监控系统建设项目、中国石油湖北销售分公司加油站高清视频监控</w:t>
      </w:r>
      <w:r>
        <w:rPr>
          <w:spacing w:val="-64"/>
        </w:rPr>
        <w:t> </w:t>
      </w:r>
      <w:r>
        <w:rPr>
          <w:spacing w:val="-64"/>
        </w:rPr>
      </w:r>
      <w:r>
        <w:rPr>
          <w:spacing w:val="-2"/>
        </w:rPr>
        <w:t>系统改造项目、山西国瑞总部基地弱电项目、内蒙古自治区第二女子监狱智能化安装工程、桂林发展大厦智能化项目、中国</w:t>
      </w:r>
      <w:r>
        <w:rPr>
          <w:spacing w:val="-66"/>
        </w:rPr>
        <w:t> </w:t>
      </w:r>
      <w:r>
        <w:rPr>
          <w:spacing w:val="-66"/>
        </w:rPr>
      </w:r>
      <w:r>
        <w:rPr/>
        <w:t>石油湖北销售分公司</w:t>
      </w:r>
      <w:r>
        <w:rPr>
          <w:rFonts w:ascii="Times New Roman" w:hAnsi="Times New Roman" w:cs="Times New Roman" w:eastAsia="Times New Roman" w:hint="default"/>
        </w:rPr>
        <w:t>LED</w:t>
      </w:r>
      <w:r>
        <w:rPr/>
        <w:t>全彩大屏采购建设服务项目、新郑市卫生和计划生育委员会新郑市公立人民医院信息化建设项目、 </w:t>
      </w:r>
      <w:r>
        <w:rPr>
          <w:spacing w:val="-2"/>
        </w:rPr>
        <w:t>国家工商行政管理总局商标机房应急改造项目、汕尾逸挥基金医院采购医院信息化系统招标项目、长子县融汇村镇银行数据</w:t>
      </w:r>
      <w:r>
        <w:rPr>
          <w:spacing w:val="-64"/>
        </w:rPr>
        <w:t> </w:t>
      </w:r>
      <w:r>
        <w:rPr>
          <w:spacing w:val="-64"/>
        </w:rPr>
      </w:r>
      <w:r>
        <w:rPr>
          <w:spacing w:val="-2"/>
        </w:rPr>
        <w:t>中心及配套建设项目、乐山市电子政务内网结点屏蔽机房建设项目、中铁北京局新办公大楼机房设计施工机电安装及现有设</w:t>
      </w:r>
      <w:r>
        <w:rPr>
          <w:spacing w:val="-64"/>
        </w:rPr>
        <w:t> </w:t>
      </w:r>
      <w:r>
        <w:rPr>
          <w:spacing w:val="-64"/>
        </w:rPr>
      </w:r>
      <w:r>
        <w:rPr>
          <w:spacing w:val="-2"/>
        </w:rPr>
        <w:t>备搬迁等项目。另外，公司投资建设三亚市云港数据中心机房、南海云都项目等数据中心服务助力金融云业务及云中心建设</w:t>
      </w:r>
      <w:r>
        <w:rPr>
          <w:spacing w:val="-66"/>
        </w:rPr>
        <w:t> </w:t>
      </w:r>
      <w:r>
        <w:rPr>
          <w:spacing w:val="-66"/>
        </w:rPr>
      </w:r>
      <w:r>
        <w:rPr/>
        <w:t>的发展。</w:t>
      </w:r>
    </w:p>
    <w:p>
      <w:pPr>
        <w:pStyle w:val="Heading6"/>
        <w:spacing w:line="415" w:lineRule="auto" w:before="140"/>
        <w:ind w:right="7651" w:firstLine="2"/>
        <w:jc w:val="left"/>
        <w:rPr>
          <w:b w:val="0"/>
          <w:bCs w:val="0"/>
        </w:rPr>
      </w:pPr>
      <w:r>
        <w:rPr/>
        <w:t>（</w:t>
      </w:r>
      <w:r>
        <w:rPr>
          <w:rFonts w:ascii="Times New Roman" w:hAnsi="Times New Roman" w:cs="Times New Roman" w:eastAsia="Times New Roman" w:hint="default"/>
        </w:rPr>
        <w:t>2</w:t>
      </w:r>
      <w:r>
        <w:rPr/>
        <w:t>）软件产品开发及产品化情况</w:t>
      </w:r>
      <w:r>
        <w:rPr>
          <w:w w:val="99"/>
        </w:rPr>
        <w:t> </w:t>
      </w:r>
      <w:r>
        <w:rPr/>
        <w:t>医疗软件</w:t>
      </w:r>
      <w:r>
        <w:rPr>
          <w:b w:val="0"/>
          <w:bCs w:val="0"/>
        </w:rPr>
      </w:r>
    </w:p>
    <w:p>
      <w:pPr>
        <w:pStyle w:val="BodyText"/>
        <w:spacing w:line="300" w:lineRule="auto" w:before="65"/>
        <w:ind w:right="1130" w:firstLine="480"/>
        <w:jc w:val="both"/>
      </w:pPr>
      <w:r>
        <w:rPr/>
        <w:t>在整体数字化医院解决方案研发方面，公司在原有</w:t>
      </w:r>
      <w:r>
        <w:rPr>
          <w:rFonts w:ascii="Times New Roman" w:hAnsi="Times New Roman" w:cs="Times New Roman" w:eastAsia="Times New Roman" w:hint="default"/>
        </w:rPr>
        <w:t>iMedical</w:t>
      </w:r>
      <w:r>
        <w:rPr>
          <w:rFonts w:ascii="Times New Roman" w:hAnsi="Times New Roman" w:cs="Times New Roman" w:eastAsia="Times New Roman" w:hint="default"/>
          <w:spacing w:val="-26"/>
        </w:rPr>
        <w:t> </w:t>
      </w:r>
      <w:r>
        <w:rPr>
          <w:rFonts w:ascii="Times New Roman" w:hAnsi="Times New Roman" w:cs="Times New Roman" w:eastAsia="Times New Roman" w:hint="default"/>
        </w:rPr>
        <w:t>8.0.2</w:t>
      </w:r>
      <w:r>
        <w:rPr/>
        <w:t>、以及</w:t>
      </w:r>
      <w:r>
        <w:rPr>
          <w:rFonts w:ascii="Times New Roman" w:hAnsi="Times New Roman" w:cs="Times New Roman" w:eastAsia="Times New Roman" w:hint="default"/>
        </w:rPr>
        <w:t>iMedical</w:t>
      </w:r>
      <w:r>
        <w:rPr>
          <w:rFonts w:ascii="Times New Roman" w:hAnsi="Times New Roman" w:cs="Times New Roman" w:eastAsia="Times New Roman" w:hint="default"/>
          <w:spacing w:val="-25"/>
        </w:rPr>
        <w:t> </w:t>
      </w:r>
      <w:r>
        <w:rPr>
          <w:rFonts w:ascii="Times New Roman" w:hAnsi="Times New Roman" w:cs="Times New Roman" w:eastAsia="Times New Roman" w:hint="default"/>
        </w:rPr>
        <w:t>8.0.2P</w:t>
      </w:r>
      <w:r>
        <w:rPr/>
        <w:t>产品的基础上，创新打造出面向 未来的新型</w:t>
      </w:r>
      <w:r>
        <w:rPr>
          <w:rFonts w:ascii="Times New Roman" w:hAnsi="Times New Roman" w:cs="Times New Roman" w:eastAsia="Times New Roman" w:hint="default"/>
        </w:rPr>
        <w:t>B2HO</w:t>
      </w:r>
      <w:r>
        <w:rPr/>
        <w:t>医院端产品线（注册商标：</w:t>
      </w:r>
      <w:r>
        <w:rPr>
          <w:rFonts w:ascii="Times New Roman" w:hAnsi="Times New Roman" w:cs="Times New Roman" w:eastAsia="Times New Roman" w:hint="default"/>
        </w:rPr>
        <w:t>iMedical</w:t>
      </w:r>
      <w:r>
        <w:rPr/>
        <w:t>）。新一代</w:t>
      </w:r>
      <w:r>
        <w:rPr>
          <w:rFonts w:ascii="Times New Roman" w:hAnsi="Times New Roman" w:cs="Times New Roman" w:eastAsia="Times New Roman" w:hint="default"/>
        </w:rPr>
        <w:t>HIS</w:t>
      </w:r>
      <w:r>
        <w:rPr/>
        <w:t>系统中通过整合</w:t>
      </w:r>
      <w:r>
        <w:rPr>
          <w:rFonts w:ascii="Times New Roman" w:hAnsi="Times New Roman" w:cs="Times New Roman" w:eastAsia="Times New Roman" w:hint="default"/>
        </w:rPr>
        <w:t>HERP</w:t>
      </w:r>
      <w:r>
        <w:rPr/>
        <w:t>，实现医院科室人、财、物的全</w:t>
      </w:r>
      <w:r>
        <w:rPr>
          <w:spacing w:val="-61"/>
        </w:rPr>
        <w:t> </w:t>
      </w:r>
      <w:r>
        <w:rPr>
          <w:spacing w:val="-61"/>
        </w:rPr>
      </w:r>
      <w:r>
        <w:rPr/>
        <w:t>面集成与展示。此外，通过增加移动支撑平台，实现</w:t>
      </w:r>
      <w:r>
        <w:rPr>
          <w:rFonts w:ascii="Times New Roman" w:hAnsi="Times New Roman" w:cs="Times New Roman" w:eastAsia="Times New Roman" w:hint="default"/>
        </w:rPr>
        <w:t>iMedical</w:t>
      </w:r>
      <w:r>
        <w:rPr/>
        <w:t>产品线的移动化，延伸了产品的使用场景。在新版电子病历系 统中通过融合医学科研业务，推出临床科研病历一体化新模块。在新研发的院长决策（</w:t>
      </w:r>
      <w:r>
        <w:rPr>
          <w:rFonts w:ascii="Times New Roman" w:hAnsi="Times New Roman" w:cs="Times New Roman" w:eastAsia="Times New Roman" w:hint="default"/>
        </w:rPr>
        <w:t>BI</w:t>
      </w:r>
      <w:r>
        <w:rPr/>
        <w:t>）系统中，结合</w:t>
      </w:r>
      <w:r>
        <w:rPr>
          <w:rFonts w:ascii="Times New Roman" w:hAnsi="Times New Roman" w:cs="Times New Roman" w:eastAsia="Times New Roman" w:hint="default"/>
        </w:rPr>
        <w:t>AI</w:t>
      </w:r>
      <w:r>
        <w:rPr/>
        <w:t>技术，开发出</w:t>
      </w:r>
      <w:r>
        <w:rPr>
          <w:spacing w:val="-15"/>
        </w:rPr>
        <w:t> </w:t>
      </w:r>
      <w:r>
        <w:rPr>
          <w:spacing w:val="-15"/>
        </w:rPr>
      </w:r>
      <w:r>
        <w:rPr/>
        <w:t>病种画像、患者临床路径推荐、患者预分组等新功能。</w:t>
      </w:r>
    </w:p>
    <w:p>
      <w:pPr>
        <w:pStyle w:val="BodyText"/>
        <w:spacing w:line="314" w:lineRule="auto" w:before="151"/>
        <w:ind w:right="1130" w:firstLine="480"/>
        <w:jc w:val="both"/>
      </w:pPr>
      <w:r>
        <w:rPr/>
        <w:t>在区域医疗方面，公司推出面向区域各级卫计委的</w:t>
      </w:r>
      <w:r>
        <w:rPr>
          <w:rFonts w:ascii="Times New Roman" w:hAnsi="Times New Roman" w:cs="Times New Roman" w:eastAsia="Times New Roman" w:hint="default"/>
        </w:rPr>
        <w:t>B2HE</w:t>
      </w:r>
      <w:r>
        <w:rPr/>
        <w:t>产品线（注册商标：</w:t>
      </w:r>
      <w:r>
        <w:rPr>
          <w:rFonts w:ascii="Times New Roman" w:hAnsi="Times New Roman" w:cs="Times New Roman" w:eastAsia="Times New Roman" w:hint="default"/>
        </w:rPr>
        <w:t>iHealths</w:t>
      </w:r>
      <w:r>
        <w:rPr/>
        <w:t>），围绕居民、医卫工作者、医 </w:t>
      </w:r>
      <w:r>
        <w:rPr>
          <w:spacing w:val="-2"/>
        </w:rPr>
        <w:t>疗机构、卫生监管机构等核心需求，以居民健康档案为核心，结合云计算、大数据、物联网、移动互联网等先进技术改变区</w:t>
      </w:r>
      <w:r>
        <w:rPr>
          <w:spacing w:val="-68"/>
        </w:rPr>
        <w:t> </w:t>
      </w:r>
      <w:r>
        <w:rPr>
          <w:spacing w:val="-68"/>
        </w:rPr>
      </w:r>
      <w:r>
        <w:rPr>
          <w:spacing w:val="-2"/>
        </w:rPr>
        <w:t>域医疗卫生的传统建设模式，构建健康服务、医疗监管、协同服务、标准安全、平台服务五大体系，实现区域内医疗卫生数</w:t>
      </w:r>
      <w:r>
        <w:rPr>
          <w:spacing w:val="-67"/>
        </w:rPr>
        <w:t> </w:t>
      </w:r>
      <w:r>
        <w:rPr>
          <w:spacing w:val="-67"/>
        </w:rPr>
      </w:r>
      <w:r>
        <w:rPr>
          <w:spacing w:val="-2"/>
        </w:rPr>
        <w:t>据的共享与交换，提升患者就医体验，有效降低居民就医成本，改进医疗机构服务质量，为卫生计生行政管理部门提供决策</w:t>
      </w:r>
      <w:r>
        <w:rPr>
          <w:spacing w:val="-66"/>
        </w:rPr>
        <w:t> </w:t>
      </w:r>
      <w:r>
        <w:rPr>
          <w:spacing w:val="-66"/>
        </w:rPr>
      </w:r>
      <w:r>
        <w:rPr/>
        <w:t>支持服务。</w:t>
      </w:r>
    </w:p>
    <w:p>
      <w:pPr>
        <w:pStyle w:val="BodyText"/>
        <w:spacing w:line="307" w:lineRule="auto" w:before="141"/>
        <w:ind w:left="154" w:right="1130" w:firstLine="480"/>
        <w:jc w:val="both"/>
      </w:pPr>
      <w:r>
        <w:rPr>
          <w:spacing w:val="-1"/>
        </w:rPr>
        <w:t>在</w:t>
      </w:r>
      <w:r>
        <w:rPr>
          <w:rFonts w:ascii="Times New Roman" w:hAnsi="Times New Roman" w:cs="Times New Roman" w:eastAsia="Times New Roman" w:hint="default"/>
          <w:spacing w:val="-1"/>
        </w:rPr>
        <w:t>DRGs</w:t>
      </w:r>
      <w:r>
        <w:rPr>
          <w:spacing w:val="-1"/>
        </w:rPr>
        <w:t>医改领域，公司推出</w:t>
      </w:r>
      <w:r>
        <w:rPr>
          <w:rFonts w:ascii="Times New Roman" w:hAnsi="Times New Roman" w:cs="Times New Roman" w:eastAsia="Times New Roman" w:hint="default"/>
          <w:spacing w:val="-1"/>
        </w:rPr>
        <w:t>B2MI</w:t>
      </w:r>
      <w:r>
        <w:rPr>
          <w:spacing w:val="-1"/>
        </w:rPr>
        <w:t>产品线（注册商标：</w:t>
      </w:r>
      <w:r>
        <w:rPr>
          <w:rFonts w:ascii="Times New Roman" w:hAnsi="Times New Roman" w:cs="Times New Roman" w:eastAsia="Times New Roman" w:hint="default"/>
          <w:spacing w:val="-1"/>
        </w:rPr>
        <w:t>iDRGs</w:t>
      </w:r>
      <w:r>
        <w:rPr>
          <w:spacing w:val="-1"/>
        </w:rPr>
        <w:t>），持续协助国家卫计委向全国推广</w:t>
      </w:r>
      <w:r>
        <w:rPr>
          <w:rFonts w:ascii="Times New Roman" w:hAnsi="Times New Roman" w:cs="Times New Roman" w:eastAsia="Times New Roman" w:hint="default"/>
          <w:spacing w:val="-1"/>
        </w:rPr>
        <w:t>DRGs</w:t>
      </w:r>
      <w:r>
        <w:rPr>
          <w:spacing w:val="-1"/>
        </w:rPr>
        <w:t>应用，为各级</w:t>
      </w:r>
      <w:r>
        <w:rPr/>
        <w:t> </w:t>
      </w:r>
      <w:r>
        <w:rPr>
          <w:spacing w:val="-2"/>
        </w:rPr>
        <w:t>卫计委、医管中心、医保中心、医疗机构提供基于</w:t>
      </w:r>
      <w:r>
        <w:rPr>
          <w:rFonts w:ascii="Times New Roman" w:hAnsi="Times New Roman" w:cs="Times New Roman" w:eastAsia="Times New Roman" w:hint="default"/>
          <w:spacing w:val="-2"/>
        </w:rPr>
        <w:t>DRG</w:t>
      </w:r>
      <w:r>
        <w:rPr>
          <w:spacing w:val="-2"/>
        </w:rPr>
        <w:t>的各类解决方案。同时，公司利用新一代</w:t>
      </w:r>
      <w:r>
        <w:rPr>
          <w:rFonts w:ascii="Times New Roman" w:hAnsi="Times New Roman" w:cs="Times New Roman" w:eastAsia="Times New Roman" w:hint="default"/>
          <w:spacing w:val="-2"/>
        </w:rPr>
        <w:t>CN-DRG</w:t>
      </w:r>
      <w:r>
        <w:rPr>
          <w:spacing w:val="-2"/>
        </w:rPr>
        <w:t>技术实现医保科学</w:t>
      </w:r>
      <w:r>
        <w:rPr>
          <w:spacing w:val="-54"/>
        </w:rPr>
        <w:t> </w:t>
      </w:r>
      <w:r>
        <w:rPr>
          <w:spacing w:val="-54"/>
        </w:rPr>
      </w:r>
      <w:r>
        <w:rPr>
          <w:spacing w:val="-2"/>
        </w:rPr>
        <w:t>控费、区域和医院的精细化管理，开展区域和医院的绩效考评、临床路径建设、医务人员薪酬和人事制度改革、医务人员满</w:t>
      </w:r>
      <w:r>
        <w:rPr>
          <w:spacing w:val="-66"/>
        </w:rPr>
        <w:t> </w:t>
      </w:r>
      <w:r>
        <w:rPr>
          <w:spacing w:val="-66"/>
        </w:rPr>
      </w:r>
      <w:r>
        <w:rPr/>
        <w:t>意度评价、医疗资源配置等应用工作。</w:t>
      </w:r>
    </w:p>
    <w:p>
      <w:pPr>
        <w:pStyle w:val="BodyText"/>
        <w:spacing w:line="300" w:lineRule="auto" w:before="146"/>
        <w:ind w:left="154" w:right="0" w:firstLine="480"/>
        <w:jc w:val="left"/>
      </w:pPr>
      <w:r>
        <w:rPr/>
        <w:t>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健康医疗</w:t>
      </w:r>
      <w:r>
        <w:rPr>
          <w:rFonts w:ascii="Times New Roman" w:hAnsi="Times New Roman" w:cs="Times New Roman" w:eastAsia="Times New Roman" w:hint="default"/>
        </w:rPr>
        <w:t>”</w:t>
      </w:r>
      <w:r>
        <w:rPr/>
        <w:t>产品研发方面，公司研发完成了面向</w:t>
      </w:r>
      <w:r>
        <w:rPr>
          <w:rFonts w:ascii="Times New Roman" w:hAnsi="Times New Roman" w:cs="Times New Roman" w:eastAsia="Times New Roman" w:hint="default"/>
        </w:rPr>
        <w:t>C</w:t>
      </w:r>
      <w:r>
        <w:rPr/>
        <w:t>端的专注疾病随访与科研的健康乐互联网医患沟通</w:t>
      </w:r>
      <w:r>
        <w:rPr>
          <w:rFonts w:ascii="Times New Roman" w:hAnsi="Times New Roman" w:cs="Times New Roman" w:eastAsia="Times New Roman" w:hint="default"/>
        </w:rPr>
        <w:t>B2C</w:t>
      </w:r>
      <w:r>
        <w:rPr/>
        <w:t>产 </w:t>
      </w:r>
      <w:r>
        <w:rPr>
          <w:spacing w:val="-2"/>
        </w:rPr>
        <w:t>品线（注册商标：</w:t>
      </w:r>
      <w:r>
        <w:rPr>
          <w:rFonts w:ascii="Times New Roman" w:hAnsi="Times New Roman" w:cs="Times New Roman" w:eastAsia="Times New Roman" w:hint="default"/>
          <w:spacing w:val="-2"/>
        </w:rPr>
        <w:t>JianKangle</w:t>
      </w:r>
      <w:r>
        <w:rPr>
          <w:spacing w:val="-2"/>
        </w:rPr>
        <w:t>），下设微医答、医患平台、疾病随访平台、健康管理平台、云诊所、大医有声、小乐说健康、</w:t>
      </w:r>
      <w:r>
        <w:rPr>
          <w:spacing w:val="-61"/>
        </w:rPr>
        <w:t> </w:t>
      </w:r>
      <w:r>
        <w:rPr>
          <w:spacing w:val="-61"/>
        </w:rPr>
      </w:r>
      <w:r>
        <w:rPr/>
        <w:t>乐在心里等十多个产品，具备强大的运营服务能力。</w:t>
      </w:r>
    </w:p>
    <w:p>
      <w:pPr>
        <w:pStyle w:val="BodyText"/>
        <w:spacing w:line="316" w:lineRule="auto" w:before="151"/>
        <w:ind w:left="154" w:right="1032" w:firstLine="480"/>
        <w:jc w:val="left"/>
      </w:pPr>
      <w:r>
        <w:rPr/>
        <w:t>在智慧医疗领域，公司经过多年研究及实践经验积累，在报告期内推出了基于认知技术的临床科研大数据分析平台、 基于自然语言处理的感染智能监测系统、基于诊断术语知识图谱构建系统，致力于通过人工智能技术让患者更加了解自己、 让医生更清楚患者、让医疗过程更准确、让医疗管理更科学、让医疗服务更丰富。</w:t>
      </w:r>
    </w:p>
    <w:p>
      <w:pPr>
        <w:pStyle w:val="BodyText"/>
        <w:spacing w:line="432" w:lineRule="exact" w:before="3"/>
        <w:ind w:left="633" w:right="1118"/>
        <w:jc w:val="left"/>
      </w:pPr>
      <w:r>
        <w:rPr>
          <w:rFonts w:ascii="宋体" w:hAnsi="宋体" w:cs="宋体" w:eastAsia="宋体" w:hint="default"/>
          <w:b/>
          <w:bCs/>
        </w:rPr>
        <w:t>金融软件</w:t>
      </w:r>
      <w:r>
        <w:rPr>
          <w:rFonts w:ascii="宋体" w:hAnsi="宋体" w:cs="宋体" w:eastAsia="宋体" w:hint="default"/>
          <w:b/>
          <w:bCs/>
          <w:w w:val="99"/>
        </w:rPr>
        <w:t> </w:t>
      </w:r>
      <w:r>
        <w:rPr>
          <w:spacing w:val="-1"/>
        </w:rPr>
        <w:t>公司依托多年在银行内部管理、资金营运方面所积累的丰富经验，推出了基于分布式处理的银行基础平台、新一代总</w:t>
      </w:r>
    </w:p>
    <w:p>
      <w:pPr>
        <w:pStyle w:val="BodyText"/>
        <w:spacing w:line="240" w:lineRule="auto" w:before="15"/>
        <w:ind w:right="0"/>
        <w:jc w:val="left"/>
      </w:pPr>
      <w:r>
        <w:rPr/>
        <w:t>账系统及资金运营系统，提升银行资金收益率，同时拓展市场影响及占有率。</w:t>
      </w:r>
    </w:p>
    <w:p>
      <w:pPr>
        <w:spacing w:line="240" w:lineRule="auto" w:before="0"/>
        <w:rPr>
          <w:rFonts w:ascii="宋体" w:hAnsi="宋体" w:cs="宋体" w:eastAsia="宋体" w:hint="default"/>
          <w:sz w:val="15"/>
          <w:szCs w:val="15"/>
        </w:rPr>
      </w:pPr>
    </w:p>
    <w:p>
      <w:pPr>
        <w:pStyle w:val="BodyText"/>
        <w:spacing w:line="314" w:lineRule="auto"/>
        <w:ind w:left="154" w:right="1130" w:firstLine="480"/>
        <w:jc w:val="both"/>
      </w:pPr>
      <w:r>
        <w:rPr/>
        <w:t>在互联网金融领域，</w:t>
      </w:r>
      <w:r>
        <w:rPr>
          <w:rFonts w:ascii="Times New Roman" w:hAnsi="Times New Roman" w:cs="Times New Roman" w:eastAsia="Times New Roman" w:hint="default"/>
        </w:rPr>
        <w:t>“</w:t>
      </w:r>
      <w:r>
        <w:rPr/>
        <w:t>银企汇</w:t>
      </w:r>
      <w:r>
        <w:rPr>
          <w:rFonts w:ascii="Times New Roman" w:hAnsi="Times New Roman" w:cs="Times New Roman" w:eastAsia="Times New Roman" w:hint="default"/>
        </w:rPr>
        <w:t>”</w:t>
      </w:r>
      <w:r>
        <w:rPr/>
        <w:t>加大产品改革力度，积极拓展金融间市场，充分利用银行企业资源，跨界融合信息技术 </w:t>
      </w:r>
      <w:r>
        <w:rPr>
          <w:spacing w:val="-2"/>
        </w:rPr>
        <w:t>优势，从场景整合进化到场景生态构建，打通并实现旅游服务与金融服务的闭环融合，推出互金平台、营销平台、银企聚合</w:t>
      </w:r>
      <w:r>
        <w:rPr>
          <w:spacing w:val="-66"/>
        </w:rPr>
        <w:t> </w:t>
      </w:r>
      <w:r>
        <w:rPr>
          <w:spacing w:val="-66"/>
        </w:rPr>
      </w:r>
      <w:r>
        <w:rPr>
          <w:spacing w:val="-2"/>
        </w:rPr>
        <w:t>三大实力产品。在类金融领域，公司积极研发全新的金融业务解决方案，报告期内已形成投融资业务解决方案、智能投顾解</w:t>
      </w:r>
      <w:r>
        <w:rPr>
          <w:spacing w:val="-66"/>
        </w:rPr>
        <w:t> </w:t>
      </w:r>
      <w:r>
        <w:rPr>
          <w:spacing w:val="-66"/>
        </w:rPr>
      </w:r>
      <w:r>
        <w:rPr>
          <w:spacing w:val="-2"/>
        </w:rPr>
        <w:t>决方案、期权策略量化交易平台。在微金融领域，公司大力拓展非银行业金融机构产品软件，报告期内公司已拥有融资租赁</w:t>
      </w:r>
      <w:r>
        <w:rPr>
          <w:spacing w:val="-66"/>
        </w:rPr>
        <w:t> </w:t>
      </w:r>
      <w:r>
        <w:rPr>
          <w:spacing w:val="-66"/>
        </w:rPr>
      </w:r>
      <w:r>
        <w:rPr>
          <w:spacing w:val="-2"/>
        </w:rPr>
        <w:t>核心业务系统、综合信贷业务管理系统、汽车厂商金融业务系统、保理业务系统、供应链金融系统等成熟产品，且已在融信</w:t>
      </w:r>
      <w:r>
        <w:rPr>
          <w:spacing w:val="-66"/>
        </w:rPr>
        <w:t> </w:t>
      </w:r>
      <w:r>
        <w:rPr>
          <w:spacing w:val="-66"/>
        </w:rPr>
      </w:r>
      <w:r>
        <w:rPr>
          <w:spacing w:val="-2"/>
        </w:rPr>
        <w:t>租赁、北京金隅、厦门金圆、鹏润金服（国美金融）、宝沃汽车、北汽福田、上汽红岩、宇通客车、海尔租赁等融资租赁项</w:t>
      </w:r>
      <w:r>
        <w:rPr>
          <w:spacing w:val="-71"/>
        </w:rPr>
        <w:t> </w:t>
      </w:r>
      <w:r>
        <w:rPr>
          <w:spacing w:val="-71"/>
        </w:rPr>
      </w:r>
      <w:r>
        <w:rPr/>
        <w:t>目上线运行。</w:t>
      </w:r>
    </w:p>
    <w:p>
      <w:pPr>
        <w:spacing w:after="0" w:line="31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Heading6"/>
        <w:spacing w:line="240" w:lineRule="auto" w:before="44"/>
        <w:ind w:right="0"/>
        <w:jc w:val="left"/>
        <w:rPr>
          <w:b w:val="0"/>
          <w:bCs w:val="0"/>
        </w:rPr>
      </w:pPr>
      <w:r>
        <w:rPr/>
        <w:t>水利软件</w:t>
      </w:r>
      <w:r>
        <w:rPr>
          <w:b w:val="0"/>
          <w:bCs w:val="0"/>
        </w:rPr>
      </w:r>
    </w:p>
    <w:p>
      <w:pPr>
        <w:spacing w:line="240" w:lineRule="auto" w:before="0"/>
        <w:rPr>
          <w:rFonts w:ascii="宋体" w:hAnsi="宋体" w:cs="宋体" w:eastAsia="宋体" w:hint="default"/>
          <w:b/>
          <w:bCs/>
          <w:sz w:val="15"/>
          <w:szCs w:val="15"/>
        </w:rPr>
      </w:pPr>
    </w:p>
    <w:p>
      <w:pPr>
        <w:pStyle w:val="BodyText"/>
        <w:spacing w:line="309" w:lineRule="auto"/>
        <w:ind w:right="1129" w:firstLine="480"/>
        <w:jc w:val="both"/>
      </w:pPr>
      <w:r>
        <w:rPr>
          <w:spacing w:val="-1"/>
        </w:rPr>
        <w:t>公司持续加大水利软件产品的研发工作，基于</w:t>
      </w:r>
      <w:r>
        <w:rPr>
          <w:rFonts w:ascii="Times New Roman" w:hAnsi="Times New Roman" w:cs="Times New Roman" w:eastAsia="Times New Roman" w:hint="default"/>
          <w:spacing w:val="-1"/>
        </w:rPr>
        <w:t>“</w:t>
      </w:r>
      <w:r>
        <w:rPr>
          <w:spacing w:val="-1"/>
        </w:rPr>
        <w:t>产、学、研</w:t>
      </w:r>
      <w:r>
        <w:rPr>
          <w:rFonts w:ascii="Times New Roman" w:hAnsi="Times New Roman" w:cs="Times New Roman" w:eastAsia="Times New Roman" w:hint="default"/>
          <w:spacing w:val="-1"/>
        </w:rPr>
        <w:t>“</w:t>
      </w:r>
      <w:r>
        <w:rPr>
          <w:spacing w:val="-1"/>
        </w:rPr>
        <w:t>结合的发展模式，通过</w:t>
      </w:r>
      <w:r>
        <w:rPr>
          <w:rFonts w:ascii="Times New Roman" w:hAnsi="Times New Roman" w:cs="Times New Roman" w:eastAsia="Times New Roman" w:hint="default"/>
          <w:spacing w:val="-1"/>
        </w:rPr>
        <w:t>3S</w:t>
      </w:r>
      <w:r>
        <w:rPr>
          <w:spacing w:val="-1"/>
        </w:rPr>
        <w:t>、大数据、物理网、水文模型等</w:t>
      </w:r>
      <w:r>
        <w:rPr/>
        <w:t> </w:t>
      </w:r>
      <w:r>
        <w:rPr>
          <w:spacing w:val="-2"/>
        </w:rPr>
        <w:t>综合技术的运用，围绕水资源保护、水污染防治、水环境治理、水生态修复、水政执法等方面，形成并完善多个系列具有完</w:t>
      </w:r>
      <w:r>
        <w:rPr>
          <w:spacing w:val="-68"/>
        </w:rPr>
        <w:t> </w:t>
      </w:r>
      <w:r>
        <w:rPr>
          <w:spacing w:val="-68"/>
        </w:rPr>
      </w:r>
      <w:r>
        <w:rPr/>
        <w:t>全自主知识产权的智慧水利软件产品。在软件应用上包括互联网</w:t>
      </w:r>
      <w:r>
        <w:rPr>
          <w:rFonts w:ascii="Times New Roman" w:hAnsi="Times New Roman" w:cs="Times New Roman" w:eastAsia="Times New Roman" w:hint="default"/>
        </w:rPr>
        <w:t>+</w:t>
      </w:r>
      <w:r>
        <w:rPr/>
        <w:t>河长制软件平台、互联网</w:t>
      </w:r>
      <w:r>
        <w:rPr>
          <w:rFonts w:ascii="Times New Roman" w:hAnsi="Times New Roman" w:cs="Times New Roman" w:eastAsia="Times New Roman" w:hint="default"/>
        </w:rPr>
        <w:t>+</w:t>
      </w:r>
      <w:r>
        <w:rPr/>
        <w:t>水权交易平台、闭环式防汛抗</w:t>
      </w:r>
      <w:r>
        <w:rPr>
          <w:spacing w:val="-24"/>
        </w:rPr>
        <w:t> </w:t>
      </w:r>
      <w:r>
        <w:rPr>
          <w:spacing w:val="-24"/>
        </w:rPr>
      </w:r>
      <w:r>
        <w:rPr>
          <w:spacing w:val="-2"/>
        </w:rPr>
        <w:t>旱业务平台、全过程人饮管理平台、一站式水利服务平台、智能化应急指挥平台等</w:t>
      </w:r>
      <w:r>
        <w:rPr>
          <w:rFonts w:ascii="Times New Roman" w:hAnsi="Times New Roman" w:cs="Times New Roman" w:eastAsia="Times New Roman" w:hint="default"/>
          <w:spacing w:val="-2"/>
        </w:rPr>
        <w:t>10</w:t>
      </w:r>
      <w:r>
        <w:rPr>
          <w:spacing w:val="-2"/>
        </w:rPr>
        <w:t>个软件平台；在软件构成上包含水资源</w:t>
      </w:r>
      <w:r>
        <w:rPr>
          <w:spacing w:val="-64"/>
        </w:rPr>
        <w:t> </w:t>
      </w:r>
      <w:r>
        <w:rPr>
          <w:spacing w:val="-64"/>
        </w:rPr>
      </w:r>
      <w:r>
        <w:rPr>
          <w:spacing w:val="-2"/>
        </w:rPr>
        <w:t>应急管理软件、山洪数据共享汇集软件、山洪灾害监测预警信息管理软件、水利综合信息服务软件，水权交易云平台、水资</w:t>
      </w:r>
      <w:r>
        <w:rPr>
          <w:spacing w:val="-66"/>
        </w:rPr>
        <w:t> </w:t>
      </w:r>
      <w:r>
        <w:rPr>
          <w:spacing w:val="-66"/>
        </w:rPr>
      </w:r>
      <w:r>
        <w:rPr>
          <w:spacing w:val="-2"/>
        </w:rPr>
        <w:t>源信息服务软件、水资源业务管理软件、水利农田灌溉智能调度软件、水资源费征收管理软件、集成支撑平台、大数据分析</w:t>
      </w:r>
      <w:r>
        <w:rPr>
          <w:spacing w:val="-66"/>
        </w:rPr>
        <w:t> </w:t>
      </w:r>
      <w:r>
        <w:rPr>
          <w:spacing w:val="-66"/>
        </w:rPr>
      </w:r>
      <w:r>
        <w:rPr/>
        <w:t>信息服务软件、水利数据交换平台等</w:t>
      </w:r>
      <w:r>
        <w:rPr>
          <w:rFonts w:ascii="Times New Roman" w:hAnsi="Times New Roman" w:cs="Times New Roman" w:eastAsia="Times New Roman" w:hint="default"/>
        </w:rPr>
        <w:t>30</w:t>
      </w:r>
      <w:r>
        <w:rPr/>
        <w:t>个软件产品。</w:t>
      </w:r>
    </w:p>
    <w:p>
      <w:pPr>
        <w:pStyle w:val="BodyText"/>
        <w:spacing w:line="312" w:lineRule="auto" w:before="125"/>
        <w:ind w:left="154" w:right="1032" w:firstLine="420"/>
        <w:jc w:val="left"/>
      </w:pPr>
      <w:r>
        <w:rPr>
          <w:rFonts w:ascii="Times New Roman" w:hAnsi="Times New Roman" w:cs="Times New Roman" w:eastAsia="Times New Roman" w:hint="default"/>
        </w:rPr>
        <w:t>2017</w:t>
      </w:r>
      <w:r>
        <w:rPr/>
        <w:t>年，根据智慧水利的行业发展需求，公司依托专业的水利软件研发团队通过</w:t>
      </w:r>
      <w:r>
        <w:rPr>
          <w:rFonts w:ascii="Times New Roman" w:hAnsi="Times New Roman" w:cs="Times New Roman" w:eastAsia="Times New Roman" w:hint="default"/>
        </w:rPr>
        <w:t>3S</w:t>
      </w:r>
      <w:r>
        <w:rPr/>
        <w:t>、大数据、物联网、人工智能、水 </w:t>
      </w:r>
      <w:r>
        <w:rPr>
          <w:spacing w:val="-2"/>
        </w:rPr>
        <w:t>文模型、空间分析、流程管理等综合技术的运用，围绕水资源保护、水灾害防治、水污染水环境治理、水生态修复、水政执</w:t>
      </w:r>
      <w:r>
        <w:rPr>
          <w:spacing w:val="-72"/>
        </w:rPr>
        <w:t> </w:t>
      </w:r>
      <w:r>
        <w:rPr>
          <w:spacing w:val="-72"/>
        </w:rPr>
      </w:r>
      <w:r>
        <w:rPr/>
        <w:t>法等业务领域继续深化智慧水利软件研究，形成了互联网</w:t>
      </w:r>
      <w:r>
        <w:rPr>
          <w:rFonts w:ascii="Times New Roman" w:hAnsi="Times New Roman" w:cs="Times New Roman" w:eastAsia="Times New Roman" w:hint="default"/>
        </w:rPr>
        <w:t>+</w:t>
      </w:r>
      <w:r>
        <w:rPr/>
        <w:t>河长制软件、现代化灌区管理软件、防汛抗旱减灾软件的升级优 化、水资源监控管理软件的升级优化、水利工程建设与运行管理软件、农村水利一体化管理软件、资源整合应用平台软件、 </w:t>
      </w:r>
      <w:r>
        <w:rPr>
          <w:spacing w:val="-2"/>
        </w:rPr>
        <w:t>农业灌溉管理平台软件、水利大数据应用软件等多个系列、具有完全自主知识产权的水利行业软件产品。从产品类型上包含</w:t>
      </w:r>
      <w:r>
        <w:rPr>
          <w:spacing w:val="-66"/>
        </w:rPr>
        <w:t> </w:t>
      </w:r>
      <w:r>
        <w:rPr>
          <w:spacing w:val="-66"/>
        </w:rPr>
      </w:r>
      <w:r>
        <w:rPr>
          <w:spacing w:val="-2"/>
        </w:rPr>
        <w:t>了水利专业和水利通用两大类产品，从业务领域上涵盖了河长制、资源整合、大数据、水资源，水利工程、农村水利、防汛</w:t>
      </w:r>
      <w:r>
        <w:rPr>
          <w:spacing w:val="-72"/>
        </w:rPr>
        <w:t> </w:t>
      </w:r>
      <w:r>
        <w:rPr>
          <w:spacing w:val="-72"/>
        </w:rPr>
      </w:r>
      <w:r>
        <w:rPr/>
        <w:t>抗旱、水利支撑平台、专业模型等</w:t>
      </w:r>
      <w:r>
        <w:rPr>
          <w:rFonts w:ascii="Times New Roman" w:hAnsi="Times New Roman" w:cs="Times New Roman" w:eastAsia="Times New Roman" w:hint="default"/>
        </w:rPr>
        <w:t>9</w:t>
      </w:r>
      <w:r>
        <w:rPr/>
        <w:t>个系列。</w:t>
      </w:r>
    </w:p>
    <w:p>
      <w:pPr>
        <w:pStyle w:val="Heading6"/>
        <w:spacing w:line="240" w:lineRule="auto" w:before="123"/>
        <w:ind w:left="634" w:right="0"/>
        <w:jc w:val="left"/>
        <w:rPr>
          <w:b w:val="0"/>
          <w:bCs w:val="0"/>
        </w:rPr>
      </w:pPr>
      <w:r>
        <w:rPr/>
        <w:t>数据智能产品</w:t>
      </w:r>
      <w:r>
        <w:rPr>
          <w:b w:val="0"/>
          <w:bCs w:val="0"/>
        </w:rPr>
      </w:r>
    </w:p>
    <w:p>
      <w:pPr>
        <w:spacing w:line="240" w:lineRule="auto" w:before="0"/>
        <w:rPr>
          <w:rFonts w:ascii="宋体" w:hAnsi="宋体" w:cs="宋体" w:eastAsia="宋体" w:hint="default"/>
          <w:b/>
          <w:bCs/>
          <w:sz w:val="15"/>
          <w:szCs w:val="15"/>
        </w:rPr>
      </w:pPr>
    </w:p>
    <w:p>
      <w:pPr>
        <w:pStyle w:val="BodyText"/>
        <w:spacing w:line="312" w:lineRule="auto"/>
        <w:ind w:left="154" w:right="0" w:firstLine="480"/>
        <w:jc w:val="left"/>
      </w:pPr>
      <w:r>
        <w:rPr>
          <w:rFonts w:ascii="Times New Roman" w:hAnsi="Times New Roman" w:cs="Times New Roman" w:eastAsia="Times New Roman" w:hint="default"/>
        </w:rPr>
        <w:t>2017</w:t>
      </w:r>
      <w:r>
        <w:rPr/>
        <w:t>年公司大力落实</w:t>
      </w:r>
      <w:r>
        <w:rPr>
          <w:rFonts w:ascii="Times New Roman" w:hAnsi="Times New Roman" w:cs="Times New Roman" w:eastAsia="Times New Roman" w:hint="default"/>
        </w:rPr>
        <w:t>AI+</w:t>
      </w:r>
      <w:r>
        <w:rPr/>
        <w:t>大数据战略，继续在公安行业耕耘，不断完善公安行业应用产品和系统解决方案，将人像识 别和警务大数据相结合，以</w:t>
      </w:r>
      <w:r>
        <w:rPr>
          <w:rFonts w:ascii="Times New Roman" w:hAnsi="Times New Roman" w:cs="Times New Roman" w:eastAsia="Times New Roman" w:hint="default"/>
        </w:rPr>
        <w:t>“</w:t>
      </w:r>
      <w:r>
        <w:rPr/>
        <w:t>智能警务</w:t>
      </w:r>
      <w:r>
        <w:rPr>
          <w:rFonts w:ascii="Times New Roman" w:hAnsi="Times New Roman" w:cs="Times New Roman" w:eastAsia="Times New Roman" w:hint="default"/>
        </w:rPr>
        <w:t>”</w:t>
      </w:r>
      <w:r>
        <w:rPr/>
        <w:t>为目标，加强人脸识别、警务大数据、公安警钟业务数据的增值业务开发。公司基于 </w:t>
      </w:r>
      <w:r>
        <w:rPr>
          <w:spacing w:val="-2"/>
        </w:rPr>
        <w:t>人像识别、车辆软特征识别、图像目标提取与分析、视频内容理解、行人再检测、模糊图像清晰化处理，以及警务大数据的</w:t>
      </w:r>
      <w:r>
        <w:rPr>
          <w:spacing w:val="-68"/>
        </w:rPr>
        <w:t> </w:t>
      </w:r>
      <w:r>
        <w:rPr>
          <w:spacing w:val="-68"/>
        </w:rPr>
      </w:r>
      <w:r>
        <w:rPr>
          <w:spacing w:val="-2"/>
        </w:rPr>
        <w:t>推荐、预测、关联模型等人工智能技术研发出智能人像服务、人像卡口、高危人员分析、视频结构化分析、情报研判、警情</w:t>
      </w:r>
      <w:r>
        <w:rPr>
          <w:spacing w:val="-72"/>
        </w:rPr>
        <w:t> </w:t>
      </w:r>
      <w:r>
        <w:rPr>
          <w:spacing w:val="-72"/>
        </w:rPr>
      </w:r>
      <w:r>
        <w:rPr>
          <w:spacing w:val="-2"/>
        </w:rPr>
        <w:t>分析等系统。报告期内，公司继续深化江西省公安厅警务大数据、移动人像综合大数据服务系统在一线的应用，成功拓展天</w:t>
      </w:r>
      <w:r>
        <w:rPr>
          <w:spacing w:val="-66"/>
        </w:rPr>
        <w:t> </w:t>
      </w:r>
      <w:r>
        <w:rPr>
          <w:spacing w:val="-66"/>
        </w:rPr>
      </w:r>
      <w:r>
        <w:rPr>
          <w:spacing w:val="-4"/>
        </w:rPr>
        <w:t>津市公安局督察数据分析业务并建设车辆大数据应用系统，相继中标陕西省公安厅三秦警务云建设项目、河南安阳市公安局、</w:t>
      </w:r>
      <w:r>
        <w:rPr>
          <w:spacing w:val="-44"/>
        </w:rPr>
        <w:t> </w:t>
      </w:r>
      <w:r>
        <w:rPr>
          <w:spacing w:val="-44"/>
        </w:rPr>
      </w:r>
      <w:r>
        <w:rPr>
          <w:spacing w:val="-4"/>
        </w:rPr>
        <w:t>焦作市公安局等警务综合项目，完成银川市局近百路人脸监控识别系统实施，与公安部一所进行对接实现大平台的统一运行。</w:t>
      </w:r>
    </w:p>
    <w:p>
      <w:pPr>
        <w:pStyle w:val="BodyText"/>
        <w:spacing w:line="300" w:lineRule="auto" w:before="142"/>
        <w:ind w:left="154" w:right="1112" w:firstLine="480"/>
        <w:jc w:val="left"/>
      </w:pPr>
      <w:r>
        <w:rPr/>
        <w:t>在公安方面，继天津研发中心、南昌研发中心后，新增西安研发中心，专注研发</w:t>
      </w:r>
      <w:r>
        <w:rPr>
          <w:rFonts w:ascii="Times New Roman" w:hAnsi="Times New Roman" w:cs="Times New Roman" w:eastAsia="Times New Roman" w:hint="default"/>
        </w:rPr>
        <w:t>“</w:t>
      </w:r>
      <w:r>
        <w:rPr/>
        <w:t>数据管理平台</w:t>
      </w:r>
      <w:r>
        <w:rPr>
          <w:rFonts w:ascii="Times New Roman" w:hAnsi="Times New Roman" w:cs="Times New Roman" w:eastAsia="Times New Roman" w:hint="default"/>
        </w:rPr>
        <w:t>”</w:t>
      </w:r>
      <w:r>
        <w:rPr/>
        <w:t>，深入拓展公安大数 据业务。</w:t>
      </w:r>
    </w:p>
    <w:p>
      <w:pPr>
        <w:pStyle w:val="BodyText"/>
        <w:spacing w:line="316" w:lineRule="auto" w:before="151"/>
        <w:ind w:left="154" w:right="1132" w:firstLine="480"/>
        <w:jc w:val="both"/>
      </w:pPr>
      <w:r>
        <w:rPr>
          <w:spacing w:val="-1"/>
        </w:rPr>
        <w:t>公司积极推进校企横向合作，先后与中国人民大学、天津大学、北京大学、陕西科技大学等建立公安行业大数据智能</w:t>
      </w:r>
      <w:r>
        <w:rPr/>
        <w:t> </w:t>
      </w:r>
      <w:r>
        <w:rPr>
          <w:spacing w:val="-2"/>
        </w:rPr>
        <w:t>分析模型、图像预处理、行人在检测、视频内容特征识别等课题研究。报告期内，与合肥市公安局、广西省公安厅、新疆自</w:t>
      </w:r>
      <w:r>
        <w:rPr>
          <w:spacing w:val="-72"/>
        </w:rPr>
        <w:t> </w:t>
      </w:r>
      <w:r>
        <w:rPr>
          <w:spacing w:val="-72"/>
        </w:rPr>
      </w:r>
      <w:r>
        <w:rPr/>
        <w:t>治区公安厅等建立密切联系，对多款系统驻客户现场进行优化迭代。</w:t>
      </w:r>
    </w:p>
    <w:p>
      <w:pPr>
        <w:pStyle w:val="BodyText"/>
        <w:spacing w:line="432" w:lineRule="exact" w:before="3"/>
        <w:ind w:left="634" w:right="1118"/>
        <w:jc w:val="left"/>
        <w:rPr>
          <w:rFonts w:ascii="Times New Roman" w:hAnsi="Times New Roman" w:cs="Times New Roman" w:eastAsia="Times New Roman" w:hint="default"/>
        </w:rPr>
      </w:pPr>
      <w:r>
        <w:rPr>
          <w:rFonts w:ascii="宋体" w:hAnsi="宋体" w:cs="宋体" w:eastAsia="宋体" w:hint="default"/>
          <w:b/>
          <w:bCs/>
        </w:rPr>
        <w:t>军械装备产品</w:t>
      </w:r>
      <w:r>
        <w:rPr>
          <w:rFonts w:ascii="宋体" w:hAnsi="宋体" w:cs="宋体" w:eastAsia="宋体" w:hint="default"/>
          <w:b/>
          <w:bCs/>
          <w:w w:val="99"/>
        </w:rPr>
        <w:t> </w:t>
      </w:r>
      <w:r>
        <w:rPr/>
        <w:t>为实现中央军委、武警总部首长提出关于</w:t>
      </w:r>
      <w:r>
        <w:rPr>
          <w:rFonts w:ascii="Times New Roman" w:hAnsi="Times New Roman" w:cs="Times New Roman" w:eastAsia="Times New Roman" w:hint="default"/>
        </w:rPr>
        <w:t>“</w:t>
      </w:r>
      <w:r>
        <w:rPr/>
        <w:t>加快建议信息网络为中心的全新保障形态</w:t>
      </w:r>
      <w:r>
        <w:rPr>
          <w:rFonts w:ascii="Times New Roman" w:hAnsi="Times New Roman" w:cs="Times New Roman" w:eastAsia="Times New Roman" w:hint="default"/>
        </w:rPr>
        <w:t>”</w:t>
      </w:r>
      <w:r>
        <w:rPr/>
        <w:t>的指示要求和后勤建设</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p>
    <w:p>
      <w:pPr>
        <w:pStyle w:val="BodyText"/>
        <w:spacing w:line="312" w:lineRule="auto" w:before="15"/>
        <w:ind w:right="1131"/>
        <w:jc w:val="both"/>
      </w:pPr>
      <w:r>
        <w:rPr>
          <w:spacing w:val="-2"/>
        </w:rPr>
        <w:t>规划任务，公司投入专业力量和资金自主研发用于枪械及枪械库、危险品库、兵器室、战备物资库、维修所武器装备信息化</w:t>
      </w:r>
      <w:r>
        <w:rPr>
          <w:spacing w:val="-66"/>
        </w:rPr>
        <w:t> </w:t>
      </w:r>
      <w:r>
        <w:rPr>
          <w:spacing w:val="-66"/>
        </w:rPr>
      </w:r>
      <w:r>
        <w:rPr>
          <w:spacing w:val="-2"/>
        </w:rPr>
        <w:t>管理的智能军械库综合管理系统平台、军警专用综合信息设备、智能枪弹柜等设备，并与承建单位联合制定符合武警部队军</w:t>
      </w:r>
      <w:r>
        <w:rPr>
          <w:spacing w:val="-66"/>
        </w:rPr>
        <w:t> </w:t>
      </w:r>
      <w:r>
        <w:rPr>
          <w:spacing w:val="-66"/>
        </w:rPr>
      </w:r>
      <w:r>
        <w:rPr/>
        <w:t>械库建设规范要求的接入及信息采集设备和统一通讯协议、接口规范、标准数据格式，通过采用</w:t>
      </w:r>
      <w:r>
        <w:rPr>
          <w:rFonts w:ascii="Times New Roman" w:hAnsi="Times New Roman" w:cs="Times New Roman" w:eastAsia="Times New Roman" w:hint="default"/>
        </w:rPr>
        <w:t>“</w:t>
      </w:r>
      <w:r>
        <w:rPr/>
        <w:t>大数据、物联网、生物识</w:t>
      </w:r>
      <w:r>
        <w:rPr>
          <w:spacing w:val="-75"/>
        </w:rPr>
        <w:t> </w:t>
      </w:r>
      <w:r>
        <w:rPr>
          <w:spacing w:val="-75"/>
        </w:rPr>
      </w:r>
      <w:r>
        <w:rPr/>
        <w:t>别、智能感知</w:t>
      </w:r>
      <w:r>
        <w:rPr>
          <w:rFonts w:ascii="Times New Roman" w:hAnsi="Times New Roman" w:cs="Times New Roman" w:eastAsia="Times New Roman" w:hint="default"/>
        </w:rPr>
        <w:t>”</w:t>
      </w:r>
      <w:r>
        <w:rPr/>
        <w:t>的技术，形成集视频监控、环境监测、联动报警、应急对讲、实时广播多种功能业为一体的智能化综合管理</w:t>
      </w:r>
      <w:r>
        <w:rPr>
          <w:spacing w:val="-77"/>
        </w:rPr>
        <w:t> </w:t>
      </w:r>
      <w:r>
        <w:rPr>
          <w:spacing w:val="-77"/>
        </w:rPr>
      </w:r>
      <w:r>
        <w:rPr>
          <w:spacing w:val="-2"/>
        </w:rPr>
        <w:t>系统。报告期内，公司与中国兵器装备集团下属研究所签署智能军械库综合管理系统长期合作开发协议、枪械管控方向战略</w:t>
      </w:r>
      <w:r>
        <w:rPr>
          <w:spacing w:val="-66"/>
        </w:rPr>
        <w:t> </w:t>
      </w:r>
      <w:r>
        <w:rPr>
          <w:spacing w:val="-66"/>
        </w:rPr>
      </w:r>
      <w:r>
        <w:rPr/>
        <w:t>合作协议等。</w:t>
      </w:r>
    </w:p>
    <w:p>
      <w:pPr>
        <w:pStyle w:val="BodyText"/>
        <w:spacing w:line="319" w:lineRule="auto" w:before="142"/>
        <w:ind w:left="154" w:right="0" w:firstLine="480"/>
        <w:jc w:val="left"/>
      </w:pPr>
      <w:r>
        <w:rPr>
          <w:spacing w:val="-1"/>
        </w:rPr>
        <w:t>公司积极开拓公安行业市场，挖掘潜在客户，相继在山东泰安、黑龙江哈尔滨公安系统成功建立试点，开始大力推广</w:t>
      </w:r>
      <w:r>
        <w:rPr/>
        <w:t> 公安领域智能枪弹管理系统。</w:t>
      </w:r>
    </w:p>
    <w:p>
      <w:pPr>
        <w:pStyle w:val="BodyText"/>
        <w:spacing w:line="439" w:lineRule="auto" w:before="137"/>
        <w:ind w:left="634" w:right="1115"/>
        <w:jc w:val="left"/>
        <w:rPr>
          <w:rFonts w:ascii="Times New Roman" w:hAnsi="Times New Roman" w:cs="Times New Roman" w:eastAsia="Times New Roman" w:hint="default"/>
        </w:rPr>
      </w:pPr>
      <w:r>
        <w:rPr>
          <w:rFonts w:ascii="宋体" w:hAnsi="宋体" w:cs="宋体" w:eastAsia="宋体" w:hint="default"/>
          <w:b/>
          <w:bCs/>
        </w:rPr>
        <w:t>东华网智</w:t>
      </w:r>
      <w:r>
        <w:rPr>
          <w:rFonts w:ascii="宋体" w:hAnsi="宋体" w:cs="宋体" w:eastAsia="宋体" w:hint="default"/>
          <w:b/>
          <w:bCs/>
          <w:w w:val="99"/>
        </w:rPr>
        <w:t> </w:t>
      </w:r>
      <w:r>
        <w:rPr/>
        <w:t>东华网智加大在运维产品升级的研发力度，专注于提升产品品质，以拓宽市场适应性和认可度。继</w:t>
      </w:r>
      <w:r>
        <w:rPr>
          <w:rFonts w:ascii="Times New Roman" w:hAnsi="Times New Roman" w:cs="Times New Roman" w:eastAsia="Times New Roman" w:hint="default"/>
        </w:rPr>
        <w:t>ForceView</w:t>
      </w:r>
      <w:r>
        <w:rPr>
          <w:rFonts w:ascii="Times New Roman" w:hAnsi="Times New Roman" w:cs="Times New Roman" w:eastAsia="Times New Roman" w:hint="default"/>
          <w:spacing w:val="32"/>
        </w:rPr>
        <w:t> </w:t>
      </w:r>
      <w:r>
        <w:rPr>
          <w:rFonts w:ascii="Times New Roman" w:hAnsi="Times New Roman" w:cs="Times New Roman" w:eastAsia="Times New Roman" w:hint="default"/>
        </w:rPr>
        <w:t>Service</w:t>
      </w:r>
    </w:p>
    <w:p>
      <w:pPr>
        <w:spacing w:after="0" w:line="439"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119"/>
        <w:jc w:val="left"/>
      </w:pPr>
      <w:r>
        <w:rPr>
          <w:rFonts w:ascii="Times New Roman" w:hAnsi="Times New Roman" w:cs="Times New Roman" w:eastAsia="Times New Roman" w:hint="default"/>
        </w:rPr>
        <w:t>Desk</w:t>
      </w:r>
      <w:r>
        <w:rPr>
          <w:rFonts w:ascii="Times New Roman" w:hAnsi="Times New Roman" w:cs="Times New Roman" w:eastAsia="Times New Roman" w:hint="default"/>
          <w:spacing w:val="44"/>
        </w:rPr>
        <w:t> </w:t>
      </w:r>
      <w:r>
        <w:rPr>
          <w:rFonts w:ascii="Times New Roman" w:hAnsi="Times New Roman" w:cs="Times New Roman" w:eastAsia="Times New Roman" w:hint="default"/>
        </w:rPr>
        <w:t>V4.0</w:t>
      </w:r>
      <w:r>
        <w:rPr/>
        <w:t>推出后，项目实施开始逐步向新版本过渡，新版本的研发是基于产品原有的升级计划，以完善产品的组件化机制 和产品各模块功能，实现故障模块、问题管理、事件管理、知识库管理、自服务台等模块的改进。</w:t>
      </w:r>
    </w:p>
    <w:p>
      <w:pPr>
        <w:pStyle w:val="BodyText"/>
        <w:spacing w:line="300" w:lineRule="auto" w:before="151"/>
        <w:ind w:right="1131" w:firstLine="480"/>
        <w:jc w:val="both"/>
      </w:pPr>
      <w:r>
        <w:rPr/>
        <w:t>为适应云计算、大数据、人工智能等带来的运维变革，东华网智确定了</w:t>
      </w:r>
      <w:r>
        <w:rPr>
          <w:rFonts w:ascii="Times New Roman" w:hAnsi="Times New Roman" w:cs="Times New Roman" w:eastAsia="Times New Roman" w:hint="default"/>
        </w:rPr>
        <w:t>AIOps</w:t>
      </w:r>
      <w:r>
        <w:rPr/>
        <w:t>（智能运维）的蓝图，制定了研发路线 </w:t>
      </w:r>
      <w:r>
        <w:rPr>
          <w:spacing w:val="-2"/>
        </w:rPr>
        <w:t>图并进行相应的探索。报告期内，</w:t>
      </w:r>
      <w:r>
        <w:rPr>
          <w:rFonts w:ascii="Times New Roman" w:hAnsi="Times New Roman" w:cs="Times New Roman" w:eastAsia="Times New Roman" w:hint="default"/>
          <w:spacing w:val="-2"/>
        </w:rPr>
        <w:t>AIOps</w:t>
      </w:r>
      <w:r>
        <w:rPr>
          <w:spacing w:val="-2"/>
        </w:rPr>
        <w:t>实现基于</w:t>
      </w:r>
      <w:r>
        <w:rPr>
          <w:rFonts w:ascii="Times New Roman" w:hAnsi="Times New Roman" w:cs="Times New Roman" w:eastAsia="Times New Roman" w:hint="default"/>
          <w:spacing w:val="-2"/>
        </w:rPr>
        <w:t>Pipeline</w:t>
      </w:r>
      <w:r>
        <w:rPr>
          <w:spacing w:val="-2"/>
        </w:rPr>
        <w:t>的自动化任务的调度与编排机制，同时也初步完成了分析所需数据</w:t>
      </w:r>
      <w:r>
        <w:rPr>
          <w:spacing w:val="-43"/>
        </w:rPr>
        <w:t> </w:t>
      </w:r>
      <w:r>
        <w:rPr>
          <w:spacing w:val="-43"/>
        </w:rPr>
      </w:r>
      <w:r>
        <w:rPr/>
        <w:t>的采集与存储机制和智能运维机器人方案的初步技术预言。</w:t>
      </w:r>
    </w:p>
    <w:p>
      <w:pPr>
        <w:pStyle w:val="BodyText"/>
        <w:spacing w:line="302" w:lineRule="auto" w:before="151"/>
        <w:ind w:right="1053" w:firstLine="480"/>
        <w:jc w:val="left"/>
      </w:pPr>
      <w:r>
        <w:rPr/>
        <w:t>在</w:t>
      </w:r>
      <w:r>
        <w:rPr>
          <w:rFonts w:ascii="Times New Roman" w:hAnsi="Times New Roman" w:cs="Times New Roman" w:eastAsia="Times New Roman" w:hint="default"/>
        </w:rPr>
        <w:t>IT</w:t>
      </w:r>
      <w:r>
        <w:rPr/>
        <w:t>综合监控与管理产品研发方面，东华网智推出了基于子产品组合框架的</w:t>
      </w:r>
      <w:r>
        <w:rPr>
          <w:rFonts w:ascii="Times New Roman" w:hAnsi="Times New Roman" w:cs="Times New Roman" w:eastAsia="Times New Roman" w:hint="default"/>
        </w:rPr>
        <w:t>IT</w:t>
      </w:r>
      <w:r>
        <w:rPr/>
        <w:t>监控管理</w:t>
      </w:r>
      <w:r>
        <w:rPr>
          <w:rFonts w:ascii="Times New Roman" w:hAnsi="Times New Roman" w:cs="Times New Roman" w:eastAsia="Times New Roman" w:hint="default"/>
        </w:rPr>
        <w:t>4.0</w:t>
      </w:r>
      <w:r>
        <w:rPr/>
        <w:t>平台如统一告警子平台及</w:t>
      </w:r>
      <w:r>
        <w:rPr>
          <w:rFonts w:ascii="Times New Roman" w:hAnsi="Times New Roman" w:cs="Times New Roman" w:eastAsia="Times New Roman" w:hint="default"/>
        </w:rPr>
        <w:t>IT </w:t>
      </w:r>
      <w:r>
        <w:rPr/>
        <w:t>网络资源监控子平台等。在网络流量方面，首先依托国家地方联合工程实验室</w:t>
      </w:r>
      <w:r>
        <w:rPr>
          <w:rFonts w:ascii="Times New Roman" w:hAnsi="Times New Roman" w:cs="Times New Roman" w:eastAsia="Times New Roman" w:hint="default"/>
        </w:rPr>
        <w:t>“</w:t>
      </w:r>
      <w:r>
        <w:rPr/>
        <w:t>云计算流量分析与控制工程实验室</w:t>
      </w:r>
      <w:r>
        <w:rPr>
          <w:rFonts w:ascii="Times New Roman" w:hAnsi="Times New Roman" w:cs="Times New Roman" w:eastAsia="Times New Roman" w:hint="default"/>
        </w:rPr>
        <w:t>”</w:t>
      </w:r>
      <w:r>
        <w:rPr/>
        <w:t>的资源， 东华网智重点研究了高性能应用分发技术，通过将技术成果转化为产品，实现单机</w:t>
      </w:r>
      <w:r>
        <w:rPr>
          <w:rFonts w:ascii="Times New Roman" w:hAnsi="Times New Roman" w:cs="Times New Roman" w:eastAsia="Times New Roman" w:hint="default"/>
        </w:rPr>
        <w:t>40G</w:t>
      </w:r>
      <w:r>
        <w:rPr/>
        <w:t>的处理能力，在医疗行业内取得了规 </w:t>
      </w:r>
      <w:r>
        <w:rPr>
          <w:spacing w:val="-2"/>
        </w:rPr>
        <w:t>模化推广；其次，报告期内研究了互联网用户的数据分析技术，利用大数据分析技术从海量的互联网数据中，构造多维度的</w:t>
      </w:r>
      <w:r>
        <w:rPr>
          <w:spacing w:val="-66"/>
        </w:rPr>
        <w:t> </w:t>
      </w:r>
      <w:r>
        <w:rPr>
          <w:spacing w:val="-66"/>
        </w:rPr>
      </w:r>
      <w:r>
        <w:rPr/>
        <w:t>分析模型，目前已在部分运营商网络中初步应用。在人工智能方面，研究百度</w:t>
      </w:r>
      <w:r>
        <w:rPr>
          <w:rFonts w:ascii="Times New Roman" w:hAnsi="Times New Roman" w:cs="Times New Roman" w:eastAsia="Times New Roman" w:hint="default"/>
        </w:rPr>
        <w:t>dueros</w:t>
      </w:r>
      <w:r>
        <w:rPr/>
        <w:t>与本领域产品结合的可能性，未来有可 能把相关技术引入到现有网络产品中去。此外，东华网智</w:t>
      </w:r>
      <w:r>
        <w:rPr>
          <w:rFonts w:ascii="Times New Roman" w:hAnsi="Times New Roman" w:cs="Times New Roman" w:eastAsia="Times New Roman" w:hint="default"/>
        </w:rPr>
        <w:t>2017</w:t>
      </w:r>
      <w:r>
        <w:rPr/>
        <w:t>年推出了基于龙芯</w:t>
      </w:r>
      <w:r>
        <w:rPr>
          <w:rFonts w:ascii="Times New Roman" w:hAnsi="Times New Roman" w:cs="Times New Roman" w:eastAsia="Times New Roman" w:hint="default"/>
        </w:rPr>
        <w:t>3A</w:t>
      </w:r>
      <w:r>
        <w:rPr/>
        <w:t>系列</w:t>
      </w:r>
      <w:r>
        <w:rPr>
          <w:rFonts w:ascii="Times New Roman" w:hAnsi="Times New Roman" w:cs="Times New Roman" w:eastAsia="Times New Roman" w:hint="default"/>
        </w:rPr>
        <w:t>CPU</w:t>
      </w:r>
      <w:r>
        <w:rPr/>
        <w:t>的全国产负载均衡产品，并在 一些政府行业用户处得到了初步推广应用。</w:t>
      </w:r>
    </w:p>
    <w:p>
      <w:pPr>
        <w:pStyle w:val="Heading6"/>
        <w:spacing w:line="415" w:lineRule="auto" w:before="149"/>
        <w:ind w:right="8193" w:firstLine="2"/>
        <w:jc w:val="left"/>
        <w:rPr>
          <w:b w:val="0"/>
          <w:bCs w:val="0"/>
        </w:rPr>
      </w:pPr>
      <w:r>
        <w:rPr/>
        <w:t>（</w:t>
      </w:r>
      <w:r>
        <w:rPr>
          <w:rFonts w:ascii="Times New Roman" w:hAnsi="Times New Roman" w:cs="Times New Roman" w:eastAsia="Times New Roman" w:hint="default"/>
        </w:rPr>
        <w:t>3</w:t>
      </w:r>
      <w:r>
        <w:rPr/>
        <w:t>）主要子公司发展情况</w:t>
      </w:r>
      <w:r>
        <w:rPr>
          <w:w w:val="99"/>
        </w:rPr>
        <w:t> </w:t>
      </w:r>
      <w:r>
        <w:rPr/>
        <w:t>东华厚盾</w:t>
      </w:r>
      <w:r>
        <w:rPr>
          <w:b w:val="0"/>
          <w:bCs w:val="0"/>
        </w:rPr>
      </w:r>
    </w:p>
    <w:p>
      <w:pPr>
        <w:pStyle w:val="BodyText"/>
        <w:spacing w:line="316" w:lineRule="auto" w:before="65"/>
        <w:ind w:left="154" w:right="1032" w:firstLine="480"/>
        <w:jc w:val="left"/>
      </w:pPr>
      <w:r>
        <w:rPr/>
        <w:t>报告期内，东华厚盾继续专注以管理会计为指导、以全面预算为纽带的企业管理系列产品研发与实施，积极在电力设 </w:t>
      </w:r>
      <w:r>
        <w:rPr>
          <w:spacing w:val="-4"/>
        </w:rPr>
        <w:t>计院、城投、轨道交通、烟草、军工、钢铁、煤炭、制造等优势行业进行深入拓展，逐步形成若干有针对性的行业解决方案。</w:t>
      </w:r>
      <w:r>
        <w:rPr>
          <w:spacing w:val="-46"/>
        </w:rPr>
        <w:t> </w:t>
      </w:r>
      <w:r>
        <w:rPr>
          <w:spacing w:val="-46"/>
        </w:rPr>
      </w:r>
      <w:r>
        <w:rPr>
          <w:spacing w:val="-2"/>
        </w:rPr>
        <w:t>东华厚盾以全面预算管理平台为基础，以现代管理会计及企业内控体系为指导，面向集团化企业推出投资项目管理、集中采</w:t>
      </w:r>
      <w:r>
        <w:rPr>
          <w:spacing w:val="-66"/>
        </w:rPr>
        <w:t> </w:t>
      </w:r>
      <w:r>
        <w:rPr>
          <w:spacing w:val="-66"/>
        </w:rPr>
      </w:r>
      <w:r>
        <w:rPr/>
        <w:t>购管理等企业经营管控系列产品，在中国电工、中国咨询、山西新唐、河南中烟、航天科工四院、首发集团成功实施应用。</w:t>
      </w:r>
    </w:p>
    <w:p>
      <w:pPr>
        <w:pStyle w:val="BodyText"/>
        <w:spacing w:line="312" w:lineRule="auto" w:before="139"/>
        <w:ind w:left="154" w:right="1130" w:firstLine="480"/>
        <w:jc w:val="both"/>
      </w:pPr>
      <w:r>
        <w:rPr/>
        <w:t>在</w:t>
      </w:r>
      <w:r>
        <w:rPr>
          <w:rFonts w:ascii="Times New Roman" w:hAnsi="Times New Roman" w:cs="Times New Roman" w:eastAsia="Times New Roman" w:hint="default"/>
        </w:rPr>
        <w:t>“</w:t>
      </w:r>
      <w:r>
        <w:rPr/>
        <w:t>重点客户、优势行业、优势地区</w:t>
      </w:r>
      <w:r>
        <w:rPr>
          <w:rFonts w:ascii="Times New Roman" w:hAnsi="Times New Roman" w:cs="Times New Roman" w:eastAsia="Times New Roman" w:hint="default"/>
        </w:rPr>
        <w:t>”</w:t>
      </w:r>
      <w:r>
        <w:rPr/>
        <w:t>加大营销力度，相继与南方航空、南京城建、中交一公院、华东电力设计院、中 </w:t>
      </w:r>
      <w:r>
        <w:rPr>
          <w:spacing w:val="-2"/>
        </w:rPr>
        <w:t>冶海外等签署合同。东华厚盾积极发展行业优势，相继与能建集团山西设计院、北京轨道交通运营公司、中通钢构、前锋电</w:t>
      </w:r>
      <w:r>
        <w:rPr>
          <w:spacing w:val="-66"/>
        </w:rPr>
        <w:t> </w:t>
      </w:r>
      <w:r>
        <w:rPr>
          <w:spacing w:val="-66"/>
        </w:rPr>
      </w:r>
      <w:r>
        <w:rPr>
          <w:spacing w:val="-2"/>
        </w:rPr>
        <w:t>子等企业签约；同时，东华厚盾拓展了以青岛广电为代表的广电领域、以中国国贸为代表的商务服务领域，凸显其在新行业</w:t>
      </w:r>
      <w:r>
        <w:rPr>
          <w:spacing w:val="-65"/>
        </w:rPr>
        <w:t> </w:t>
      </w:r>
      <w:r>
        <w:rPr>
          <w:spacing w:val="-65"/>
        </w:rPr>
      </w:r>
      <w:r>
        <w:rPr/>
        <w:t>的竞争优势。</w:t>
      </w:r>
    </w:p>
    <w:p>
      <w:pPr>
        <w:pStyle w:val="BodyText"/>
        <w:spacing w:line="314" w:lineRule="auto" w:before="142"/>
        <w:ind w:left="154" w:right="1132" w:firstLine="480"/>
        <w:jc w:val="both"/>
      </w:pPr>
      <w:r>
        <w:rPr>
          <w:spacing w:val="-1"/>
        </w:rPr>
        <w:t>东华厚盾依托顶层设计的高度，借助新技术协助集团老客户搭建并稳步推进</w:t>
      </w:r>
      <w:r>
        <w:rPr>
          <w:rFonts w:ascii="Times New Roman" w:hAnsi="Times New Roman" w:cs="Times New Roman" w:eastAsia="Times New Roman" w:hint="default"/>
          <w:spacing w:val="-1"/>
        </w:rPr>
        <w:t>“1+N+M”</w:t>
      </w:r>
      <w:r>
        <w:rPr>
          <w:spacing w:val="-1"/>
        </w:rPr>
        <w:t>的三级业财一体化平台，以全面</w:t>
      </w:r>
      <w:r>
        <w:rPr>
          <w:w w:val="99"/>
        </w:rPr>
        <w:t> </w:t>
      </w:r>
      <w:r>
        <w:rPr>
          <w:spacing w:val="-2"/>
        </w:rPr>
        <w:t>预算促进了企业整个业务链的运转。在国家供给侧结构性改革的大环境下，东华厚盾顺势推出了面向产业园区的智慧产业园</w:t>
      </w:r>
      <w:r>
        <w:rPr>
          <w:spacing w:val="-65"/>
        </w:rPr>
        <w:t> </w:t>
      </w:r>
      <w:r>
        <w:rPr>
          <w:spacing w:val="-65"/>
        </w:rPr>
      </w:r>
      <w:r>
        <w:rPr>
          <w:spacing w:val="-2"/>
        </w:rPr>
        <w:t>区及园区企业服务云平台，与扬子科创签订合作协议建设智慧园区，为南京江北新区的入驻企业提供智慧服务；与淮北市政</w:t>
      </w:r>
      <w:r>
        <w:rPr>
          <w:spacing w:val="-67"/>
        </w:rPr>
        <w:t> </w:t>
      </w:r>
      <w:r>
        <w:rPr>
          <w:spacing w:val="-67"/>
        </w:rPr>
      </w:r>
      <w:r>
        <w:rPr>
          <w:spacing w:val="-2"/>
        </w:rPr>
        <w:t>府签订协议，在淮北六大园区建设集云服务基础、经营管控、园区服务、个人服务于一体的东华企业云，促进淮北中小企业</w:t>
      </w:r>
      <w:r>
        <w:rPr>
          <w:spacing w:val="-67"/>
        </w:rPr>
        <w:t> </w:t>
      </w:r>
      <w:r>
        <w:rPr>
          <w:spacing w:val="-67"/>
        </w:rPr>
      </w:r>
      <w:r>
        <w:rPr/>
        <w:t>和产业加速融合，助力地方经济发展。</w:t>
      </w:r>
    </w:p>
    <w:p>
      <w:pPr>
        <w:pStyle w:val="BodyText"/>
        <w:spacing w:line="432" w:lineRule="exact" w:before="5"/>
        <w:ind w:left="634" w:right="1112"/>
        <w:jc w:val="left"/>
      </w:pPr>
      <w:r>
        <w:rPr>
          <w:rFonts w:ascii="宋体" w:hAnsi="宋体" w:cs="宋体" w:eastAsia="宋体" w:hint="default"/>
          <w:b/>
          <w:bCs/>
        </w:rPr>
        <w:t>神州新桥</w:t>
      </w:r>
      <w:r>
        <w:rPr>
          <w:rFonts w:ascii="宋体" w:hAnsi="宋体" w:cs="宋体" w:eastAsia="宋体" w:hint="default"/>
          <w:b/>
          <w:bCs/>
          <w:w w:val="99"/>
        </w:rPr>
        <w:t> </w:t>
      </w:r>
      <w:r>
        <w:rPr/>
        <w:t>北京神州新桥科技有限公司作为国内少数具备</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需求实现能力的综合性信息系统解决方案提供商之一。神州新</w:t>
      </w:r>
    </w:p>
    <w:p>
      <w:pPr>
        <w:pStyle w:val="BodyText"/>
        <w:spacing w:line="309" w:lineRule="auto" w:before="15"/>
        <w:ind w:left="154" w:right="1030"/>
        <w:jc w:val="left"/>
      </w:pPr>
      <w:r>
        <w:rPr>
          <w:spacing w:val="-3"/>
        </w:rPr>
        <w:t>桥主营业务集中于为金融、证券、电信等大中型企事业单位机构，业务涉及机房环境、</w:t>
      </w:r>
      <w:r>
        <w:rPr>
          <w:rFonts w:ascii="Times New Roman" w:hAnsi="Times New Roman" w:cs="Times New Roman" w:eastAsia="Times New Roman" w:hint="default"/>
          <w:spacing w:val="-3"/>
        </w:rPr>
        <w:t>IT</w:t>
      </w:r>
      <w:r>
        <w:rPr>
          <w:spacing w:val="-3"/>
        </w:rPr>
        <w:t>基础设施、安防监控、建筑智能化、</w:t>
      </w:r>
      <w:r>
        <w:rPr/>
        <w:t> </w:t>
      </w:r>
      <w:r>
        <w:rPr>
          <w:spacing w:val="-2"/>
        </w:rPr>
        <w:t>应用软件中的管理支撑类软件集成和开发、业务运营类应用软件、云平台监控运维平台的开发及运营。报告期内，神州新桥</w:t>
      </w:r>
      <w:r>
        <w:rPr>
          <w:spacing w:val="-66"/>
        </w:rPr>
        <w:t> </w:t>
      </w:r>
      <w:r>
        <w:rPr>
          <w:spacing w:val="-66"/>
        </w:rPr>
      </w:r>
      <w:r>
        <w:rPr>
          <w:spacing w:val="-4"/>
        </w:rPr>
        <w:t>凭借多年的建设经验与技术积累，与众多大型企事业单位进行多层次、多形式的合作，签订项目累计总额高达</w:t>
      </w:r>
      <w:r>
        <w:rPr>
          <w:rFonts w:ascii="Times New Roman" w:hAnsi="Times New Roman" w:cs="Times New Roman" w:eastAsia="Times New Roman" w:hint="default"/>
          <w:spacing w:val="-4"/>
        </w:rPr>
        <w:t>25</w:t>
      </w:r>
      <w:r>
        <w:rPr>
          <w:spacing w:val="-4"/>
        </w:rPr>
        <w:t>亿元人民币，</w:t>
      </w:r>
      <w:r>
        <w:rPr>
          <w:spacing w:val="-39"/>
        </w:rPr>
        <w:t> </w:t>
      </w:r>
      <w:r>
        <w:rPr>
          <w:spacing w:val="-2"/>
        </w:rPr>
        <w:t>逐步提升在商业银行、民营银行、保险、农信及电信市场的占有率。神州新桥以满足客户需求、改善客户体验为核心，不断</w:t>
      </w:r>
      <w:r>
        <w:rPr>
          <w:spacing w:val="-67"/>
        </w:rPr>
        <w:t> </w:t>
      </w:r>
      <w:r>
        <w:rPr>
          <w:spacing w:val="-67"/>
        </w:rPr>
      </w:r>
      <w:r>
        <w:rPr/>
        <w:t>优化产品规划，推出</w:t>
      </w:r>
      <w:r>
        <w:rPr>
          <w:rFonts w:ascii="Times New Roman" w:hAnsi="Times New Roman" w:cs="Times New Roman" w:eastAsia="Times New Roman" w:hint="default"/>
        </w:rPr>
        <w:t>“</w:t>
      </w:r>
      <w:r>
        <w:rPr/>
        <w:t>平台开发</w:t>
      </w:r>
      <w:r>
        <w:rPr>
          <w:rFonts w:ascii="Times New Roman" w:hAnsi="Times New Roman" w:cs="Times New Roman" w:eastAsia="Times New Roman" w:hint="default"/>
        </w:rPr>
        <w:t>+</w:t>
      </w:r>
      <w:r>
        <w:rPr/>
        <w:t>合作运营</w:t>
      </w:r>
      <w:r>
        <w:rPr>
          <w:rFonts w:ascii="Times New Roman" w:hAnsi="Times New Roman" w:cs="Times New Roman" w:eastAsia="Times New Roman" w:hint="default"/>
        </w:rPr>
        <w:t>”</w:t>
      </w:r>
      <w:r>
        <w:rPr/>
        <w:t>模式，在很大程度上有效地降低客户对平台后期迭代所带来的风险担忧。</w:t>
      </w:r>
    </w:p>
    <w:p>
      <w:pPr>
        <w:pStyle w:val="Heading6"/>
        <w:spacing w:line="240" w:lineRule="auto" w:before="125"/>
        <w:ind w:left="634" w:right="0"/>
        <w:jc w:val="left"/>
        <w:rPr>
          <w:b w:val="0"/>
          <w:bCs w:val="0"/>
        </w:rPr>
      </w:pPr>
      <w:r>
        <w:rPr/>
        <w:t>威锐达</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left="154" w:right="1040" w:firstLine="480"/>
        <w:jc w:val="left"/>
      </w:pPr>
      <w:r>
        <w:rPr>
          <w:spacing w:val="-1"/>
        </w:rPr>
        <w:t>北京威锐达测控系统有限公司致力于风电机组健康状态监测和故障诊断，始终坚持</w:t>
      </w:r>
      <w:r>
        <w:rPr>
          <w:rFonts w:ascii="Times New Roman" w:hAnsi="Times New Roman" w:cs="Times New Roman" w:eastAsia="Times New Roman" w:hint="default"/>
          <w:spacing w:val="-1"/>
        </w:rPr>
        <w:t>“</w:t>
      </w:r>
      <w:r>
        <w:rPr>
          <w:spacing w:val="-1"/>
        </w:rPr>
        <w:t>持续创新、精益求精、质量为先、</w:t>
      </w:r>
      <w:r>
        <w:rPr/>
        <w:t> </w:t>
      </w:r>
      <w:r>
        <w:rPr>
          <w:spacing w:val="10"/>
        </w:rPr>
        <w:t>用户至上</w:t>
      </w:r>
      <w:r>
        <w:rPr>
          <w:rFonts w:ascii="Times New Roman" w:hAnsi="Times New Roman" w:cs="Times New Roman" w:eastAsia="Times New Roman" w:hint="default"/>
          <w:spacing w:val="10"/>
        </w:rPr>
        <w:t>”</w:t>
      </w:r>
      <w:r>
        <w:rPr>
          <w:spacing w:val="10"/>
        </w:rPr>
        <w:t>的经营理念，自主研发的产品满足了客户的多样化需求。威锐达自主研发的产品具体包括：监测传动链的</w:t>
      </w:r>
      <w:r>
        <w:rPr>
          <w:spacing w:val="-84"/>
        </w:rPr>
        <w:t> </w:t>
      </w:r>
      <w:r>
        <w:rPr>
          <w:spacing w:val="-84"/>
        </w:rPr>
      </w:r>
      <w:r>
        <w:rPr>
          <w:rFonts w:ascii="Times New Roman" w:hAnsi="Times New Roman" w:cs="Times New Roman" w:eastAsia="Times New Roman" w:hint="default"/>
        </w:rPr>
        <w:t>WindDAU</w:t>
      </w:r>
      <w:r>
        <w:rPr/>
        <w:t>，监测塔筒的晃度仪</w:t>
      </w:r>
      <w:r>
        <w:rPr>
          <w:rFonts w:ascii="Times New Roman" w:hAnsi="Times New Roman" w:cs="Times New Roman" w:eastAsia="Times New Roman" w:hint="default"/>
        </w:rPr>
        <w:t>WindSVM</w:t>
      </w:r>
      <w:r>
        <w:rPr/>
        <w:t>，监测叶片状态的</w:t>
      </w:r>
      <w:r>
        <w:rPr>
          <w:rFonts w:ascii="Times New Roman" w:hAnsi="Times New Roman" w:cs="Times New Roman" w:eastAsia="Times New Roman" w:hint="default"/>
        </w:rPr>
        <w:t>WindBVM</w:t>
      </w:r>
      <w:r>
        <w:rPr/>
        <w:t>，离线式监测的手持设备</w:t>
      </w:r>
      <w:r>
        <w:rPr>
          <w:rFonts w:ascii="Times New Roman" w:hAnsi="Times New Roman" w:cs="Times New Roman" w:eastAsia="Times New Roman" w:hint="default"/>
        </w:rPr>
        <w:t>WindDAQ</w:t>
      </w:r>
      <w:r>
        <w:rPr/>
        <w:t>、便携式采集设备 </w:t>
      </w:r>
      <w:r>
        <w:rPr>
          <w:rFonts w:ascii="Times New Roman" w:hAnsi="Times New Roman" w:cs="Times New Roman" w:eastAsia="Times New Roman" w:hint="default"/>
          <w:spacing w:val="-2"/>
        </w:rPr>
        <w:t>WindPro</w:t>
      </w:r>
      <w:r>
        <w:rPr>
          <w:spacing w:val="-2"/>
        </w:rPr>
        <w:t>等风机的主要部件及智能诊断分析平台等。</w:t>
      </w:r>
      <w:r>
        <w:rPr>
          <w:rFonts w:ascii="Times New Roman" w:hAnsi="Times New Roman" w:cs="Times New Roman" w:eastAsia="Times New Roman" w:hint="default"/>
          <w:spacing w:val="-2"/>
        </w:rPr>
        <w:t>2017</w:t>
      </w:r>
      <w:r>
        <w:rPr>
          <w:spacing w:val="-2"/>
        </w:rPr>
        <w:t>年，公司在完善已有风电机组振动监测系统的同时不断开发新产品，</w:t>
      </w:r>
      <w:r>
        <w:rPr>
          <w:spacing w:val="-75"/>
        </w:rPr>
        <w:t> </w:t>
      </w:r>
      <w:r>
        <w:rPr>
          <w:spacing w:val="-75"/>
        </w:rPr>
      </w:r>
      <w:r>
        <w:rPr/>
        <w:t>在</w:t>
      </w:r>
      <w:r>
        <w:rPr>
          <w:rFonts w:ascii="Times New Roman" w:hAnsi="Times New Roman" w:cs="Times New Roman" w:eastAsia="Times New Roman" w:hint="default"/>
        </w:rPr>
        <w:t>2017</w:t>
      </w:r>
      <w:r>
        <w:rPr/>
        <w:t>年推出了</w:t>
      </w:r>
      <w:r>
        <w:rPr>
          <w:rFonts w:ascii="Times New Roman" w:hAnsi="Times New Roman" w:cs="Times New Roman" w:eastAsia="Times New Roman" w:hint="default"/>
        </w:rPr>
        <w:t>WindDAU-G  3.0</w:t>
      </w:r>
      <w:r>
        <w:rPr/>
        <w:t>、</w:t>
      </w:r>
      <w:r>
        <w:rPr>
          <w:rFonts w:ascii="Times New Roman" w:hAnsi="Times New Roman" w:cs="Times New Roman" w:eastAsia="Times New Roman" w:hint="default"/>
        </w:rPr>
        <w:t>WindDAU Pro</w:t>
      </w:r>
      <w:r>
        <w:rPr>
          <w:rFonts w:ascii="Times New Roman" w:hAnsi="Times New Roman" w:cs="Times New Roman" w:eastAsia="Times New Roman" w:hint="default"/>
        </w:rPr>
        <w:t>–</w:t>
      </w:r>
      <w:r>
        <w:rPr>
          <w:rFonts w:ascii="Times New Roman" w:hAnsi="Times New Roman" w:cs="Times New Roman" w:eastAsia="Times New Roman" w:hint="default"/>
        </w:rPr>
        <w:t>G</w:t>
      </w:r>
      <w:r>
        <w:rPr>
          <w:rFonts w:ascii="Times New Roman" w:hAnsi="Times New Roman" w:cs="Times New Roman" w:eastAsia="Times New Roman" w:hint="default"/>
          <w:spacing w:val="22"/>
        </w:rPr>
        <w:t> </w:t>
      </w:r>
      <w:r>
        <w:rPr>
          <w:rFonts w:ascii="Times New Roman" w:hAnsi="Times New Roman" w:cs="Times New Roman" w:eastAsia="Times New Roman" w:hint="default"/>
        </w:rPr>
        <w:t>3.0</w:t>
      </w:r>
      <w:r>
        <w:rPr/>
        <w:t>等第三代产品，能覆盖整个塔筒监测的新塔筒监测系统</w:t>
      </w:r>
      <w:r>
        <w:rPr>
          <w:rFonts w:ascii="Times New Roman" w:hAnsi="Times New Roman" w:cs="Times New Roman" w:eastAsia="Times New Roman" w:hint="default"/>
        </w:rPr>
        <w:t>WindTVM</w:t>
      </w:r>
      <w:r>
        <w:rPr/>
        <w:t>样</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jc w:val="both"/>
      </w:pPr>
      <w:r>
        <w:rPr>
          <w:spacing w:val="-4"/>
        </w:rPr>
        <w:t>机、用于叶片监测的</w:t>
      </w:r>
      <w:r>
        <w:rPr>
          <w:rFonts w:ascii="Times New Roman" w:hAnsi="Times New Roman" w:cs="Times New Roman" w:eastAsia="Times New Roman" w:hint="default"/>
          <w:spacing w:val="-4"/>
        </w:rPr>
        <w:t>WindBVM</w:t>
      </w:r>
      <w:r>
        <w:rPr>
          <w:spacing w:val="-4"/>
        </w:rPr>
        <w:t>、用于监测油液的油液监测模块。在软件系统方面，陆续推出智能诊断系统（</w:t>
      </w:r>
      <w:r>
        <w:rPr>
          <w:rFonts w:ascii="Times New Roman" w:hAnsi="Times New Roman" w:cs="Times New Roman" w:eastAsia="Times New Roman" w:hint="default"/>
          <w:spacing w:val="-4"/>
        </w:rPr>
        <w:t>IDS</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5"/>
        </w:rPr>
        <w:t>3.0</w:t>
      </w:r>
      <w:r>
        <w:rPr>
          <w:spacing w:val="-5"/>
        </w:rPr>
        <w:t>）和</w:t>
      </w:r>
      <w:r>
        <w:rPr>
          <w:rFonts w:ascii="Times New Roman" w:hAnsi="Times New Roman" w:cs="Times New Roman" w:eastAsia="Times New Roman" w:hint="default"/>
          <w:spacing w:val="-5"/>
        </w:rPr>
        <w:t>OMS</w:t>
      </w:r>
      <w:r>
        <w:rPr>
          <w:rFonts w:ascii="Times New Roman" w:hAnsi="Times New Roman" w:cs="Times New Roman" w:eastAsia="Times New Roman" w:hint="default"/>
          <w:spacing w:val="-39"/>
        </w:rPr>
        <w:t> </w:t>
      </w:r>
      <w:r>
        <w:rPr/>
        <w:t>运行监测系统</w:t>
      </w:r>
      <w:r>
        <w:rPr>
          <w:rFonts w:ascii="Times New Roman" w:hAnsi="Times New Roman" w:cs="Times New Roman" w:eastAsia="Times New Roman" w:hint="default"/>
        </w:rPr>
        <w:t>2.0</w:t>
      </w:r>
      <w:r>
        <w:rPr/>
        <w:t>完善远程视频指导系统，通过便携视频采集设备与视频监控系统软件配套使用，具有视频采集、存储、语</w:t>
      </w:r>
      <w:r>
        <w:rPr>
          <w:spacing w:val="-44"/>
        </w:rPr>
        <w:t> </w:t>
      </w:r>
      <w:r>
        <w:rPr>
          <w:spacing w:val="-44"/>
        </w:rPr>
      </w:r>
      <w:r>
        <w:rPr>
          <w:spacing w:val="-2"/>
        </w:rPr>
        <w:t>音对讲等功能，现场工程师通过使用该设备可以实时与远程专家进行交互，在专家的指导下解决现场问题、反馈现场实际场</w:t>
      </w:r>
      <w:r>
        <w:rPr>
          <w:spacing w:val="-66"/>
        </w:rPr>
        <w:t> </w:t>
      </w:r>
      <w:r>
        <w:rPr>
          <w:spacing w:val="-66"/>
        </w:rPr>
      </w:r>
      <w:r>
        <w:rPr>
          <w:spacing w:val="-2"/>
        </w:rPr>
        <w:t>景。在诊断服务方面，陆续有人员获得国际振动分析师四级、三级和二级证书，提高了分析诊断能力，为用户提供更好的服</w:t>
      </w:r>
      <w:r>
        <w:rPr>
          <w:spacing w:val="-66"/>
        </w:rPr>
        <w:t> </w:t>
      </w:r>
      <w:r>
        <w:rPr>
          <w:spacing w:val="-66"/>
        </w:rPr>
      </w:r>
      <w:r>
        <w:rPr/>
        <w:t>务。</w:t>
      </w:r>
    </w:p>
    <w:p>
      <w:pPr>
        <w:pStyle w:val="Heading6"/>
        <w:spacing w:line="240" w:lineRule="auto" w:before="144"/>
        <w:ind w:left="0" w:right="8934"/>
        <w:jc w:val="center"/>
        <w:rPr>
          <w:b w:val="0"/>
          <w:bCs w:val="0"/>
        </w:rPr>
      </w:pPr>
      <w:r>
        <w:rPr/>
        <w:t>互联宜家</w:t>
      </w:r>
      <w:r>
        <w:rPr>
          <w:b w:val="0"/>
          <w:bCs w:val="0"/>
        </w:rPr>
      </w:r>
    </w:p>
    <w:p>
      <w:pPr>
        <w:spacing w:line="240" w:lineRule="auto" w:before="0"/>
        <w:rPr>
          <w:rFonts w:ascii="宋体" w:hAnsi="宋体" w:cs="宋体" w:eastAsia="宋体" w:hint="default"/>
          <w:b/>
          <w:bCs/>
          <w:sz w:val="15"/>
          <w:szCs w:val="15"/>
        </w:rPr>
      </w:pPr>
    </w:p>
    <w:p>
      <w:pPr>
        <w:pStyle w:val="BodyText"/>
        <w:spacing w:line="307" w:lineRule="auto"/>
        <w:ind w:left="154" w:right="1129" w:firstLine="480"/>
        <w:jc w:val="both"/>
      </w:pPr>
      <w:r>
        <w:rPr>
          <w:spacing w:val="2"/>
        </w:rPr>
        <w:t>互联宜家主营业务为智慧社区及网络建设集成</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1"/>
        </w:rPr>
        <w:t> </w:t>
      </w:r>
      <w:r>
        <w:rPr>
          <w:spacing w:val="2"/>
        </w:rPr>
        <w:t>按照</w:t>
      </w:r>
      <w:r>
        <w:rPr>
          <w:color w:val="333333"/>
          <w:spacing w:val="2"/>
        </w:rPr>
        <w:t>住房城乡建设部关于开展国家智慧城市建设工作的要求</w:t>
      </w:r>
      <w:r>
        <w:rPr>
          <w:rFonts w:ascii="Times New Roman" w:hAnsi="Times New Roman" w:cs="Times New Roman" w:eastAsia="Times New Roman" w:hint="default"/>
          <w:color w:val="333333"/>
          <w:spacing w:val="2"/>
        </w:rPr>
        <w:t>,</w:t>
      </w:r>
      <w:r>
        <w:rPr>
          <w:color w:val="333333"/>
          <w:spacing w:val="2"/>
        </w:rPr>
        <w:t>互联宜</w:t>
      </w:r>
      <w:r>
        <w:rPr>
          <w:color w:val="333333"/>
        </w:rPr>
        <w:t> 家</w:t>
      </w:r>
      <w:r>
        <w:rPr/>
        <w:t>已在天津、贵州、吉林、哈尔滨、陕西、甘肃、湖南等省市陆续开展业务落地，覆盖</w:t>
      </w:r>
      <w:r>
        <w:rPr>
          <w:rFonts w:ascii="Times New Roman" w:hAnsi="Times New Roman" w:cs="Times New Roman" w:eastAsia="Times New Roman" w:hint="default"/>
        </w:rPr>
        <w:t>880</w:t>
      </w:r>
      <w:r>
        <w:rPr/>
        <w:t>万户家庭、</w:t>
      </w:r>
      <w:r>
        <w:rPr>
          <w:rFonts w:ascii="Times New Roman" w:hAnsi="Times New Roman" w:cs="Times New Roman" w:eastAsia="Times New Roman" w:hint="default"/>
        </w:rPr>
        <w:t>2580</w:t>
      </w:r>
      <w:r>
        <w:rPr/>
        <w:t>个社区。在业务</w:t>
      </w:r>
      <w:r>
        <w:rPr>
          <w:spacing w:val="-82"/>
        </w:rPr>
        <w:t> </w:t>
      </w:r>
      <w:r>
        <w:rPr>
          <w:spacing w:val="-82"/>
        </w:rPr>
      </w:r>
      <w:r>
        <w:rPr/>
        <w:t>发展方面，公司在智慧社区</w:t>
      </w:r>
      <w:r>
        <w:rPr>
          <w:rFonts w:ascii="Times New Roman" w:hAnsi="Times New Roman" w:cs="Times New Roman" w:eastAsia="Times New Roman" w:hint="default"/>
        </w:rPr>
        <w:t>1.0</w:t>
      </w:r>
      <w:r>
        <w:rPr/>
        <w:t>版本已取得阶段性成果，并通过与优秀企业合作，引入视频</w:t>
      </w:r>
      <w:r>
        <w:rPr>
          <w:rFonts w:ascii="Times New Roman" w:hAnsi="Times New Roman" w:cs="Times New Roman" w:eastAsia="Times New Roman" w:hint="default"/>
        </w:rPr>
        <w:t>AI</w:t>
      </w:r>
      <w:r>
        <w:rPr/>
        <w:t>技术，打造智慧社区</w:t>
      </w:r>
      <w:r>
        <w:rPr>
          <w:rFonts w:ascii="Times New Roman" w:hAnsi="Times New Roman" w:cs="Times New Roman" w:eastAsia="Times New Roman" w:hint="default"/>
        </w:rPr>
        <w:t>2.0</w:t>
      </w:r>
      <w:r>
        <w:rPr/>
        <w:t>版本， </w:t>
      </w:r>
      <w:r>
        <w:rPr>
          <w:spacing w:val="-2"/>
        </w:rPr>
        <w:t>应用室内外可视化设备实现人脸识别、动作识别、动态抓取、低光高清、音频采录功能，结合大数据分析平台实现自动分析</w:t>
      </w:r>
      <w:r>
        <w:rPr>
          <w:spacing w:val="-66"/>
        </w:rPr>
        <w:t> </w:t>
      </w:r>
      <w:r>
        <w:rPr>
          <w:spacing w:val="-66"/>
        </w:rPr>
      </w:r>
      <w:r>
        <w:rPr>
          <w:spacing w:val="-2"/>
        </w:rPr>
        <w:t>比对，进一步提升了社区治理的现代化水平。在网络建设集成业务方面，公司深化完善已签约客户现有系统，通过提供简便</w:t>
      </w:r>
      <w:r>
        <w:rPr>
          <w:spacing w:val="-66"/>
        </w:rPr>
        <w:t> </w:t>
      </w:r>
      <w:r>
        <w:rPr>
          <w:spacing w:val="-66"/>
        </w:rPr>
      </w:r>
      <w:r>
        <w:rPr/>
        <w:t>有效的集成解决方案和优质的维保服务，保持了全年净利的持续增长。</w:t>
      </w:r>
    </w:p>
    <w:p>
      <w:pPr>
        <w:pStyle w:val="BodyText"/>
        <w:spacing w:line="309" w:lineRule="auto" w:before="146"/>
        <w:ind w:left="154" w:right="1129" w:firstLine="480"/>
        <w:jc w:val="both"/>
      </w:pPr>
      <w:r>
        <w:rPr/>
        <w:t>根据国家提出广播电视</w:t>
      </w:r>
      <w:r>
        <w:rPr>
          <w:rFonts w:ascii="Times New Roman" w:hAnsi="Times New Roman" w:cs="Times New Roman" w:eastAsia="Times New Roman" w:hint="default"/>
        </w:rPr>
        <w:t>“</w:t>
      </w:r>
      <w:r>
        <w:rPr/>
        <w:t>村村通</w:t>
      </w:r>
      <w:r>
        <w:rPr>
          <w:rFonts w:ascii="Times New Roman" w:hAnsi="Times New Roman" w:cs="Times New Roman" w:eastAsia="Times New Roman" w:hint="default"/>
        </w:rPr>
        <w:t>”</w:t>
      </w:r>
      <w:r>
        <w:rPr/>
        <w:t>的大政策，公司依托广电网络，集成一流设备，应用自身强大的平台建设能力和软件 </w:t>
      </w:r>
      <w:r>
        <w:rPr>
          <w:spacing w:val="-2"/>
        </w:rPr>
        <w:t>产品，相继与贵州广电、天津广电扎安凯深入合作。互联宜家先后在贵州遵义、毕节、安顺等市县与政府签署合作协议，合</w:t>
      </w:r>
      <w:r>
        <w:rPr>
          <w:spacing w:val="-67"/>
        </w:rPr>
        <w:t> </w:t>
      </w:r>
      <w:r>
        <w:rPr>
          <w:spacing w:val="-67"/>
        </w:rPr>
      </w:r>
      <w:r>
        <w:rPr/>
        <w:t>同金额超过</w:t>
      </w:r>
      <w:r>
        <w:rPr>
          <w:rFonts w:ascii="Times New Roman" w:hAnsi="Times New Roman" w:cs="Times New Roman" w:eastAsia="Times New Roman" w:hint="default"/>
        </w:rPr>
        <w:t>2</w:t>
      </w:r>
      <w:r>
        <w:rPr/>
        <w:t>亿元人民币；在天津建成了网格化管理试点社区，并计划在全区社区中复制推广。</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2"/>
        <w:gridCol w:w="1594"/>
        <w:gridCol w:w="1589"/>
        <w:gridCol w:w="1600"/>
        <w:gridCol w:w="1583"/>
        <w:gridCol w:w="1601"/>
      </w:tblGrid>
      <w:tr>
        <w:trPr>
          <w:trHeight w:val="205" w:hRule="exact"/>
        </w:trPr>
        <w:tc>
          <w:tcPr>
            <w:tcW w:w="1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2" w:type="dxa"/>
            <w:vMerge w:val="restart"/>
            <w:tcBorders>
              <w:top w:val="nil" w:sz="6" w:space="0" w:color="auto"/>
              <w:left w:val="single" w:sz="4" w:space="0" w:color="000000"/>
              <w:right w:val="single" w:sz="4" w:space="0" w:color="000000"/>
            </w:tcBorders>
            <w:shd w:val="clear" w:color="auto" w:fill="D2D2D2"/>
          </w:tcPr>
          <w:p>
            <w:pPr/>
          </w:p>
        </w:tc>
        <w:tc>
          <w:tcPr>
            <w:tcW w:w="3183"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602"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7,290,128,453.42</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6,476,747,733.49</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12.56%</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515,680,501.16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526,780,794.35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714"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电力水利铁路交通 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859,061,570.15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845,374,508.59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13.05%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石油化工行业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141,403,620.37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140,213,559.86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568,909,919.92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556,672,305.91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8.59%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金融保险医保行业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4,303,888,038.57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3,361,362,854.45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51.90%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28.04%</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284,166,061.18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279,425,324.38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144,721,035.17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144,535,569.97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430,229,892.87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432,545,839.54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6.68%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42,067,814.03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189,836,976.44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4,020,979,176.24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4,036,621,811.06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763,954,349.26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531,403,935.28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1,694,479,047.07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953,117,721.32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风电振动监测系统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51,900,147.46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167,301,051.69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443,343,054.48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366,352,659.67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行业应用解决方案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182,754,941.01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131,214,238.25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弱电工程收入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90,649,923.87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100,899,339.78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42,067,814.03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189,836,976.44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431,539,124.15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364,733,390.31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4,412,963,216.04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3,711,423,151.66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1,005,221,603.30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891,150,553.22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217,440,851.65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215,513,280.32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331,315,092.53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301,782,059.97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438,020,724.58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411,602,869.73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411,560,027.14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390,705,451.84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非主营业务收入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42,067,814.03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189,836,976.44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1560"/>
        <w:gridCol w:w="1416"/>
        <w:gridCol w:w="992"/>
        <w:gridCol w:w="1419"/>
        <w:gridCol w:w="1276"/>
        <w:gridCol w:w="1207"/>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5"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5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电力水利铁路交通业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859,061,570.15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604,927,713.40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金融保险医保行业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4,303,888,038.57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2,999,908,540.22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4,020,979,176.24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3,492,776,386.73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-11.31%</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763,954,349.26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103,720,703.61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12.81%</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1,694,479,047.07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861,072,822.57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2"/>
        <w:gridCol w:w="1560"/>
        <w:gridCol w:w="1416"/>
        <w:gridCol w:w="992"/>
        <w:gridCol w:w="1419"/>
        <w:gridCol w:w="1276"/>
        <w:gridCol w:w="1207"/>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4,412,963,216.04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3,088,548,574.82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1,005,221,603.30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707,765,743.67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367,094,662.51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350,071,484.31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电力水利铁路交通 运输行业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604,927,713.40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557,163,831.18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石油化工行业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100,053,622.26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93,491,864.78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403,134,223.72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370,156,098.46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金融保险医保行业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2,999,908,540.22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2,217,387,444.60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计算机服务业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200,651,806.42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186,168,413.80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102,856,810.86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101,077,814.50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309,634,963.89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288,652,093.72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w:t>
            </w:r>
          </w:p>
        </w:tc>
      </w:tr>
    </w:tbl>
    <w:p>
      <w:pPr>
        <w:spacing w:line="240" w:lineRule="auto" w:before="6"/>
        <w:rPr>
          <w:rFonts w:ascii="宋体" w:hAnsi="宋体" w:cs="宋体" w:eastAsia="宋体" w:hint="default"/>
          <w:sz w:val="27"/>
          <w:szCs w:val="27"/>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3,492,776,386.73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3,049,959,288.99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软件收入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103,720,703.61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140,214,243.75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861,072,822.57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470,414,104.39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83.05%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风电振动监测系统</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20,001,415.92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48,705,848.83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-58.93%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移动终端</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405,133,935.94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309,071,666.08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31.08%</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行业应用解决方案</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123,372,891.12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60,288,266.54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弱点工程收入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82,184,187.39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85,515,626.77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-3.90%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7" w:lineRule="auto" w:before="102"/>
        <w:ind w:right="1131" w:firstLine="360"/>
        <w:jc w:val="both"/>
      </w:pPr>
      <w:r>
        <w:rPr/>
        <w:t>本期纳入合并范围的子公司包括</w:t>
      </w:r>
      <w:r>
        <w:rPr>
          <w:rFonts w:ascii="Times New Roman" w:hAnsi="Times New Roman" w:cs="Times New Roman" w:eastAsia="Times New Roman" w:hint="default"/>
        </w:rPr>
        <w:t>52</w:t>
      </w:r>
      <w:r>
        <w:rPr/>
        <w:t>家，新增</w:t>
      </w:r>
      <w:r>
        <w:rPr>
          <w:rFonts w:ascii="Times New Roman" w:hAnsi="Times New Roman" w:cs="Times New Roman" w:eastAsia="Times New Roman" w:hint="default"/>
        </w:rPr>
        <w:t>9</w:t>
      </w:r>
      <w:r>
        <w:rPr/>
        <w:t>家子公司，包括东华金云网络股份公司、东华软件威海有限公司、河北东 </w:t>
      </w:r>
      <w:r>
        <w:rPr>
          <w:spacing w:val="-2"/>
        </w:rPr>
        <w:t>华冀通软件有限公司、南京东华科创信息技术有限公司、三亚东华云信数据服务有限公司、郑州东华诚信软件有限公司、云</w:t>
      </w:r>
      <w:r>
        <w:rPr>
          <w:spacing w:val="-66"/>
        </w:rPr>
        <w:t> </w:t>
      </w:r>
      <w:r>
        <w:rPr>
          <w:spacing w:val="-66"/>
        </w:rPr>
      </w:r>
      <w:r>
        <w:rPr/>
        <w:t>南东合数据信息技术有限公司、广西东华云数据科技有限公司、北京国能智研信息科技有限公司；减少</w:t>
      </w:r>
      <w:r>
        <w:rPr>
          <w:rFonts w:ascii="Times New Roman" w:hAnsi="Times New Roman" w:cs="Times New Roman" w:eastAsia="Times New Roman" w:hint="default"/>
        </w:rPr>
        <w:t>1</w:t>
      </w:r>
      <w:r>
        <w:rPr/>
        <w:t>家子公司，包括东 华星联科技有限公司。。</w:t>
      </w:r>
    </w:p>
    <w:p>
      <w:pPr>
        <w:pStyle w:val="BodyText"/>
        <w:spacing w:line="240" w:lineRule="auto" w:before="26"/>
        <w:ind w:left="514" w:right="0"/>
        <w:jc w:val="left"/>
      </w:pPr>
      <w:r>
        <w:rPr/>
        <w:t>具体详见本报告第十一节财务报告附注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及附注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558,830,618.91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130,661,777.41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119,368,295.60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117,552,403.83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106,111,275.62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85,136,866.45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1.17%</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558,830,618.91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w:t>
            </w:r>
          </w:p>
        </w:tc>
      </w:tr>
    </w:tbl>
    <w:p>
      <w:pPr>
        <w:pStyle w:val="BodyText"/>
        <w:spacing w:line="240" w:lineRule="auto" w:before="51"/>
        <w:ind w:left="154" w:right="0"/>
        <w:jc w:val="left"/>
      </w:pPr>
      <w:r>
        <w:rPr/>
        <w:t>主要客户其他情况说明</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13" w:firstLine="360"/>
        <w:jc w:val="left"/>
      </w:pPr>
      <w:r>
        <w:rPr/>
        <w:t>公司前五名客户与公司不存在任何关联关系，公司董事、监事、高级管理人员、核心技术人员、持股</w:t>
      </w:r>
      <w:r>
        <w:rPr>
          <w:spacing w:val="-50"/>
        </w:rPr>
        <w:t> </w:t>
      </w:r>
      <w:r>
        <w:rPr>
          <w:rFonts w:ascii="Times New Roman" w:hAnsi="Times New Roman" w:cs="Times New Roman" w:eastAsia="Times New Roman" w:hint="default"/>
        </w:rPr>
        <w:t>5%</w:t>
      </w:r>
      <w:r>
        <w:rPr/>
        <w:t>以上股东、实 际控制人和其他关联方在主要客户中不存在直接或间接拥有权益的情形。</w:t>
      </w:r>
    </w:p>
    <w:p>
      <w:pPr>
        <w:pStyle w:val="BodyText"/>
        <w:spacing w:line="240" w:lineRule="auto" w:before="72"/>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1,181,740,301.06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27.77%</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593,360,613.13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231,457,447.81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128,842,820.30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117,699,098.00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110,380,321.82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1,181,740,301.06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27.77%</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82" w:firstLine="360"/>
        <w:jc w:val="left"/>
      </w:pPr>
      <w:r>
        <w:rPr/>
        <w:t>公司前五名供应商与公司不存在任何关联关系，公司董事、监事、高级管理人员、核心技术人员、持股</w:t>
      </w:r>
      <w:r>
        <w:rPr>
          <w:spacing w:val="-19"/>
        </w:rPr>
        <w:t> </w:t>
      </w:r>
      <w:r>
        <w:rPr>
          <w:rFonts w:ascii="Times New Roman" w:hAnsi="Times New Roman" w:cs="Times New Roman" w:eastAsia="Times New Roman" w:hint="default"/>
        </w:rPr>
        <w:t>5%</w:t>
      </w:r>
      <w:r>
        <w:rPr/>
        <w:t>以上股东、 实际控制人和其他关联方在主要供应商中不存在直接或者间接拥有权益的情形。</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289,066,827.51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278,216,520.20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900,853,104.60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746,691,079.81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42,106,099.02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37,024,319.24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3" w:right="103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5"/>
        </w:rPr>
        <w:t>报告期内，公司拥有软件著作权</w:t>
      </w:r>
      <w:r>
        <w:rPr>
          <w:rFonts w:ascii="Times New Roman" w:hAnsi="Times New Roman" w:cs="Times New Roman" w:eastAsia="Times New Roman" w:hint="default"/>
          <w:spacing w:val="-5"/>
        </w:rPr>
        <w:t>1,000</w:t>
      </w:r>
      <w:r>
        <w:rPr>
          <w:spacing w:val="-5"/>
        </w:rPr>
        <w:t>余项，研发支出总额</w:t>
      </w:r>
      <w:r>
        <w:rPr>
          <w:rFonts w:ascii="Times New Roman" w:hAnsi="Times New Roman" w:cs="Times New Roman" w:eastAsia="Times New Roman" w:hint="default"/>
          <w:spacing w:val="-5"/>
        </w:rPr>
        <w:t>1,114,984,033.13</w:t>
      </w:r>
      <w:r>
        <w:rPr>
          <w:spacing w:val="-5"/>
        </w:rPr>
        <w:t>元，占营业收入比例的</w:t>
      </w:r>
      <w:r>
        <w:rPr>
          <w:rFonts w:ascii="Times New Roman" w:hAnsi="Times New Roman" w:cs="Times New Roman" w:eastAsia="Times New Roman" w:hint="default"/>
          <w:spacing w:val="-5"/>
        </w:rPr>
        <w:t>15.29%</w:t>
      </w:r>
      <w:r>
        <w:rPr>
          <w:spacing w:val="-5"/>
        </w:rPr>
        <w:t>，同比增加</w:t>
      </w:r>
      <w:r>
        <w:rPr>
          <w:rFonts w:ascii="Times New Roman" w:hAnsi="Times New Roman" w:cs="Times New Roman" w:eastAsia="Times New Roman" w:hint="default"/>
          <w:spacing w:val="-5"/>
        </w:rPr>
        <w:t>2.79%</w:t>
      </w:r>
      <w:r>
        <w:rPr>
          <w:spacing w:val="-5"/>
        </w:rPr>
        <w:t>。</w:t>
      </w:r>
    </w:p>
    <w:p>
      <w:pPr>
        <w:pStyle w:val="BodyText"/>
        <w:spacing w:line="240" w:lineRule="auto" w:before="22"/>
        <w:ind w:left="154"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1820"/>
        <w:gridCol w:w="2392"/>
        <w:gridCol w:w="2392"/>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1,114,984,033.13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810,131,376.75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46,267,590.97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72,204,468.08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r>
    </w:tbl>
    <w:p>
      <w:pPr>
        <w:pStyle w:val="BodyText"/>
        <w:spacing w:line="240" w:lineRule="auto" w:before="51"/>
        <w:ind w:left="15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2244"/>
        <w:gridCol w:w="2392"/>
        <w:gridCol w:w="239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8,205,899,249.61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6,987,109,717.28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8,038,221,533.57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7,488,219,647.37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167,677,716.04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-501,109,930.09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134.93%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396,163,098.83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160,790,271.76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146.38%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577,819,956.28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126,503,368.29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356.76%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-181,656,857.45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34,286,903.47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-629.81%</w:t>
            </w:r>
            <w:r>
              <w:rPr>
                <w:rFonts w:ascii="Times New Roman"/>
                <w:sz w:val="18"/>
              </w:rPr>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1,773,975,149.39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2,687,628,494.24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1,255,043,977.81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2,226,494,008.22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-43.63%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518,931,171.58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461,134,486.02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12.53%</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504,115,418.33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-5,271,917.32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96.62%</w:t>
            </w:r>
          </w:p>
        </w:tc>
      </w:tr>
    </w:tbl>
    <w:p>
      <w:pPr>
        <w:pStyle w:val="BodyText"/>
        <w:spacing w:line="240" w:lineRule="auto" w:before="51"/>
        <w:ind w:left="154" w:right="0"/>
        <w:jc w:val="left"/>
      </w:pPr>
      <w:r>
        <w:rPr/>
        <w:t>相关数据同比发生重大变动的主要影响因素说明</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54" w:right="1197" w:firstLine="360"/>
        <w:jc w:val="left"/>
      </w:pPr>
      <w:r>
        <w:rPr>
          <w:rFonts w:ascii="Times New Roman" w:hAnsi="Times New Roman" w:cs="Times New Roman" w:eastAsia="Times New Roman" w:hint="default"/>
        </w:rPr>
        <w:t>1</w:t>
      </w:r>
      <w:r>
        <w:rPr/>
        <w:t>、经营活动产生的现金流量净额较上年同期减少</w:t>
      </w:r>
      <w:r>
        <w:rPr>
          <w:rFonts w:ascii="Times New Roman" w:hAnsi="Times New Roman" w:cs="Times New Roman" w:eastAsia="Times New Roman" w:hint="default"/>
        </w:rPr>
        <w:t>134.93%</w:t>
      </w:r>
      <w:r>
        <w:rPr/>
        <w:t>，主要原因系公司采购项目存货及支付职工工资、保证金增 加所致。</w:t>
      </w:r>
    </w:p>
    <w:p>
      <w:pPr>
        <w:pStyle w:val="BodyText"/>
        <w:spacing w:line="300" w:lineRule="auto" w:before="32"/>
        <w:ind w:right="1198" w:firstLine="360"/>
        <w:jc w:val="left"/>
      </w:pPr>
      <w:r>
        <w:rPr>
          <w:rFonts w:ascii="Times New Roman" w:hAnsi="Times New Roman" w:cs="Times New Roman" w:eastAsia="Times New Roman" w:hint="default"/>
        </w:rPr>
        <w:t>2</w:t>
      </w:r>
      <w:r>
        <w:rPr/>
        <w:t>、投资活动现金流入小计较上年同期增加</w:t>
      </w:r>
      <w:r>
        <w:rPr>
          <w:rFonts w:ascii="Times New Roman" w:hAnsi="Times New Roman" w:cs="Times New Roman" w:eastAsia="Times New Roman" w:hint="default"/>
        </w:rPr>
        <w:t>146.38%</w:t>
      </w:r>
      <w:r>
        <w:rPr/>
        <w:t>，主要原因系公司处置固定资产、无形资产和其他长期资产收回的 现金净额增加所致</w:t>
      </w:r>
    </w:p>
    <w:p>
      <w:pPr>
        <w:pStyle w:val="BodyText"/>
        <w:spacing w:line="300" w:lineRule="auto" w:before="31"/>
        <w:ind w:right="1198" w:firstLine="360"/>
        <w:jc w:val="left"/>
      </w:pPr>
      <w:r>
        <w:rPr>
          <w:rFonts w:ascii="Times New Roman" w:hAnsi="Times New Roman" w:cs="Times New Roman" w:eastAsia="Times New Roman" w:hint="default"/>
        </w:rPr>
        <w:t>3</w:t>
      </w:r>
      <w:r>
        <w:rPr/>
        <w:t>、投资活动现金流出小计较上年同期增加</w:t>
      </w:r>
      <w:r>
        <w:rPr>
          <w:rFonts w:ascii="Times New Roman" w:hAnsi="Times New Roman" w:cs="Times New Roman" w:eastAsia="Times New Roman" w:hint="default"/>
        </w:rPr>
        <w:t>356.76%</w:t>
      </w:r>
      <w:r>
        <w:rPr/>
        <w:t>，主要原因系公司投资北京中关村银行、东华光普大数据科技有限 公司、衡水银行、长治银行增加所致。</w:t>
      </w:r>
    </w:p>
    <w:p>
      <w:pPr>
        <w:pStyle w:val="BodyText"/>
        <w:spacing w:line="300" w:lineRule="auto" w:before="31"/>
        <w:ind w:left="154" w:right="1197" w:firstLine="360"/>
        <w:jc w:val="left"/>
      </w:pPr>
      <w:r>
        <w:rPr>
          <w:rFonts w:ascii="Times New Roman" w:hAnsi="Times New Roman" w:cs="Times New Roman" w:eastAsia="Times New Roman" w:hint="default"/>
        </w:rPr>
        <w:t>4</w:t>
      </w:r>
      <w:r>
        <w:rPr/>
        <w:t>、投资活动产生的现金流量净额较上年同期减少</w:t>
      </w:r>
      <w:r>
        <w:rPr>
          <w:rFonts w:ascii="Times New Roman" w:hAnsi="Times New Roman" w:cs="Times New Roman" w:eastAsia="Times New Roman" w:hint="default"/>
        </w:rPr>
        <w:t>629.81%</w:t>
      </w:r>
      <w:r>
        <w:rPr/>
        <w:t>，主要原因系公司投资北京中关村银行、东华光普大数据科 技有限公司、衡水银行、长治银行增加所致。</w:t>
      </w:r>
    </w:p>
    <w:p>
      <w:pPr>
        <w:pStyle w:val="BodyText"/>
        <w:spacing w:line="240" w:lineRule="auto" w:before="31"/>
        <w:ind w:left="514" w:right="0"/>
        <w:jc w:val="left"/>
      </w:pPr>
      <w:r>
        <w:rPr>
          <w:rFonts w:ascii="Times New Roman" w:hAnsi="Times New Roman" w:cs="Times New Roman" w:eastAsia="Times New Roman" w:hint="default"/>
        </w:rPr>
        <w:t>5</w:t>
      </w:r>
      <w:r>
        <w:rPr/>
        <w:t>、筹资活动现金流入小计较上年同期减少</w:t>
      </w:r>
      <w:r>
        <w:rPr>
          <w:rFonts w:ascii="Times New Roman" w:hAnsi="Times New Roman" w:cs="Times New Roman" w:eastAsia="Times New Roman" w:hint="default"/>
        </w:rPr>
        <w:t>33.99%</w:t>
      </w:r>
      <w:r>
        <w:rPr/>
        <w:t>，主要原因系统公司拆借资金减少所致。</w:t>
      </w:r>
    </w:p>
    <w:p>
      <w:pPr>
        <w:pStyle w:val="BodyText"/>
        <w:spacing w:line="300" w:lineRule="auto" w:before="63"/>
        <w:ind w:left="154" w:right="2907" w:firstLine="360"/>
        <w:jc w:val="left"/>
      </w:pPr>
      <w:r>
        <w:rPr>
          <w:rFonts w:ascii="Times New Roman" w:hAnsi="Times New Roman" w:cs="Times New Roman" w:eastAsia="Times New Roman" w:hint="default"/>
        </w:rPr>
        <w:t>6</w:t>
      </w:r>
      <w:r>
        <w:rPr/>
        <w:t>、筹资活动现金流出小计较上年同期减少</w:t>
      </w:r>
      <w:r>
        <w:rPr>
          <w:rFonts w:ascii="Times New Roman" w:hAnsi="Times New Roman" w:cs="Times New Roman" w:eastAsia="Times New Roman" w:hint="default"/>
        </w:rPr>
        <w:t>43.63%</w:t>
      </w:r>
      <w:r>
        <w:rPr/>
        <w:t>，主要原因系公司偿还资金拆借款增加所致。 报告期内公司经营活动产生的现金净流量与本年度净利润存在重大差异的原因说明</w:t>
      </w:r>
    </w:p>
    <w:p>
      <w:pPr>
        <w:pStyle w:val="BodyText"/>
        <w:spacing w:line="240" w:lineRule="auto" w:before="31"/>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468"/>
        <w:gridCol w:w="1276"/>
        <w:gridCol w:w="1418"/>
        <w:gridCol w:w="1274"/>
        <w:gridCol w:w="1134"/>
        <w:gridCol w:w="1631"/>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7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16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479"/>
        <w:gridCol w:w="1276"/>
        <w:gridCol w:w="1418"/>
        <w:gridCol w:w="1274"/>
        <w:gridCol w:w="1134"/>
        <w:gridCol w:w="1631"/>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1,749,004,889.56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1,125,223,256.82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4,728,364,250.18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4,250,040,364.37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3,670,295,492.37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2,994,969,208.96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136,481,215.02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4,598,835.37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306,577,145.99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390,279,153.77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10,300,218.23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12,033,413.19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931,772,643.44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622,779,034.35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6"/>
        <w:gridCol w:w="1231"/>
        <w:gridCol w:w="1207"/>
        <w:gridCol w:w="1213"/>
        <w:gridCol w:w="1207"/>
        <w:gridCol w:w="1219"/>
        <w:gridCol w:w="1213"/>
        <w:gridCol w:w="1073"/>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12"/>
              <w:jc w:val="right"/>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453"/>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366,911,282.52</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1,719.04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3"/>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366,911,282.52</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1,719.04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3"/>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报告期内公司主要资产计量属性是否发生重大变化</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t>截至报告期末，公司资产权利不存在受限情况。</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664,726,883.39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300,523,142.74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121.19%</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报告期内取得和处置子公司的情况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2766"/>
        <w:gridCol w:w="3615"/>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7"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2"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东华金云网络股份公司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当年成立，不会对公司本期和未来财务状况、 营业成果和现金流量造成重大影响。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东华软件威海有限公司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当年成立，不会对公司本期和未来财务状况、 营业成果和现金流量造成重大影响。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河北东华冀通软件有限公司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当年成立，不会对公司本期和未来财务状况、 营业成果和现金流量造成重大影响。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南京东华科创信息技术有限公司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当年成立，不会对公司本期和未来财务状况、 营业成果和现金流量造成重大影响。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三亚东华云信数据服务有限公司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8"/>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当年成立，不会对公司本期和未来财务状况、 营业成果和现金流量造成重大影响。</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郑州东华诚信软件有限公司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当年成立，不会对公司本期和未来财务状况、 营业成果和现金流量造成重大影响。</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2766"/>
        <w:gridCol w:w="3615"/>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云南东合数据信息技术有限公司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当年成立，不会对公司本期和未来财务状况、 营业成果和现金流量造成重大影响。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广西东华云数据科技有限责任公司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当年成立，不会对公司本期和未来财务状况、 营业成果和现金流量造成重大影响。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北京国能智研信息科技有限公司</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当年成立，不会对公司本期和未来财务状况、 营业成果和现金流量造成重大影响。</w:t>
            </w:r>
          </w:p>
        </w:tc>
      </w:tr>
    </w:tbl>
    <w:p>
      <w:pPr>
        <w:pStyle w:val="BodyText"/>
        <w:spacing w:line="357" w:lineRule="auto" w:before="51"/>
        <w:ind w:left="514" w:right="0" w:hanging="360"/>
        <w:jc w:val="left"/>
      </w:pPr>
      <w:r>
        <w:rPr/>
        <w:t>主要控股参股公司情况说明 </w:t>
      </w:r>
      <w:r>
        <w:rPr>
          <w:spacing w:val="-2"/>
        </w:rPr>
        <w:t>至高通信</w:t>
      </w:r>
      <w:r>
        <w:rPr>
          <w:rFonts w:ascii="Times New Roman" w:hAnsi="Times New Roman" w:cs="Times New Roman" w:eastAsia="Times New Roman" w:hint="default"/>
          <w:spacing w:val="-2"/>
        </w:rPr>
        <w:t>2017</w:t>
      </w:r>
      <w:r>
        <w:rPr>
          <w:spacing w:val="-2"/>
        </w:rPr>
        <w:t>年度实现净利润</w:t>
      </w:r>
      <w:r>
        <w:rPr>
          <w:rFonts w:ascii="Times New Roman" w:hAnsi="Times New Roman" w:cs="Times New Roman" w:eastAsia="Times New Roman" w:hint="default"/>
          <w:spacing w:val="-2"/>
        </w:rPr>
        <w:t>1,693.52</w:t>
      </w:r>
      <w:r>
        <w:rPr>
          <w:spacing w:val="-2"/>
        </w:rPr>
        <w:t>万元，扣除非经常性损益后归属于母公司的净利润</w:t>
      </w:r>
      <w:r>
        <w:rPr>
          <w:rFonts w:ascii="Times New Roman" w:hAnsi="Times New Roman" w:cs="Times New Roman" w:eastAsia="Times New Roman" w:hint="default"/>
          <w:spacing w:val="-2"/>
        </w:rPr>
        <w:t>1,014.01</w:t>
      </w:r>
      <w:r>
        <w:rPr>
          <w:spacing w:val="-2"/>
        </w:rPr>
        <w:t>万元，实现当年业绩承</w:t>
      </w:r>
    </w:p>
    <w:p>
      <w:pPr>
        <w:pStyle w:val="BodyText"/>
        <w:spacing w:line="214" w:lineRule="exact"/>
        <w:ind w:left="154" w:right="0"/>
        <w:jc w:val="left"/>
      </w:pPr>
      <w:r>
        <w:rPr/>
        <w:t>诺金额的比例为</w:t>
      </w:r>
      <w:r>
        <w:rPr>
          <w:rFonts w:ascii="Times New Roman" w:hAnsi="Times New Roman" w:cs="Times New Roman" w:eastAsia="Times New Roman" w:hint="default"/>
        </w:rPr>
        <w:t>8.01%</w:t>
      </w:r>
      <w:r>
        <w:rPr/>
        <w:t>，未能实现业绩承诺。</w:t>
      </w:r>
    </w:p>
    <w:p>
      <w:pPr>
        <w:pStyle w:val="BodyText"/>
        <w:spacing w:line="316" w:lineRule="auto" w:before="63"/>
        <w:ind w:left="154" w:right="1032" w:firstLine="360"/>
        <w:jc w:val="left"/>
      </w:pPr>
      <w:r>
        <w:rPr>
          <w:spacing w:val="-2"/>
        </w:rPr>
        <w:t>至高通信的主营业务为以定制化、专业化的移动终端及应用软件为载体、协助客户构建安全、高效的移动业务运营及管</w:t>
      </w:r>
      <w:r>
        <w:rPr/>
        <w:t> </w:t>
      </w:r>
      <w:r>
        <w:rPr>
          <w:spacing w:val="-4"/>
        </w:rPr>
        <w:t>理平台。至高通信致力于金融、军警、政府等领域发展，以客户需求为导向，深入挖掘客户需求并推出了金融移动业务办理、</w:t>
      </w:r>
      <w:r>
        <w:rPr>
          <w:spacing w:val="-44"/>
        </w:rPr>
        <w:t> </w:t>
      </w:r>
      <w:r>
        <w:rPr>
          <w:spacing w:val="-44"/>
        </w:rPr>
      </w:r>
      <w:r>
        <w:rPr>
          <w:spacing w:val="-2"/>
        </w:rPr>
        <w:t>警务稽查执法、军用特种移动通讯等多种解决方案。报告期内，在警用终端市场方面，由于受通用型终端厂家的冲击导致警</w:t>
      </w:r>
      <w:r>
        <w:rPr>
          <w:spacing w:val="-66"/>
        </w:rPr>
        <w:t> </w:t>
      </w:r>
      <w:r>
        <w:rPr>
          <w:spacing w:val="-66"/>
        </w:rPr>
      </w:r>
      <w:r>
        <w:rPr>
          <w:spacing w:val="-2"/>
        </w:rPr>
        <w:t>用设备采购力度减弱；在军用产品智能终端市场方面，受军改等因素影响导致军用产品列装评审与落地时间延迟。同时，由</w:t>
      </w:r>
      <w:r>
        <w:rPr>
          <w:spacing w:val="-66"/>
        </w:rPr>
        <w:t> </w:t>
      </w:r>
      <w:r>
        <w:rPr>
          <w:spacing w:val="-66"/>
        </w:rPr>
      </w:r>
      <w:r>
        <w:rPr>
          <w:spacing w:val="-2"/>
        </w:rPr>
        <w:t>于银行硬件设备投资放缓且招标流程复杂导致其合同数量递减。以上原因使得至高通信业务开展不及预期，影响了今年的经</w:t>
      </w:r>
      <w:r>
        <w:rPr>
          <w:spacing w:val="-64"/>
        </w:rPr>
        <w:t> </w:t>
      </w:r>
      <w:r>
        <w:rPr>
          <w:spacing w:val="-64"/>
        </w:rPr>
      </w:r>
      <w:r>
        <w:rPr/>
        <w:t>营业绩。</w:t>
      </w:r>
    </w:p>
    <w:p>
      <w:pPr>
        <w:spacing w:line="240" w:lineRule="auto" w:before="10"/>
        <w:rPr>
          <w:rFonts w:ascii="宋体" w:hAnsi="宋体" w:cs="宋体" w:eastAsia="宋体" w:hint="default"/>
          <w:sz w:val="20"/>
          <w:szCs w:val="20"/>
        </w:rPr>
      </w:pPr>
    </w:p>
    <w:p>
      <w:pPr>
        <w:pStyle w:val="Heading2"/>
        <w:spacing w:line="240" w:lineRule="auto"/>
        <w:ind w:left="154"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470" w:lineRule="atLeast" w:before="113"/>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（一）行业竞争格局和发展趋势</w:t>
      </w:r>
      <w:r>
        <w:rPr>
          <w:rFonts w:ascii="宋体" w:hAnsi="宋体" w:cs="宋体" w:eastAsia="宋体" w:hint="default"/>
          <w:b/>
          <w:bCs/>
          <w:w w:val="99"/>
          <w:sz w:val="18"/>
          <w:szCs w:val="18"/>
        </w:rPr>
        <w:t> </w:t>
      </w:r>
      <w:r>
        <w:rPr>
          <w:rFonts w:ascii="宋体" w:hAnsi="宋体" w:cs="宋体" w:eastAsia="宋体" w:hint="default"/>
          <w:spacing w:val="-1"/>
          <w:sz w:val="18"/>
          <w:szCs w:val="18"/>
        </w:rPr>
        <w:t>全球软件行业正处于成长期向成熟期转变的阶段，受益于经济转型、产业升级，国内软件行业呈现加速发展态势，以</w:t>
      </w:r>
    </w:p>
    <w:p>
      <w:pPr>
        <w:pStyle w:val="BodyText"/>
        <w:spacing w:line="240" w:lineRule="auto" w:before="76"/>
        <w:ind w:right="0"/>
        <w:jc w:val="left"/>
      </w:pPr>
      <w:r>
        <w:rPr/>
        <w:t>下从五个方面对公司所涉及的行业竞争格局和发展局势进行简要分析：</w:t>
      </w:r>
    </w:p>
    <w:p>
      <w:pPr>
        <w:pStyle w:val="BodyText"/>
        <w:spacing w:line="450" w:lineRule="atLeast" w:before="31"/>
        <w:ind w:left="634" w:right="0" w:firstLine="2"/>
        <w:jc w:val="left"/>
      </w:pPr>
      <w:r>
        <w:rPr>
          <w:rFonts w:ascii="Times New Roman" w:hAnsi="Times New Roman" w:cs="Times New Roman" w:eastAsia="Times New Roman" w:hint="default"/>
          <w:b/>
          <w:bCs/>
        </w:rPr>
        <w:t>1</w:t>
      </w:r>
      <w:r>
        <w:rPr>
          <w:rFonts w:ascii="宋体" w:hAnsi="宋体" w:cs="宋体" w:eastAsia="宋体" w:hint="default"/>
          <w:b/>
          <w:bCs/>
        </w:rPr>
        <w:t>、软件与信息技术服务</w:t>
      </w:r>
      <w:r>
        <w:rPr>
          <w:rFonts w:ascii="宋体" w:hAnsi="宋体" w:cs="宋体" w:eastAsia="宋体" w:hint="default"/>
          <w:b/>
          <w:bCs/>
          <w:w w:val="99"/>
        </w:rPr>
        <w:t> </w:t>
      </w:r>
      <w:r>
        <w:rPr>
          <w:color w:val="242424"/>
          <w:spacing w:val="-1"/>
        </w:rPr>
        <w:t>随着我国工业化进程的加快及信息化投入的逐年增加，我国软件和信息技术服务行业正处于高速发展的成长期。自</w:t>
      </w:r>
      <w:r>
        <w:rPr>
          <w:spacing w:val="-1"/>
        </w:rPr>
        <w:t>国</w:t>
      </w:r>
    </w:p>
    <w:p>
      <w:pPr>
        <w:pStyle w:val="BodyText"/>
        <w:spacing w:line="307" w:lineRule="auto" w:before="76"/>
        <w:ind w:right="1132"/>
        <w:jc w:val="both"/>
      </w:pPr>
      <w:r>
        <w:rPr>
          <w:spacing w:val="-2"/>
        </w:rPr>
        <w:t>家工信部推出《软件和信息技术服务业发展规划（</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2020</w:t>
      </w:r>
      <w:r>
        <w:rPr>
          <w:spacing w:val="-2"/>
        </w:rPr>
        <w:t>年）》以来，</w:t>
      </w:r>
      <w:r>
        <w:rPr>
          <w:color w:val="060606"/>
          <w:spacing w:val="-2"/>
        </w:rPr>
        <w:t>面向经济发展新常态，</w:t>
      </w:r>
      <w:r>
        <w:rPr>
          <w:spacing w:val="-2"/>
        </w:rPr>
        <w:t>人工智能、大数据、云计</w:t>
      </w:r>
      <w:r>
        <w:rPr>
          <w:spacing w:val="-59"/>
        </w:rPr>
        <w:t> </w:t>
      </w:r>
      <w:r>
        <w:rPr>
          <w:spacing w:val="-59"/>
        </w:rPr>
      </w:r>
      <w:r>
        <w:rPr/>
        <w:t>算、区块链已逐步渗透于经济社会的各个领域并得以广泛应用，</w:t>
      </w:r>
      <w:r>
        <w:rPr>
          <w:rFonts w:ascii="Times New Roman" w:hAnsi="Times New Roman" w:cs="Times New Roman" w:eastAsia="Times New Roman" w:hint="default"/>
          <w:color w:val="060606"/>
        </w:rPr>
        <w:t>“</w:t>
      </w:r>
      <w:r>
        <w:rPr>
          <w:color w:val="060606"/>
        </w:rPr>
        <w:t>中国制造</w:t>
      </w:r>
      <w:r>
        <w:rPr>
          <w:rFonts w:ascii="Times New Roman" w:hAnsi="Times New Roman" w:cs="Times New Roman" w:eastAsia="Times New Roman" w:hint="default"/>
          <w:color w:val="060606"/>
        </w:rPr>
        <w:t>2025”</w:t>
      </w:r>
      <w:r>
        <w:rPr>
          <w:color w:val="060606"/>
        </w:rPr>
        <w:t>、</w:t>
      </w:r>
      <w:r>
        <w:rPr>
          <w:rFonts w:ascii="Times New Roman" w:hAnsi="Times New Roman" w:cs="Times New Roman" w:eastAsia="Times New Roman" w:hint="default"/>
          <w:color w:val="060606"/>
        </w:rPr>
        <w:t>“</w:t>
      </w:r>
      <w:r>
        <w:rPr>
          <w:color w:val="060606"/>
        </w:rPr>
        <w:t>互联网</w:t>
      </w:r>
      <w:r>
        <w:rPr>
          <w:rFonts w:ascii="Times New Roman" w:hAnsi="Times New Roman" w:cs="Times New Roman" w:eastAsia="Times New Roman" w:hint="default"/>
          <w:color w:val="060606"/>
        </w:rPr>
        <w:t>+”</w:t>
      </w:r>
      <w:r>
        <w:rPr>
          <w:color w:val="060606"/>
        </w:rPr>
        <w:t>、</w:t>
      </w:r>
      <w:r>
        <w:rPr>
          <w:rFonts w:ascii="Times New Roman" w:hAnsi="Times New Roman" w:cs="Times New Roman" w:eastAsia="Times New Roman" w:hint="default"/>
          <w:color w:val="060606"/>
        </w:rPr>
        <w:t>“</w:t>
      </w:r>
      <w:r>
        <w:rPr>
          <w:color w:val="060606"/>
        </w:rPr>
        <w:t>一带一路</w:t>
      </w:r>
      <w:r>
        <w:rPr>
          <w:rFonts w:ascii="Times New Roman" w:hAnsi="Times New Roman" w:cs="Times New Roman" w:eastAsia="Times New Roman" w:hint="default"/>
          <w:color w:val="060606"/>
        </w:rPr>
        <w:t>”</w:t>
      </w:r>
      <w:r>
        <w:rPr>
          <w:color w:val="060606"/>
        </w:rPr>
        <w:t>、大数据等国家</w:t>
      </w:r>
      <w:r>
        <w:rPr>
          <w:color w:val="060606"/>
          <w:spacing w:val="-44"/>
        </w:rPr>
        <w:t> </w:t>
      </w:r>
      <w:r>
        <w:rPr>
          <w:color w:val="060606"/>
          <w:spacing w:val="-44"/>
        </w:rPr>
      </w:r>
      <w:r>
        <w:rPr>
          <w:color w:val="060606"/>
          <w:spacing w:val="-2"/>
        </w:rPr>
        <w:t>重大战略部署的稳步推进，强化了软件和信息技术服务业对国家战略实施的服务支撑和对国家信息安全的保障作用，同时给</w:t>
      </w:r>
      <w:r>
        <w:rPr>
          <w:color w:val="060606"/>
          <w:spacing w:val="-64"/>
        </w:rPr>
        <w:t> </w:t>
      </w:r>
      <w:r>
        <w:rPr>
          <w:color w:val="060606"/>
          <w:spacing w:val="-64"/>
        </w:rPr>
      </w:r>
      <w:r>
        <w:rPr>
          <w:color w:val="060606"/>
        </w:rPr>
        <w:t>企业创造了更加广阔的发展前景。</w:t>
      </w:r>
      <w:r>
        <w:rPr/>
      </w:r>
    </w:p>
    <w:p>
      <w:pPr>
        <w:pStyle w:val="BodyText"/>
        <w:spacing w:line="468" w:lineRule="exact" w:before="18"/>
        <w:ind w:left="633" w:right="1118" w:firstLine="2"/>
        <w:jc w:val="left"/>
      </w:pPr>
      <w:r>
        <w:rPr>
          <w:rFonts w:ascii="Times New Roman" w:hAnsi="Times New Roman" w:cs="Times New Roman" w:eastAsia="Times New Roman" w:hint="default"/>
          <w:b/>
          <w:bCs/>
        </w:rPr>
        <w:t>2</w:t>
      </w:r>
      <w:r>
        <w:rPr>
          <w:rFonts w:ascii="宋体" w:hAnsi="宋体" w:cs="宋体" w:eastAsia="宋体" w:hint="default"/>
          <w:b/>
          <w:bCs/>
        </w:rPr>
        <w:t>、智慧医疗</w:t>
      </w:r>
      <w:r>
        <w:rPr>
          <w:rFonts w:ascii="宋体" w:hAnsi="宋体" w:cs="宋体" w:eastAsia="宋体" w:hint="default"/>
          <w:b/>
          <w:bCs/>
          <w:w w:val="99"/>
        </w:rPr>
        <w:t> </w:t>
      </w:r>
      <w:r>
        <w:rPr>
          <w:spacing w:val="-1"/>
        </w:rPr>
        <w:t>东华软件以软件和信息技术服务为基础，以云计算应用和大数据产业发展为依托，继续深化和拓展医疗领域，逐步推</w:t>
      </w:r>
    </w:p>
    <w:p>
      <w:pPr>
        <w:pStyle w:val="BodyText"/>
        <w:spacing w:line="314" w:lineRule="auto" w:before="8"/>
        <w:ind w:right="1033"/>
        <w:jc w:val="left"/>
      </w:pPr>
      <w:r>
        <w:rPr>
          <w:spacing w:val="-2"/>
        </w:rPr>
        <w:t>动医疗领域的信息化的发展进程。继分级诊疗、远程医疗、社会办医、医药电商改革后，国务院办公厅推出《国务院办公厅</w:t>
      </w:r>
      <w:r>
        <w:rPr>
          <w:spacing w:val="-68"/>
        </w:rPr>
        <w:t> </w:t>
      </w:r>
      <w:r>
        <w:rPr>
          <w:spacing w:val="-68"/>
        </w:rPr>
      </w:r>
      <w:r>
        <w:rPr/>
        <w:t>关于进一步深化基本医疗保险支付方式改革的指导意见》，全面推行以按病种付费为主的多元复合式医保支付方式。另外， 智慧医疗将在分级诊疗、医联体、慢病</w:t>
      </w:r>
      <w:r>
        <w:rPr>
          <w:rFonts w:ascii="Times New Roman" w:hAnsi="Times New Roman" w:cs="Times New Roman" w:eastAsia="Times New Roman" w:hint="default"/>
        </w:rPr>
        <w:t>/</w:t>
      </w:r>
      <w:r>
        <w:rPr/>
        <w:t>肿瘤大数据中心、医保理赔、药品流通、健康管理以及医疗审计等领域引入区块链</w:t>
      </w:r>
      <w:r>
        <w:rPr>
          <w:spacing w:val="-50"/>
        </w:rPr>
        <w:t> </w:t>
      </w:r>
      <w:r>
        <w:rPr>
          <w:spacing w:val="-50"/>
        </w:rPr>
      </w:r>
      <w:r>
        <w:rPr>
          <w:spacing w:val="-2"/>
        </w:rPr>
        <w:t>理念与技术，利用区块链技术在患者隐私保护、传输安全、流通公平、防篡改、可追溯等方面的优势，创新医疗行业解决方</w:t>
      </w:r>
      <w:r>
        <w:rPr>
          <w:spacing w:val="-68"/>
        </w:rPr>
        <w:t> </w:t>
      </w:r>
      <w:r>
        <w:rPr>
          <w:spacing w:val="-68"/>
        </w:rPr>
      </w:r>
      <w:r>
        <w:rPr>
          <w:spacing w:val="-2"/>
        </w:rPr>
        <w:t>案；同时，加快区块链与健康医疗深度融合，使医院、医疗保险、医药、实验室、监管部门等环节能够实时连接且无缝分享</w:t>
      </w:r>
      <w:r>
        <w:rPr>
          <w:spacing w:val="-72"/>
        </w:rPr>
        <w:t> </w:t>
      </w:r>
      <w:r>
        <w:rPr>
          <w:spacing w:val="-72"/>
        </w:rPr>
      </w:r>
      <w:r>
        <w:rPr/>
        <w:t>数据，并无需担心信息泄露及篡改，为健康医疗事业的发展做出应有的贡献。</w:t>
      </w:r>
    </w:p>
    <w:p>
      <w:pPr>
        <w:spacing w:line="240" w:lineRule="auto" w:before="7"/>
        <w:rPr>
          <w:rFonts w:ascii="宋体" w:hAnsi="宋体" w:cs="宋体" w:eastAsia="宋体" w:hint="default"/>
          <w:sz w:val="13"/>
          <w:szCs w:val="13"/>
        </w:rPr>
      </w:pPr>
    </w:p>
    <w:p>
      <w:pPr>
        <w:pStyle w:val="Heading6"/>
        <w:spacing w:line="240" w:lineRule="auto"/>
        <w:ind w:left="636" w:right="0"/>
        <w:jc w:val="left"/>
        <w:rPr>
          <w:b w:val="0"/>
          <w:bCs w:val="0"/>
        </w:rPr>
      </w:pPr>
      <w:r>
        <w:rPr>
          <w:rFonts w:ascii="Times New Roman" w:hAnsi="Times New Roman" w:cs="Times New Roman" w:eastAsia="Times New Roman" w:hint="default"/>
        </w:rPr>
        <w:t>3</w:t>
      </w:r>
      <w:r>
        <w:rPr/>
        <w:t>、金融科技</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4" w:lineRule="auto" w:before="44"/>
        <w:ind w:right="0" w:firstLine="480"/>
        <w:jc w:val="left"/>
      </w:pPr>
      <w:r>
        <w:rPr/>
        <w:t>东华软件凭借自身技术和资源双重优势，</w:t>
      </w:r>
      <w:r>
        <w:rPr>
          <w:color w:val="1D1D1D"/>
        </w:rPr>
        <w:t>逐步加深互联网、大数据、云计算、区块链等先进技术与金融领域的融合，</w:t>
      </w:r>
      <w:r>
        <w:rPr>
          <w:color w:val="1D1D1D"/>
        </w:rPr>
        <w:t> </w:t>
      </w:r>
      <w:r>
        <w:rPr>
          <w:color w:val="1D1D1D"/>
          <w:spacing w:val="-4"/>
        </w:rPr>
        <w:t>积极向下游延伸。随着</w:t>
      </w:r>
      <w:r>
        <w:rPr>
          <w:spacing w:val="-4"/>
        </w:rPr>
        <w:t>大数据、云计算、移动互联技术的大规模应用，对金融行业包括但不限于传统银行、支付、消费金融、</w:t>
      </w:r>
      <w:r>
        <w:rPr>
          <w:spacing w:val="-44"/>
        </w:rPr>
        <w:t> </w:t>
      </w:r>
      <w:r>
        <w:rPr>
          <w:spacing w:val="-44"/>
        </w:rPr>
      </w:r>
      <w:r>
        <w:rPr>
          <w:spacing w:val="-2"/>
        </w:rPr>
        <w:t>供应链金融、保险、资金管理等方方面面都起到了提升效率和降低成本的作用。</w:t>
      </w:r>
      <w:r>
        <w:rPr>
          <w:rFonts w:ascii="Times New Roman" w:hAnsi="Times New Roman" w:cs="Times New Roman" w:eastAsia="Times New Roman" w:hint="default"/>
          <w:color w:val="1D1D1D"/>
          <w:spacing w:val="-2"/>
        </w:rPr>
        <w:t>2017</w:t>
      </w:r>
      <w:r>
        <w:rPr>
          <w:color w:val="1D1D1D"/>
          <w:spacing w:val="-2"/>
        </w:rPr>
        <w:t>年金融领域各大机构纷纷展开对区块链</w:t>
      </w:r>
      <w:r>
        <w:rPr>
          <w:color w:val="1D1D1D"/>
          <w:spacing w:val="-61"/>
        </w:rPr>
        <w:t> </w:t>
      </w:r>
      <w:r>
        <w:rPr>
          <w:color w:val="1D1D1D"/>
          <w:spacing w:val="-2"/>
        </w:rPr>
        <w:t>技术的落地性布局，探索区块链技术的金融应用场景，逐步推动</w:t>
      </w:r>
      <w:r>
        <w:rPr>
          <w:spacing w:val="-2"/>
        </w:rPr>
        <w:t>区块链的真正商业化应用进程。根据未来互联网和金融市场</w:t>
      </w:r>
      <w:r>
        <w:rPr>
          <w:spacing w:val="-66"/>
        </w:rPr>
        <w:t> </w:t>
      </w:r>
      <w:r>
        <w:rPr>
          <w:spacing w:val="-66"/>
        </w:rPr>
      </w:r>
      <w:r>
        <w:rPr>
          <w:spacing w:val="-2"/>
        </w:rPr>
        <w:t>呈现出深度融合态势，及互联网技术将对金融产品、业务流程等方面产生革命性的影响，东华软件以互联网技术为依托，结</w:t>
      </w:r>
      <w:r>
        <w:rPr>
          <w:spacing w:val="-66"/>
        </w:rPr>
        <w:t> </w:t>
      </w:r>
      <w:r>
        <w:rPr>
          <w:spacing w:val="-66"/>
        </w:rPr>
      </w:r>
      <w:r>
        <w:rPr>
          <w:spacing w:val="-2"/>
        </w:rPr>
        <w:t>合金融市场经验，提前布局普惠金融，以不断开拓获客渠道、提供多样金融产品、大数据精准营销为己任，努力提升金融产</w:t>
      </w:r>
      <w:r>
        <w:rPr>
          <w:spacing w:val="-66"/>
        </w:rPr>
        <w:t> </w:t>
      </w:r>
      <w:r>
        <w:rPr>
          <w:spacing w:val="-66"/>
        </w:rPr>
      </w:r>
      <w:r>
        <w:rPr/>
        <w:t>品的品质和前瞻性，为广大金融客户提供多元化互联网解决方案。</w:t>
      </w:r>
    </w:p>
    <w:p>
      <w:pPr>
        <w:pStyle w:val="BodyText"/>
        <w:spacing w:line="468" w:lineRule="exact" w:before="12"/>
        <w:ind w:left="634" w:right="1118" w:firstLine="2"/>
        <w:jc w:val="left"/>
      </w:pPr>
      <w:r>
        <w:rPr>
          <w:rFonts w:ascii="Times New Roman" w:hAnsi="Times New Roman" w:cs="Times New Roman" w:eastAsia="Times New Roman" w:hint="default"/>
          <w:b/>
          <w:bCs/>
        </w:rPr>
        <w:t>4</w:t>
      </w:r>
      <w:r>
        <w:rPr>
          <w:rFonts w:ascii="宋体" w:hAnsi="宋体" w:cs="宋体" w:eastAsia="宋体" w:hint="default"/>
          <w:b/>
          <w:bCs/>
        </w:rPr>
        <w:t>、智慧城市</w:t>
      </w:r>
      <w:r>
        <w:rPr>
          <w:rFonts w:ascii="宋体" w:hAnsi="宋体" w:cs="宋体" w:eastAsia="宋体" w:hint="default"/>
          <w:b/>
          <w:bCs/>
          <w:w w:val="99"/>
        </w:rPr>
        <w:t> </w:t>
      </w:r>
      <w:r>
        <w:rPr>
          <w:spacing w:val="2"/>
        </w:rPr>
        <w:t>自</w:t>
      </w:r>
      <w:r>
        <w:rPr>
          <w:rFonts w:ascii="Times New Roman" w:hAnsi="Times New Roman" w:cs="Times New Roman" w:eastAsia="Times New Roman" w:hint="default"/>
          <w:spacing w:val="2"/>
        </w:rPr>
        <w:t>2012</w:t>
      </w:r>
      <w:r>
        <w:rPr>
          <w:spacing w:val="2"/>
        </w:rPr>
        <w:t>年国家住房城乡建设部发布关于开展国家智慧城市试点工作以来，中国智慧城市正由局部试点向全面铺开。</w:t>
      </w:r>
    </w:p>
    <w:p>
      <w:pPr>
        <w:pStyle w:val="BodyText"/>
        <w:spacing w:line="304" w:lineRule="auto" w:before="8"/>
        <w:ind w:right="1033"/>
        <w:jc w:val="left"/>
      </w:pPr>
      <w:r>
        <w:rPr>
          <w:rFonts w:ascii="Times New Roman" w:hAnsi="Times New Roman" w:cs="Times New Roman" w:eastAsia="Times New Roman" w:hint="default"/>
        </w:rPr>
        <w:t>2014</w:t>
      </w:r>
      <w:r>
        <w:rPr/>
        <w:t>年，《国家新型城镇化规划（</w:t>
      </w:r>
      <w:r>
        <w:rPr>
          <w:rFonts w:ascii="Times New Roman" w:hAnsi="Times New Roman" w:cs="Times New Roman" w:eastAsia="Times New Roman" w:hint="default"/>
        </w:rPr>
        <w:t>2014</w:t>
      </w:r>
      <w:r>
        <w:rPr>
          <w:rFonts w:ascii="Times New Roman" w:hAnsi="Times New Roman" w:cs="Times New Roman" w:eastAsia="Times New Roman" w:hint="default"/>
        </w:rPr>
        <w:t>—</w:t>
      </w:r>
      <w:r>
        <w:rPr>
          <w:rFonts w:ascii="Times New Roman" w:hAnsi="Times New Roman" w:cs="Times New Roman" w:eastAsia="Times New Roman" w:hint="default"/>
        </w:rPr>
        <w:t>2020 </w:t>
      </w:r>
      <w:r>
        <w:rPr/>
        <w:t>年）》将智慧城市建设引入国家战略规划，并计划在</w:t>
      </w:r>
      <w:r>
        <w:rPr>
          <w:rFonts w:ascii="Times New Roman" w:hAnsi="Times New Roman" w:cs="Times New Roman" w:eastAsia="Times New Roman" w:hint="default"/>
        </w:rPr>
        <w:t>2020</w:t>
      </w:r>
      <w:r>
        <w:rPr/>
        <w:t>年建成一批特色鲜</w:t>
      </w:r>
      <w:r>
        <w:rPr>
          <w:spacing w:val="-86"/>
        </w:rPr>
        <w:t> </w:t>
      </w:r>
      <w:r>
        <w:rPr>
          <w:spacing w:val="-86"/>
        </w:rPr>
      </w:r>
      <w:r>
        <w:rPr>
          <w:spacing w:val="-2"/>
        </w:rPr>
        <w:t>明的智慧城市；同时指出从宏观政策引导、应用行业指南、扶持资金支持等多个层面推动智慧城市建设发展。</w:t>
      </w:r>
      <w:r>
        <w:rPr>
          <w:rFonts w:ascii="Times New Roman" w:hAnsi="Times New Roman" w:cs="Times New Roman" w:eastAsia="Times New Roman" w:hint="default"/>
          <w:spacing w:val="-2"/>
        </w:rPr>
        <w:t>2017</w:t>
      </w:r>
      <w:r>
        <w:rPr>
          <w:spacing w:val="-2"/>
        </w:rPr>
        <w:t>年，国家</w:t>
      </w:r>
      <w:r>
        <w:rPr>
          <w:spacing w:val="-61"/>
        </w:rPr>
        <w:t> </w:t>
      </w:r>
      <w:r>
        <w:rPr>
          <w:spacing w:val="-61"/>
        </w:rPr>
      </w:r>
      <w:r>
        <w:rPr/>
        <w:t>新型智慧城市建设部际协调工作组发布《新型智慧城市发展报告</w:t>
      </w:r>
      <w:r>
        <w:rPr>
          <w:rFonts w:ascii="Times New Roman" w:hAnsi="Times New Roman" w:cs="Times New Roman" w:eastAsia="Times New Roman" w:hint="default"/>
        </w:rPr>
        <w:t>2017</w:t>
      </w:r>
      <w:r>
        <w:rPr/>
        <w:t>》，以首次</w:t>
      </w:r>
      <w:r>
        <w:rPr>
          <w:rFonts w:ascii="宋体" w:hAnsi="宋体" w:cs="宋体" w:eastAsia="宋体" w:hint="default"/>
          <w:b/>
          <w:bCs/>
        </w:rPr>
        <w:t>全国新型智慧城市评价工作为特色</w:t>
      </w:r>
      <w:r>
        <w:rPr/>
        <w:t>，系统</w:t>
      </w:r>
      <w:r>
        <w:rPr>
          <w:spacing w:val="-11"/>
        </w:rPr>
        <w:t> </w:t>
      </w:r>
      <w:r>
        <w:rPr>
          <w:spacing w:val="-2"/>
        </w:rPr>
        <w:t>展示了评价工作过程和评价数据分析结果，是我国智慧城市建设历程中的重要一步。东华软件自</w:t>
      </w:r>
      <w:r>
        <w:rPr>
          <w:rFonts w:ascii="Times New Roman" w:hAnsi="Times New Roman" w:cs="Times New Roman" w:eastAsia="Times New Roman" w:hint="default"/>
          <w:spacing w:val="-2"/>
        </w:rPr>
        <w:t>2012</w:t>
      </w:r>
      <w:r>
        <w:rPr>
          <w:spacing w:val="-2"/>
        </w:rPr>
        <w:t>年紧随国家智慧城市建</w:t>
      </w:r>
      <w:r>
        <w:rPr>
          <w:spacing w:val="-59"/>
        </w:rPr>
        <w:t> </w:t>
      </w:r>
      <w:r>
        <w:rPr/>
        <w:t>设发展步伐，于</w:t>
      </w:r>
      <w:r>
        <w:rPr>
          <w:rFonts w:ascii="Times New Roman" w:hAnsi="Times New Roman" w:cs="Times New Roman" w:eastAsia="Times New Roman" w:hint="default"/>
        </w:rPr>
        <w:t>2014</w:t>
      </w:r>
      <w:r>
        <w:rPr/>
        <w:t>年成立东华智慧城市集团并已成功服务于辽宁、山东、河南、河北、广东、福建、海南等十二个省份。 </w:t>
      </w:r>
      <w:r>
        <w:rPr>
          <w:spacing w:val="-4"/>
        </w:rPr>
        <w:t>未来在政策和市场的双重驱动下，东华软件将继续构筑智慧城市板块布局，涵盖智慧旅游、智慧医院、智慧管廊、智慧监狱、</w:t>
      </w:r>
      <w:r>
        <w:rPr>
          <w:spacing w:val="-44"/>
        </w:rPr>
        <w:t> </w:t>
      </w:r>
      <w:r>
        <w:rPr>
          <w:spacing w:val="-44"/>
        </w:rPr>
      </w:r>
      <w:r>
        <w:rPr>
          <w:spacing w:val="-2"/>
        </w:rPr>
        <w:t>智慧消防、智慧能源等行业，依托在物联网、人工智能、虚拟现实、区块链等高新领域的技术优势，牢牢占据了智慧城市行</w:t>
      </w:r>
      <w:r>
        <w:rPr>
          <w:spacing w:val="-67"/>
        </w:rPr>
        <w:t> </w:t>
      </w:r>
      <w:r>
        <w:rPr>
          <w:spacing w:val="-67"/>
        </w:rPr>
      </w:r>
      <w:r>
        <w:rPr/>
        <w:t>业的龙头位置。</w:t>
      </w:r>
    </w:p>
    <w:p>
      <w:pPr>
        <w:pStyle w:val="BodyText"/>
        <w:spacing w:line="468" w:lineRule="exact" w:before="19"/>
        <w:ind w:left="633" w:right="1118" w:firstLine="2"/>
        <w:jc w:val="left"/>
      </w:pPr>
      <w:r>
        <w:rPr>
          <w:rFonts w:ascii="Times New Roman" w:hAnsi="Times New Roman" w:cs="Times New Roman" w:eastAsia="Times New Roman" w:hint="default"/>
          <w:b/>
          <w:bCs/>
          <w:color w:val="1D1D1D"/>
        </w:rPr>
        <w:t>5</w:t>
      </w:r>
      <w:r>
        <w:rPr>
          <w:rFonts w:ascii="宋体" w:hAnsi="宋体" w:cs="宋体" w:eastAsia="宋体" w:hint="default"/>
          <w:b/>
          <w:bCs/>
          <w:color w:val="1D1D1D"/>
        </w:rPr>
        <w:t>、</w:t>
      </w:r>
      <w:r>
        <w:rPr>
          <w:rFonts w:ascii="宋体" w:hAnsi="宋体" w:cs="宋体" w:eastAsia="宋体" w:hint="default"/>
          <w:b/>
          <w:bCs/>
        </w:rPr>
        <w:t>物联网</w:t>
      </w:r>
      <w:r>
        <w:rPr>
          <w:rFonts w:ascii="宋体" w:hAnsi="宋体" w:cs="宋体" w:eastAsia="宋体" w:hint="default"/>
          <w:b/>
          <w:bCs/>
          <w:w w:val="99"/>
        </w:rPr>
        <w:t> </w:t>
      </w:r>
      <w:r>
        <w:rPr>
          <w:spacing w:val="-1"/>
        </w:rPr>
        <w:t>随着互联网、传感器技术、通信技术、云计算的发展，物联网已经进入蓬勃发展期，具备广阔的市场发展和行业整合</w:t>
      </w:r>
    </w:p>
    <w:p>
      <w:pPr>
        <w:pStyle w:val="BodyText"/>
        <w:spacing w:line="309" w:lineRule="auto" w:before="8"/>
        <w:ind w:right="1033"/>
        <w:jc w:val="left"/>
      </w:pPr>
      <w:r>
        <w:rPr>
          <w:spacing w:val="-2"/>
        </w:rPr>
        <w:t>空间。</w:t>
      </w:r>
      <w:r>
        <w:rPr>
          <w:rFonts w:ascii="Times New Roman" w:hAnsi="Times New Roman" w:cs="Times New Roman" w:eastAsia="Times New Roman" w:hint="default"/>
          <w:spacing w:val="-2"/>
        </w:rPr>
        <w:t>2017</w:t>
      </w:r>
      <w:r>
        <w:rPr>
          <w:spacing w:val="-2"/>
        </w:rPr>
        <w:t>年物联网已应用于多种商业环境并重新定义商业模式，在多个行业实现增加产量、流程自动化，其中广泛应用于</w:t>
      </w:r>
      <w:r>
        <w:rPr>
          <w:spacing w:val="-61"/>
        </w:rPr>
        <w:t> </w:t>
      </w:r>
      <w:r>
        <w:rPr>
          <w:spacing w:val="-61"/>
        </w:rPr>
      </w:r>
      <w:r>
        <w:rPr/>
        <w:t>制造、咨询、商业服务、分销</w:t>
      </w:r>
      <w:r>
        <w:rPr>
          <w:rFonts w:ascii="Times New Roman" w:hAnsi="Times New Roman" w:cs="Times New Roman" w:eastAsia="Times New Roman" w:hint="default"/>
        </w:rPr>
        <w:t>/</w:t>
      </w:r>
      <w:r>
        <w:rPr/>
        <w:t>物流和</w:t>
      </w:r>
      <w:r>
        <w:rPr>
          <w:color w:val="060606"/>
        </w:rPr>
      </w:r>
      <w:hyperlink r:id="rId13">
        <w:r>
          <w:rPr>
            <w:color w:val="060606"/>
            <w:u w:val="single" w:color="060606"/>
          </w:rPr>
          <w:t>能源行业</w:t>
        </w:r>
        <w:r>
          <w:rPr>
            <w:color w:val="060606"/>
          </w:rPr>
        </w:r>
      </w:hyperlink>
      <w:r>
        <w:rPr/>
        <w:t>。</w:t>
      </w:r>
      <w:r>
        <w:rPr>
          <w:rFonts w:ascii="Times New Roman" w:hAnsi="Times New Roman" w:cs="Times New Roman" w:eastAsia="Times New Roman" w:hint="default"/>
        </w:rPr>
        <w:t>2017</w:t>
      </w:r>
      <w:r>
        <w:rPr/>
        <w:t>年，物联网在国内市场已进入新的爆发期，政策、资本热点、基础设</w:t>
      </w:r>
      <w:r>
        <w:rPr>
          <w:spacing w:val="-48"/>
        </w:rPr>
        <w:t> </w:t>
      </w:r>
      <w:r>
        <w:rPr>
          <w:spacing w:val="-48"/>
        </w:rPr>
      </w:r>
      <w:r>
        <w:rPr/>
        <w:t>施建设、补贴、应用落地，社会关注度等多个维度与物联网的发展息息相关，同时国家先后出台多项重大物联网发展政策， </w:t>
      </w:r>
      <w:r>
        <w:rPr>
          <w:spacing w:val="-2"/>
        </w:rPr>
        <w:t>中国物联网产业表现出强劲的发展态势。东华软件准确把握行业发展趋势，继续致力于推动中国能源互联网、工业大数据领</w:t>
      </w:r>
      <w:r>
        <w:rPr>
          <w:spacing w:val="-66"/>
        </w:rPr>
        <w:t> </w:t>
      </w:r>
      <w:r>
        <w:rPr>
          <w:spacing w:val="-66"/>
        </w:rPr>
      </w:r>
      <w:r>
        <w:rPr/>
        <w:t>域的建设及数字化转型。</w:t>
      </w:r>
    </w:p>
    <w:p>
      <w:pPr>
        <w:pStyle w:val="BodyText"/>
        <w:spacing w:line="468" w:lineRule="exact" w:before="16"/>
        <w:ind w:left="633" w:right="0" w:firstLine="2"/>
        <w:jc w:val="left"/>
      </w:pPr>
      <w:r>
        <w:rPr>
          <w:rFonts w:ascii="宋体" w:hAnsi="宋体" w:cs="宋体" w:eastAsia="宋体" w:hint="default"/>
          <w:b/>
          <w:bCs/>
        </w:rPr>
        <w:t>（二）公司发展战略</w:t>
      </w:r>
      <w:r>
        <w:rPr>
          <w:rFonts w:ascii="宋体" w:hAnsi="宋体" w:cs="宋体" w:eastAsia="宋体" w:hint="default"/>
          <w:b/>
          <w:bCs/>
          <w:w w:val="99"/>
        </w:rPr>
        <w:t> </w:t>
      </w:r>
      <w:r>
        <w:rPr>
          <w:spacing w:val="-3"/>
        </w:rPr>
        <w:t>东华软件上市以来，始终遵循诚信为本、产品为王、创新为上的发展理念，一贯秉持稳中求进、变中求新的市场态度，</w:t>
      </w:r>
    </w:p>
    <w:p>
      <w:pPr>
        <w:pStyle w:val="BodyText"/>
        <w:spacing w:line="316" w:lineRule="auto" w:before="8"/>
        <w:ind w:right="0"/>
        <w:jc w:val="left"/>
      </w:pPr>
      <w:r>
        <w:rPr>
          <w:spacing w:val="-2"/>
        </w:rPr>
        <w:t>用心专注于软件研发，聚焦发力于信息科技，在服务用户中创造价值，在市场合作中赢得先机，已经步入了稳步发展的良性</w:t>
      </w:r>
      <w:r>
        <w:rPr>
          <w:spacing w:val="-66"/>
        </w:rPr>
        <w:t> </w:t>
      </w:r>
      <w:r>
        <w:rPr>
          <w:spacing w:val="-66"/>
        </w:rPr>
      </w:r>
      <w:r>
        <w:rPr/>
        <w:t>轨道。当前和未来一个时期，公司总体发展战略是：</w:t>
      </w:r>
    </w:p>
    <w:p>
      <w:pPr>
        <w:pStyle w:val="BodyText"/>
        <w:spacing w:line="468" w:lineRule="exact" w:before="10"/>
        <w:ind w:left="633" w:right="0" w:firstLine="2"/>
        <w:jc w:val="left"/>
      </w:pPr>
      <w:r>
        <w:rPr>
          <w:rFonts w:ascii="Times New Roman" w:hAnsi="Times New Roman" w:cs="Times New Roman" w:eastAsia="Times New Roman" w:hint="default"/>
          <w:b/>
          <w:bCs/>
        </w:rPr>
        <w:t>1</w:t>
      </w:r>
      <w:r>
        <w:rPr>
          <w:rFonts w:ascii="宋体" w:hAnsi="宋体" w:cs="宋体" w:eastAsia="宋体" w:hint="default"/>
          <w:b/>
          <w:bCs/>
        </w:rPr>
        <w:t>、在目标方向上</w:t>
      </w:r>
      <w:r>
        <w:rPr>
          <w:rFonts w:ascii="宋体" w:hAnsi="宋体" w:cs="宋体" w:eastAsia="宋体" w:hint="default"/>
          <w:b/>
          <w:bCs/>
          <w:w w:val="99"/>
        </w:rPr>
        <w:t> </w:t>
      </w:r>
      <w:r>
        <w:rPr/>
        <w:t>依托多年来在软件开发、系统集成等方面积聚的雄厚实力和市场口碑，以</w:t>
      </w:r>
      <w:r>
        <w:rPr>
          <w:rFonts w:ascii="Times New Roman" w:hAnsi="Times New Roman" w:cs="Times New Roman" w:eastAsia="Times New Roman" w:hint="default"/>
        </w:rPr>
        <w:t>AI+</w:t>
      </w:r>
      <w:r>
        <w:rPr/>
        <w:t>、区块链、云计算和大数据为依托，致</w:t>
      </w:r>
    </w:p>
    <w:p>
      <w:pPr>
        <w:pStyle w:val="BodyText"/>
        <w:spacing w:line="316" w:lineRule="auto" w:before="8"/>
        <w:ind w:right="0"/>
        <w:jc w:val="left"/>
      </w:pPr>
      <w:r>
        <w:rPr>
          <w:spacing w:val="-2"/>
        </w:rPr>
        <w:t>力于打造细分行业的龙头，聚焦发力于医疗信息技术的创新，继续培育一批具有发展潜力的平台产品，提供优质高端的数字</w:t>
      </w:r>
      <w:r>
        <w:rPr>
          <w:spacing w:val="-66"/>
        </w:rPr>
        <w:t> </w:t>
      </w:r>
      <w:r>
        <w:rPr>
          <w:spacing w:val="-66"/>
        </w:rPr>
      </w:r>
      <w:r>
        <w:rPr/>
        <w:t>产品和信息化服务，打造行业领跑、全球领先的民族品牌。</w:t>
      </w:r>
    </w:p>
    <w:p>
      <w:pPr>
        <w:pStyle w:val="BodyText"/>
        <w:spacing w:line="468" w:lineRule="exact" w:before="10"/>
        <w:ind w:left="634" w:right="0" w:firstLine="2"/>
        <w:jc w:val="left"/>
      </w:pPr>
      <w:r>
        <w:rPr>
          <w:rFonts w:ascii="Times New Roman" w:hAnsi="Times New Roman" w:cs="Times New Roman" w:eastAsia="Times New Roman" w:hint="default"/>
          <w:b/>
          <w:bCs/>
        </w:rPr>
        <w:t>2</w:t>
      </w:r>
      <w:r>
        <w:rPr>
          <w:rFonts w:ascii="宋体" w:hAnsi="宋体" w:cs="宋体" w:eastAsia="宋体" w:hint="default"/>
          <w:b/>
          <w:bCs/>
        </w:rPr>
        <w:t>、在核心业务上</w:t>
      </w:r>
      <w:r>
        <w:rPr>
          <w:rFonts w:ascii="宋体" w:hAnsi="宋体" w:cs="宋体" w:eastAsia="宋体" w:hint="default"/>
          <w:b/>
          <w:bCs/>
          <w:w w:val="99"/>
        </w:rPr>
        <w:t> </w:t>
      </w:r>
      <w:r>
        <w:rPr>
          <w:color w:val="1D1D1D"/>
        </w:rPr>
        <w:t>积极推</w:t>
      </w:r>
      <w:r>
        <w:rPr/>
        <w:t>进</w:t>
      </w:r>
      <w:r>
        <w:rPr>
          <w:rFonts w:ascii="Times New Roman" w:hAnsi="Times New Roman" w:cs="Times New Roman" w:eastAsia="Times New Roman" w:hint="default"/>
        </w:rPr>
        <w:t>AI</w:t>
      </w:r>
      <w:r>
        <w:rPr/>
        <w:t>与</w:t>
      </w:r>
      <w:r>
        <w:rPr>
          <w:color w:val="060606"/>
        </w:rPr>
      </w:r>
      <w:hyperlink r:id="rId14">
        <w:r>
          <w:rPr>
            <w:color w:val="060606"/>
            <w:u w:val="single" w:color="060606"/>
          </w:rPr>
          <w:t>医疗</w:t>
        </w:r>
        <w:r>
          <w:rPr>
            <w:color w:val="060606"/>
          </w:rPr>
        </w:r>
      </w:hyperlink>
      <w:r>
        <w:rPr/>
        <w:t>、公安、</w:t>
      </w:r>
      <w:hyperlink r:id="rId15">
        <w:r>
          <w:rPr>
            <w:color w:val="060606"/>
          </w:rPr>
        </w:r>
        <w:r>
          <w:rPr>
            <w:color w:val="060606"/>
            <w:u w:val="single" w:color="060606"/>
          </w:rPr>
          <w:t>金融</w:t>
        </w:r>
        <w:r>
          <w:rPr>
            <w:color w:val="060606"/>
          </w:rPr>
        </w:r>
      </w:hyperlink>
      <w:r>
        <w:rPr/>
        <w:t>、水利等行业有机融合</w:t>
      </w:r>
      <w:r>
        <w:rPr>
          <w:color w:val="1D1D1D"/>
        </w:rPr>
        <w:t>，打造出多款适合各个行业的</w:t>
      </w:r>
      <w:r>
        <w:rPr>
          <w:rFonts w:ascii="Times New Roman" w:hAnsi="Times New Roman" w:cs="Times New Roman" w:eastAsia="Times New Roman" w:hint="default"/>
          <w:color w:val="1D1D1D"/>
        </w:rPr>
        <w:t>“AI+</w:t>
      </w:r>
      <w:r>
        <w:rPr>
          <w:color w:val="1D1D1D"/>
        </w:rPr>
        <w:t>产品</w:t>
      </w:r>
      <w:r>
        <w:rPr>
          <w:rFonts w:ascii="Times New Roman" w:hAnsi="Times New Roman" w:cs="Times New Roman" w:eastAsia="Times New Roman" w:hint="default"/>
          <w:color w:val="1D1D1D"/>
        </w:rPr>
        <w:t>”</w:t>
      </w:r>
      <w:r>
        <w:rPr>
          <w:color w:val="1D1D1D"/>
        </w:rPr>
        <w:t>。基于在人工智能、</w:t>
      </w:r>
      <w:r>
        <w:rPr/>
      </w:r>
    </w:p>
    <w:p>
      <w:pPr>
        <w:pStyle w:val="BodyText"/>
        <w:spacing w:line="319" w:lineRule="auto" w:before="8"/>
        <w:ind w:right="0"/>
        <w:jc w:val="left"/>
      </w:pPr>
      <w:r>
        <w:rPr>
          <w:color w:val="1D1D1D"/>
          <w:spacing w:val="-4"/>
        </w:rPr>
        <w:t>物联网、大数据等领域已有的技术优势、人才优势，围绕人工智能、大数据、物联网等热点领域，重点布局创新链、人才链，</w:t>
      </w:r>
      <w:r>
        <w:rPr>
          <w:color w:val="1D1D1D"/>
          <w:spacing w:val="-47"/>
        </w:rPr>
        <w:t> </w:t>
      </w:r>
      <w:r>
        <w:rPr>
          <w:color w:val="1D1D1D"/>
          <w:spacing w:val="-47"/>
        </w:rPr>
      </w:r>
      <w:r>
        <w:rPr>
          <w:color w:val="1D1D1D"/>
        </w:rPr>
        <w:t>优化配置科技创新资源，开展共性技术、关键技术研发攻关，大力提升东华软件的整体创新能力。</w:t>
      </w:r>
      <w:r>
        <w:rPr/>
      </w:r>
    </w:p>
    <w:p>
      <w:pPr>
        <w:spacing w:line="240" w:lineRule="auto" w:before="3"/>
        <w:rPr>
          <w:rFonts w:ascii="宋体" w:hAnsi="宋体" w:cs="宋体" w:eastAsia="宋体" w:hint="default"/>
          <w:sz w:val="13"/>
          <w:szCs w:val="13"/>
        </w:rPr>
      </w:pPr>
    </w:p>
    <w:p>
      <w:pPr>
        <w:pStyle w:val="BodyText"/>
        <w:spacing w:line="451" w:lineRule="auto"/>
        <w:ind w:left="633" w:right="1093" w:firstLine="2"/>
        <w:jc w:val="left"/>
      </w:pPr>
      <w:r>
        <w:rPr>
          <w:rFonts w:ascii="Times New Roman" w:hAnsi="Times New Roman" w:cs="Times New Roman" w:eastAsia="Times New Roman" w:hint="default"/>
          <w:b/>
          <w:bCs/>
        </w:rPr>
        <w:t>3</w:t>
      </w:r>
      <w:r>
        <w:rPr>
          <w:rFonts w:ascii="宋体" w:hAnsi="宋体" w:cs="宋体" w:eastAsia="宋体" w:hint="default"/>
          <w:b/>
          <w:bCs/>
        </w:rPr>
        <w:t>、在外部协同上</w:t>
      </w:r>
      <w:r>
        <w:rPr>
          <w:rFonts w:ascii="宋体" w:hAnsi="宋体" w:cs="宋体" w:eastAsia="宋体" w:hint="default"/>
          <w:b/>
          <w:bCs/>
          <w:w w:val="99"/>
        </w:rPr>
        <w:t> </w:t>
      </w:r>
      <w:r>
        <w:rPr>
          <w:color w:val="1D1D1D"/>
        </w:rPr>
        <w:t>继续深化与阿里、腾讯、京东等知名企业的战略合作，通过关键技术、核心资源、知名品牌、市场渠道等多个层面，</w:t>
      </w:r>
      <w:r>
        <w:rPr/>
      </w:r>
    </w:p>
    <w:p>
      <w:pPr>
        <w:spacing w:after="0" w:line="451"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color w:val="1D1D1D"/>
          <w:spacing w:val="-2"/>
        </w:rPr>
        <w:t>主攻大数据、人工智能、物联网、云计算、智慧城市等重要领域。同时，加大</w:t>
      </w:r>
      <w:r>
        <w:rPr>
          <w:spacing w:val="-2"/>
        </w:rPr>
        <w:t>产业整合的力度，为核心业务提供有力有效的</w:t>
      </w:r>
      <w:r>
        <w:rPr>
          <w:spacing w:val="-71"/>
        </w:rPr>
        <w:t> </w:t>
      </w:r>
      <w:r>
        <w:rPr>
          <w:spacing w:val="-71"/>
        </w:rPr>
      </w:r>
      <w:r>
        <w:rPr/>
        <w:t>保障支撑。</w:t>
      </w:r>
    </w:p>
    <w:p>
      <w:pPr>
        <w:pStyle w:val="BodyText"/>
        <w:spacing w:line="468" w:lineRule="exact" w:before="10"/>
        <w:ind w:left="633" w:right="0" w:firstLine="2"/>
        <w:jc w:val="left"/>
      </w:pPr>
      <w:r>
        <w:rPr>
          <w:rFonts w:ascii="Times New Roman" w:hAnsi="Times New Roman" w:cs="Times New Roman" w:eastAsia="Times New Roman" w:hint="default"/>
          <w:b/>
          <w:bCs/>
        </w:rPr>
        <w:t>4</w:t>
      </w:r>
      <w:r>
        <w:rPr>
          <w:rFonts w:ascii="宋体" w:hAnsi="宋体" w:cs="宋体" w:eastAsia="宋体" w:hint="default"/>
          <w:b/>
          <w:bCs/>
        </w:rPr>
        <w:t>、在实现路径上</w:t>
      </w:r>
      <w:r>
        <w:rPr>
          <w:rFonts w:ascii="宋体" w:hAnsi="宋体" w:cs="宋体" w:eastAsia="宋体" w:hint="default"/>
          <w:b/>
          <w:bCs/>
          <w:w w:val="99"/>
        </w:rPr>
        <w:t> </w:t>
      </w:r>
      <w:r>
        <w:rPr>
          <w:spacing w:val="-1"/>
        </w:rPr>
        <w:t>加大研发投入和新技术引入力度，寻找新的利润增长点。实现公司产品创新、技术创新、科技创新的发展战略，把优</w:t>
      </w:r>
    </w:p>
    <w:p>
      <w:pPr>
        <w:pStyle w:val="BodyText"/>
        <w:spacing w:line="316" w:lineRule="auto" w:before="8"/>
        <w:ind w:right="1033"/>
        <w:jc w:val="left"/>
      </w:pPr>
      <w:r>
        <w:rPr>
          <w:spacing w:val="-2"/>
        </w:rPr>
        <w:t>势资源投放到技术创新和产品研发上，巩固并拓宽公司产品应用领域。不断完善企业激励约束机制，集中力量打造一批像健</w:t>
      </w:r>
      <w:r>
        <w:rPr>
          <w:spacing w:val="-66"/>
        </w:rPr>
        <w:t> </w:t>
      </w:r>
      <w:r>
        <w:rPr>
          <w:spacing w:val="-66"/>
        </w:rPr>
      </w:r>
      <w:r>
        <w:rPr/>
        <w:t>康乐、</w:t>
      </w:r>
      <w:r>
        <w:rPr>
          <w:color w:val="1D1D1D"/>
        </w:rPr>
        <w:t>银企汇、东华云、</w:t>
      </w:r>
      <w:r>
        <w:rPr/>
        <w:t>东华惠生活、互联宜家、华金在线等具有市场竞争力的自主品牌，形成企业快速成长的战略纵深。</w:t>
      </w:r>
    </w:p>
    <w:p>
      <w:pPr>
        <w:spacing w:line="240" w:lineRule="auto" w:before="5"/>
        <w:rPr>
          <w:rFonts w:ascii="宋体" w:hAnsi="宋体" w:cs="宋体" w:eastAsia="宋体" w:hint="default"/>
          <w:sz w:val="13"/>
          <w:szCs w:val="13"/>
        </w:rPr>
      </w:pPr>
    </w:p>
    <w:p>
      <w:pPr>
        <w:pStyle w:val="Heading6"/>
        <w:spacing w:line="240" w:lineRule="auto"/>
        <w:ind w:left="636" w:right="0"/>
        <w:jc w:val="left"/>
        <w:rPr>
          <w:b w:val="0"/>
          <w:bCs w:val="0"/>
        </w:rPr>
      </w:pPr>
      <w:r>
        <w:rPr/>
        <w:t>（三）经营计划</w:t>
      </w:r>
      <w:r>
        <w:rPr>
          <w:b w:val="0"/>
          <w:bCs w:val="0"/>
        </w:rPr>
      </w:r>
    </w:p>
    <w:p>
      <w:pPr>
        <w:spacing w:line="240" w:lineRule="auto" w:before="10"/>
        <w:rPr>
          <w:rFonts w:ascii="宋体" w:hAnsi="宋体" w:cs="宋体" w:eastAsia="宋体" w:hint="default"/>
          <w:b/>
          <w:bCs/>
          <w:sz w:val="17"/>
          <w:szCs w:val="17"/>
        </w:rPr>
      </w:pPr>
    </w:p>
    <w:p>
      <w:pPr>
        <w:pStyle w:val="BodyText"/>
        <w:spacing w:line="314" w:lineRule="auto"/>
        <w:ind w:right="1132" w:firstLine="480"/>
        <w:jc w:val="both"/>
      </w:pPr>
      <w:r>
        <w:rPr>
          <w:rFonts w:ascii="Times New Roman" w:hAnsi="Times New Roman" w:cs="Times New Roman" w:eastAsia="Times New Roman" w:hint="default"/>
        </w:rPr>
        <w:t>2018</w:t>
      </w:r>
      <w:r>
        <w:rPr/>
        <w:t>年，公司一方面继续深耕公司主业，以大数据、云计算、</w:t>
      </w:r>
      <w:r>
        <w:rPr>
          <w:rFonts w:ascii="Times New Roman" w:hAnsi="Times New Roman" w:cs="Times New Roman" w:eastAsia="Times New Roman" w:hint="default"/>
        </w:rPr>
        <w:t>AI+</w:t>
      </w:r>
      <w:r>
        <w:rPr/>
        <w:t>及区块链为基础进行多行业全产业链延伸拓展，不 </w:t>
      </w:r>
      <w:r>
        <w:rPr>
          <w:spacing w:val="-2"/>
        </w:rPr>
        <w:t>断巩固和加强在医疗、金融、政府、物联网等领域的龙头地位，持续提升多行业细分业务的专业化、系统化竞争能力和市场</w:t>
      </w:r>
      <w:r>
        <w:rPr>
          <w:spacing w:val="-66"/>
        </w:rPr>
        <w:t> </w:t>
      </w:r>
      <w:r>
        <w:rPr>
          <w:spacing w:val="-66"/>
        </w:rPr>
      </w:r>
      <w:r>
        <w:rPr>
          <w:spacing w:val="-2"/>
        </w:rPr>
        <w:t>覆盖面，保持公司在软件与信息技术服务行业内的龙头地位；另一方面，公司将积极开展并购重组，优化资源配置，延伸产</w:t>
      </w:r>
      <w:r>
        <w:rPr>
          <w:spacing w:val="-66"/>
        </w:rPr>
        <w:t> </w:t>
      </w:r>
      <w:r>
        <w:rPr>
          <w:spacing w:val="-66"/>
        </w:rPr>
      </w:r>
      <w:r>
        <w:rPr>
          <w:spacing w:val="-2"/>
        </w:rPr>
        <w:t>业链。此外，公司进一步加强资金管理，确保资金安全，拓展投资渠道，提高资金效益；加强内控和制度建设，实现母、子</w:t>
      </w:r>
      <w:r>
        <w:rPr>
          <w:spacing w:val="-68"/>
        </w:rPr>
        <w:t> </w:t>
      </w:r>
      <w:r>
        <w:rPr>
          <w:spacing w:val="-68"/>
        </w:rPr>
      </w:r>
      <w:r>
        <w:rPr/>
        <w:t>公司协同发展；完善公司治理，规范信息披露，做好投资者关系管理。</w:t>
      </w:r>
    </w:p>
    <w:p>
      <w:pPr>
        <w:spacing w:line="240" w:lineRule="auto" w:before="7"/>
        <w:rPr>
          <w:rFonts w:ascii="宋体" w:hAnsi="宋体" w:cs="宋体" w:eastAsia="宋体" w:hint="default"/>
          <w:sz w:val="13"/>
          <w:szCs w:val="13"/>
        </w:rPr>
      </w:pPr>
    </w:p>
    <w:p>
      <w:pPr>
        <w:pStyle w:val="BodyText"/>
        <w:spacing w:line="300" w:lineRule="auto"/>
        <w:ind w:right="1111" w:firstLine="480"/>
        <w:jc w:val="both"/>
      </w:pPr>
      <w:r>
        <w:rPr>
          <w:rFonts w:ascii="Times New Roman" w:hAnsi="Times New Roman" w:cs="Times New Roman" w:eastAsia="Times New Roman" w:hint="default"/>
        </w:rPr>
        <w:t>2018</w:t>
      </w:r>
      <w:r>
        <w:rPr/>
        <w:t>年，公司将按照既定战略布局，继续保持主营业务优势，不断加大技术创新和产品研发投入，完善业务生态链， 全力提升公司综合竞争力。</w:t>
      </w:r>
    </w:p>
    <w:p>
      <w:pPr>
        <w:spacing w:line="240" w:lineRule="auto" w:before="4"/>
        <w:rPr>
          <w:rFonts w:ascii="宋体" w:hAnsi="宋体" w:cs="宋体" w:eastAsia="宋体" w:hint="default"/>
          <w:sz w:val="14"/>
          <w:szCs w:val="14"/>
        </w:rPr>
      </w:pPr>
    </w:p>
    <w:p>
      <w:pPr>
        <w:pStyle w:val="BodyText"/>
        <w:spacing w:line="240" w:lineRule="auto"/>
        <w:ind w:left="633" w:right="0"/>
        <w:jc w:val="left"/>
      </w:pPr>
      <w:r>
        <w:rPr>
          <w:rFonts w:ascii="Times New Roman" w:hAnsi="Times New Roman" w:cs="Times New Roman" w:eastAsia="Times New Roman" w:hint="default"/>
        </w:rPr>
        <w:t>2018</w:t>
      </w:r>
      <w:r>
        <w:rPr/>
        <w:t>年具体经营计划如下：</w:t>
      </w:r>
    </w:p>
    <w:p>
      <w:pPr>
        <w:spacing w:line="450" w:lineRule="atLeast" w:before="18"/>
        <w:ind w:left="633" w:right="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、立足主业继续深耕，发挥行业龙头优势</w:t>
      </w:r>
      <w:r>
        <w:rPr>
          <w:rFonts w:ascii="宋体" w:hAnsi="宋体" w:cs="宋体" w:eastAsia="宋体" w:hint="default"/>
          <w:b/>
          <w:bCs/>
          <w:w w:val="99"/>
          <w:sz w:val="18"/>
          <w:szCs w:val="18"/>
        </w:rPr>
        <w:t> </w:t>
      </w:r>
      <w:r>
        <w:rPr>
          <w:rFonts w:ascii="宋体" w:hAnsi="宋体" w:cs="宋体" w:eastAsia="宋体" w:hint="default"/>
          <w:spacing w:val="-1"/>
          <w:sz w:val="18"/>
          <w:szCs w:val="18"/>
        </w:rPr>
        <w:t>东华软件作为全国领先的综合性软件与信息技术服务提供商，始终坚持技术创新，为客户提供更前沿、更便捷、更符</w:t>
      </w:r>
    </w:p>
    <w:p>
      <w:pPr>
        <w:pStyle w:val="BodyText"/>
        <w:spacing w:line="307" w:lineRule="auto" w:before="76"/>
        <w:ind w:right="0"/>
        <w:jc w:val="left"/>
      </w:pPr>
      <w:r>
        <w:rPr/>
        <w:t>合需求的服务和产品。公司拥有行业内系统集成一级资质、</w:t>
      </w:r>
      <w:r>
        <w:rPr>
          <w:rFonts w:ascii="Times New Roman" w:hAnsi="Times New Roman" w:cs="Times New Roman" w:eastAsia="Times New Roman" w:hint="default"/>
        </w:rPr>
        <w:t>“CMMI5</w:t>
      </w:r>
      <w:r>
        <w:rPr/>
        <w:t>级软件成熟认证</w:t>
      </w:r>
      <w:r>
        <w:rPr>
          <w:rFonts w:ascii="Times New Roman" w:hAnsi="Times New Roman" w:cs="Times New Roman" w:eastAsia="Times New Roman" w:hint="default"/>
        </w:rPr>
        <w:t>”</w:t>
      </w:r>
      <w:r>
        <w:rPr/>
        <w:t>、国家会化布局重点软件企业、《国</w:t>
      </w:r>
      <w:r>
        <w:rPr>
          <w:spacing w:val="-30"/>
        </w:rPr>
        <w:t> </w:t>
      </w:r>
      <w:r>
        <w:rPr>
          <w:spacing w:val="-30"/>
        </w:rPr>
      </w:r>
      <w:r>
        <w:rPr>
          <w:spacing w:val="-2"/>
        </w:rPr>
        <w:t>家安全可靠计算机信息系统集成重点企业》等各项顶级资质。</w:t>
      </w:r>
      <w:r>
        <w:rPr>
          <w:rFonts w:ascii="Times New Roman" w:hAnsi="Times New Roman" w:cs="Times New Roman" w:eastAsia="Times New Roman" w:hint="default"/>
          <w:spacing w:val="-2"/>
        </w:rPr>
        <w:t>2018</w:t>
      </w:r>
      <w:r>
        <w:rPr>
          <w:spacing w:val="-2"/>
        </w:rPr>
        <w:t>年，公司将继续加大技术创新和产品研发投入，加强自主</w:t>
      </w:r>
      <w:r>
        <w:rPr>
          <w:spacing w:val="-61"/>
        </w:rPr>
        <w:t> </w:t>
      </w:r>
      <w:r>
        <w:rPr>
          <w:spacing w:val="-61"/>
        </w:rPr>
      </w:r>
      <w:r>
        <w:rPr>
          <w:spacing w:val="-4"/>
        </w:rPr>
        <w:t>创新研发，不断提升大数据和云计算相关产品技术和服务能力。同时公司成立区块链研究院，依托已有技术和行业用户积淀，</w:t>
      </w:r>
      <w:r>
        <w:rPr>
          <w:spacing w:val="-44"/>
        </w:rPr>
        <w:t> </w:t>
      </w:r>
      <w:r>
        <w:rPr>
          <w:spacing w:val="-44"/>
        </w:rPr>
      </w:r>
      <w:r>
        <w:rPr>
          <w:spacing w:val="-2"/>
        </w:rPr>
        <w:t>逐步树立区块链理念，强化区块链思维，持续加大资金投入、人才引入，深化技术研发和推广应用，与行业用户需求深度融</w:t>
      </w:r>
      <w:r>
        <w:rPr>
          <w:spacing w:val="-66"/>
        </w:rPr>
        <w:t> </w:t>
      </w:r>
      <w:r>
        <w:rPr>
          <w:spacing w:val="-66"/>
        </w:rPr>
      </w:r>
      <w:r>
        <w:rPr/>
        <w:t>合，逐步实现区块链</w:t>
      </w:r>
      <w:r>
        <w:rPr>
          <w:rFonts w:ascii="Times New Roman" w:hAnsi="Times New Roman" w:cs="Times New Roman" w:eastAsia="Times New Roman" w:hint="default"/>
        </w:rPr>
        <w:t>+</w:t>
      </w:r>
      <w:r>
        <w:rPr/>
        <w:t>实体行业良性发展，抢占新一代信息技术主导权和行业制高点，助力中国开启区块链生态无限空间， 驱动数字经济未来。</w:t>
      </w:r>
    </w:p>
    <w:p>
      <w:pPr>
        <w:spacing w:line="468" w:lineRule="exact" w:before="18"/>
        <w:ind w:left="633" w:right="1129" w:firstLine="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、以大数据、云计算为基础，继续多行业全产业链延伸拓展</w:t>
      </w:r>
      <w:r>
        <w:rPr>
          <w:rFonts w:ascii="宋体" w:hAnsi="宋体" w:cs="宋体" w:eastAsia="宋体" w:hint="default"/>
          <w:b/>
          <w:bCs/>
          <w:w w:val="99"/>
          <w:sz w:val="18"/>
          <w:szCs w:val="18"/>
        </w:rPr>
        <w:t> </w:t>
      </w:r>
      <w:r>
        <w:rPr>
          <w:rFonts w:ascii="宋体" w:hAnsi="宋体" w:cs="宋体" w:eastAsia="宋体" w:hint="default"/>
          <w:spacing w:val="-4"/>
          <w:sz w:val="18"/>
          <w:szCs w:val="18"/>
        </w:rPr>
        <w:t>公司凭借自主知识产权为核心竞争力，已在医疗、金融、电力、交通等多个细分行业取得了技术及市场优势地位。</w:t>
      </w:r>
      <w:r>
        <w:rPr>
          <w:rFonts w:ascii="Times New Roman" w:hAnsi="Times New Roman" w:cs="Times New Roman" w:eastAsia="Times New Roman" w:hint="default"/>
          <w:spacing w:val="-4"/>
          <w:sz w:val="18"/>
          <w:szCs w:val="18"/>
        </w:rPr>
        <w:t>2018</w:t>
      </w:r>
    </w:p>
    <w:p>
      <w:pPr>
        <w:pStyle w:val="BodyText"/>
        <w:spacing w:line="316" w:lineRule="auto" w:before="8"/>
        <w:ind w:right="0"/>
        <w:jc w:val="left"/>
      </w:pPr>
      <w:r>
        <w:rPr>
          <w:spacing w:val="-2"/>
        </w:rPr>
        <w:t>年，公司将进一步巩固和加强在医疗、金融、物联网等领域的龙头地位，持续提升多行业细分业务的专业化、系统化竞争能</w:t>
      </w:r>
      <w:r>
        <w:rPr>
          <w:spacing w:val="-66"/>
        </w:rPr>
        <w:t> </w:t>
      </w:r>
      <w:r>
        <w:rPr>
          <w:spacing w:val="-66"/>
        </w:rPr>
      </w:r>
      <w:r>
        <w:rPr/>
        <w:t>力和市场覆盖面，以优质高效的产品和服务提高客户满意度和品牌影响力，为客户提供全方位整理解决方案服务。</w:t>
      </w:r>
    </w:p>
    <w:p>
      <w:pPr>
        <w:pStyle w:val="BodyText"/>
        <w:spacing w:line="468" w:lineRule="exact" w:before="10"/>
        <w:ind w:left="634" w:right="0"/>
        <w:jc w:val="left"/>
      </w:pPr>
      <w:r>
        <w:rPr/>
        <w:t>（</w:t>
      </w:r>
      <w:r>
        <w:rPr>
          <w:rFonts w:ascii="Times New Roman" w:hAnsi="Times New Roman" w:cs="Times New Roman" w:eastAsia="Times New Roman" w:hint="default"/>
        </w:rPr>
        <w:t>1</w:t>
      </w:r>
      <w:r>
        <w:rPr/>
        <w:t>）继续保持数字医疗信息技术的龙头地位 区块链</w:t>
      </w:r>
      <w:r>
        <w:rPr>
          <w:rFonts w:ascii="Times New Roman" w:hAnsi="Times New Roman" w:cs="Times New Roman" w:eastAsia="Times New Roman" w:hint="default"/>
        </w:rPr>
        <w:t>+</w:t>
      </w:r>
      <w:r>
        <w:rPr/>
        <w:t>医疗方面：</w:t>
      </w:r>
      <w:r>
        <w:rPr>
          <w:rFonts w:ascii="Times New Roman" w:hAnsi="Times New Roman" w:cs="Times New Roman" w:eastAsia="Times New Roman" w:hint="default"/>
        </w:rPr>
        <w:t>2018</w:t>
      </w:r>
      <w:r>
        <w:rPr/>
        <w:t>年初公司成立区块链技术研究院，积极推动区块链技术在医疗场景中的落地实践。公司利用</w:t>
      </w:r>
    </w:p>
    <w:p>
      <w:pPr>
        <w:pStyle w:val="BodyText"/>
        <w:spacing w:line="316" w:lineRule="auto" w:before="8"/>
        <w:ind w:left="154" w:right="1129"/>
        <w:jc w:val="both"/>
      </w:pPr>
      <w:r>
        <w:rPr>
          <w:spacing w:val="-2"/>
        </w:rPr>
        <w:t>区块链的去中心分布式技术打造健康医疗大数据共生生态环境；利用不可篡改的时间戳特性解决医疗数据追溯及信息防伪问</w:t>
      </w:r>
      <w:r>
        <w:rPr>
          <w:spacing w:val="-63"/>
        </w:rPr>
        <w:t> </w:t>
      </w:r>
      <w:r>
        <w:rPr>
          <w:spacing w:val="-63"/>
        </w:rPr>
      </w:r>
      <w:r>
        <w:rPr>
          <w:spacing w:val="-2"/>
        </w:rPr>
        <w:t>题；依托高冗余度及多私钥的复杂保管权限的优点解决目前医疗信息化技术的安全认证缺陷；根据灵活的可编程特性，帮助</w:t>
      </w:r>
      <w:r>
        <w:rPr>
          <w:spacing w:val="-66"/>
        </w:rPr>
        <w:t> </w:t>
      </w:r>
      <w:r>
        <w:rPr>
          <w:spacing w:val="-66"/>
        </w:rPr>
      </w:r>
      <w:r>
        <w:rPr>
          <w:spacing w:val="-2"/>
        </w:rPr>
        <w:t>医院建立拓展应用等。未来，公司通过将区块链技术深度融入医疗场景，逐步建立一套互信共享的机制，为医院、医保、医</w:t>
      </w:r>
      <w:r>
        <w:rPr>
          <w:spacing w:val="-66"/>
        </w:rPr>
        <w:t> </w:t>
      </w:r>
      <w:r>
        <w:rPr>
          <w:spacing w:val="-66"/>
        </w:rPr>
      </w:r>
      <w:r>
        <w:rPr>
          <w:spacing w:val="-2"/>
        </w:rPr>
        <w:t>药之间建立起透明可信的新型关系提供了一条创新途径，进一步激发深化医药卫生体制改革的动力和活力，提升健康医疗服</w:t>
      </w:r>
      <w:r>
        <w:rPr>
          <w:spacing w:val="-64"/>
        </w:rPr>
        <w:t> </w:t>
      </w:r>
      <w:r>
        <w:rPr>
          <w:spacing w:val="-64"/>
        </w:rPr>
      </w:r>
      <w:r>
        <w:rPr/>
        <w:t>务效率和质量，推动我国健康医疗大数据应用新发展。</w:t>
      </w:r>
    </w:p>
    <w:p>
      <w:pPr>
        <w:spacing w:line="240" w:lineRule="auto" w:before="5"/>
        <w:rPr>
          <w:rFonts w:ascii="宋体" w:hAnsi="宋体" w:cs="宋体" w:eastAsia="宋体" w:hint="default"/>
          <w:sz w:val="13"/>
          <w:szCs w:val="13"/>
        </w:rPr>
      </w:pPr>
    </w:p>
    <w:p>
      <w:pPr>
        <w:pStyle w:val="BodyText"/>
        <w:spacing w:line="300" w:lineRule="auto"/>
        <w:ind w:right="1130" w:firstLine="480"/>
        <w:jc w:val="both"/>
      </w:pPr>
      <w:r>
        <w:rPr>
          <w:rFonts w:ascii="Times New Roman" w:hAnsi="Times New Roman" w:cs="Times New Roman" w:eastAsia="Times New Roman" w:hint="default"/>
          <w:spacing w:val="-1"/>
        </w:rPr>
        <w:t>DRGs</w:t>
      </w:r>
      <w:r>
        <w:rPr>
          <w:spacing w:val="-1"/>
        </w:rPr>
        <w:t>医改方面：为更好的服务于我国医改工作，</w:t>
      </w:r>
      <w:r>
        <w:rPr>
          <w:rFonts w:ascii="Times New Roman" w:hAnsi="Times New Roman" w:cs="Times New Roman" w:eastAsia="Times New Roman" w:hint="default"/>
          <w:spacing w:val="-1"/>
        </w:rPr>
        <w:t>2017</w:t>
      </w:r>
      <w:r>
        <w:rPr>
          <w:spacing w:val="-1"/>
        </w:rPr>
        <w:t>年公司已形成分组科学合理、适应我国医改要求的基于</w:t>
      </w:r>
      <w:r>
        <w:rPr>
          <w:rFonts w:ascii="Times New Roman" w:hAnsi="Times New Roman" w:cs="Times New Roman" w:eastAsia="Times New Roman" w:hint="default"/>
          <w:spacing w:val="-1"/>
        </w:rPr>
        <w:t>DRGs</w:t>
      </w:r>
      <w:r>
        <w:rPr>
          <w:spacing w:val="-1"/>
        </w:rPr>
        <w:t>的</w:t>
      </w:r>
      <w:r>
        <w:rPr/>
        <w:t> 医改综合解决方案，旨在通过</w:t>
      </w:r>
      <w:r>
        <w:rPr>
          <w:rFonts w:ascii="Times New Roman" w:hAnsi="Times New Roman" w:cs="Times New Roman" w:eastAsia="Times New Roman" w:hint="default"/>
        </w:rPr>
        <w:t>DRGs</w:t>
      </w:r>
      <w:r>
        <w:rPr/>
        <w:t>技术实现医保科学控费、区域和医院的精细化管理，通过开展区域和医院的绩效考评、</w:t>
      </w:r>
      <w:r>
        <w:rPr>
          <w:spacing w:val="-84"/>
        </w:rPr>
        <w:t> </w:t>
      </w:r>
      <w:r>
        <w:rPr>
          <w:spacing w:val="-84"/>
        </w:rPr>
      </w:r>
      <w:r>
        <w:rPr/>
        <w:t>临床路径建设、医务人员薪酬和人事制度改革、医务人员满意度评价、医疗资源配置等应用工作，全面实施了</w:t>
      </w:r>
      <w:r>
        <w:rPr>
          <w:rFonts w:ascii="Times New Roman" w:hAnsi="Times New Roman" w:cs="Times New Roman" w:eastAsia="Times New Roman" w:hint="default"/>
        </w:rPr>
        <w:t>DRGs</w:t>
      </w:r>
      <w:r>
        <w:rPr/>
        <w:t>应用工</w:t>
      </w:r>
      <w:r>
        <w:rPr>
          <w:spacing w:val="-83"/>
        </w:rPr>
        <w:t> </w:t>
      </w:r>
      <w:r>
        <w:rPr/>
        <w:t>作，主要涉及住院医疗服务绩效评价工作。</w:t>
      </w:r>
      <w:r>
        <w:rPr>
          <w:rFonts w:ascii="Times New Roman" w:hAnsi="Times New Roman" w:cs="Times New Roman" w:eastAsia="Times New Roman" w:hint="default"/>
        </w:rPr>
        <w:t>2018</w:t>
      </w:r>
      <w:r>
        <w:rPr/>
        <w:t>年，公司将持续巩固在基于</w:t>
      </w:r>
      <w:r>
        <w:rPr>
          <w:rFonts w:ascii="Times New Roman" w:hAnsi="Times New Roman" w:cs="Times New Roman" w:eastAsia="Times New Roman" w:hint="default"/>
        </w:rPr>
        <w:t>DRGs</w:t>
      </w:r>
      <w:r>
        <w:rPr/>
        <w:t>的医疗机构服务绩效评价、临床重点专科</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评价、政府资金拨付、医院精细化管理、医疗资源发展规划等业务领域的优势，抢占更多区域市场份额，在各地卫计委、人</w:t>
      </w:r>
      <w:r>
        <w:rPr>
          <w:spacing w:val="-67"/>
        </w:rPr>
        <w:t> </w:t>
      </w:r>
      <w:r>
        <w:rPr>
          <w:spacing w:val="-67"/>
        </w:rPr>
      </w:r>
      <w:r>
        <w:rPr/>
        <w:t>社部门的全面推广并实施。</w:t>
      </w:r>
    </w:p>
    <w:p>
      <w:pPr>
        <w:spacing w:line="240" w:lineRule="auto" w:before="5"/>
        <w:rPr>
          <w:rFonts w:ascii="宋体" w:hAnsi="宋体" w:cs="宋体" w:eastAsia="宋体" w:hint="default"/>
          <w:sz w:val="13"/>
          <w:szCs w:val="13"/>
        </w:rPr>
      </w:pPr>
    </w:p>
    <w:p>
      <w:pPr>
        <w:pStyle w:val="BodyText"/>
        <w:spacing w:line="319" w:lineRule="auto"/>
        <w:ind w:right="1033" w:firstLine="480"/>
        <w:jc w:val="left"/>
      </w:pPr>
      <w:r>
        <w:rPr/>
        <w:t>人工智能与医疗方面：公司将研发并打造面向各级医疗机构和人群的，基于临床电子病历和门诊问诊资料等专家辅助 </w:t>
      </w:r>
      <w:r>
        <w:rPr>
          <w:spacing w:val="-2"/>
        </w:rPr>
        <w:t>诊疗大数据和云平台的新型人工智能医学服务模式及其相关技术产品。在临床科研领域与顶级医疗机构深入合作，探索基于</w:t>
      </w:r>
      <w:r>
        <w:rPr>
          <w:spacing w:val="-64"/>
        </w:rPr>
        <w:t> </w:t>
      </w:r>
      <w:r>
        <w:rPr>
          <w:spacing w:val="-64"/>
        </w:rPr>
      </w:r>
      <w:r>
        <w:rPr>
          <w:spacing w:val="-2"/>
        </w:rPr>
        <w:t>基因算法、进化算法、免疫算法等生物计算、认知计算、人工神经网络、支撑向量机等机器学习方法的新一代人工智能技术</w:t>
      </w:r>
      <w:r>
        <w:rPr>
          <w:spacing w:val="-66"/>
        </w:rPr>
        <w:t> </w:t>
      </w:r>
      <w:r>
        <w:rPr>
          <w:spacing w:val="-66"/>
        </w:rPr>
      </w:r>
      <w:r>
        <w:rPr/>
        <w:t>与临床辅助决策专家系统及其覆盖全就医闭环流程的新型服务模式解决方案，培育壮大人工智能医疗项目，增强盈利能力， 为公司发展注入新动能。</w:t>
      </w:r>
    </w:p>
    <w:p>
      <w:pPr>
        <w:pStyle w:val="BodyText"/>
        <w:spacing w:line="468" w:lineRule="exact" w:before="9"/>
        <w:ind w:left="633" w:right="0"/>
        <w:jc w:val="left"/>
      </w:pPr>
      <w:r>
        <w:rPr/>
        <w:t>（</w:t>
      </w:r>
      <w:r>
        <w:rPr>
          <w:rFonts w:ascii="Times New Roman" w:hAnsi="Times New Roman" w:cs="Times New Roman" w:eastAsia="Times New Roman" w:hint="default"/>
        </w:rPr>
        <w:t>2</w:t>
      </w:r>
      <w:r>
        <w:rPr/>
        <w:t>）继续保持智慧城市领域的领跑地位 </w:t>
      </w:r>
      <w:r>
        <w:rPr>
          <w:spacing w:val="-1"/>
        </w:rPr>
        <w:t>随着智慧城市政策环境相对完善，智慧城市在地方落地实践并全面建设，公司加快产业升级和战略布局，一方面组建</w:t>
      </w:r>
    </w:p>
    <w:p>
      <w:pPr>
        <w:pStyle w:val="BodyText"/>
        <w:spacing w:line="309" w:lineRule="auto" w:before="8"/>
        <w:ind w:right="0"/>
        <w:jc w:val="left"/>
      </w:pPr>
      <w:r>
        <w:rPr>
          <w:spacing w:val="-4"/>
        </w:rPr>
        <w:t>东华智慧城市集团专注于移动互联网、大数据、云计算、新型智慧城市建设等业务，不断完善发展规划全景布局；另一方面，</w:t>
      </w:r>
      <w:r>
        <w:rPr>
          <w:spacing w:val="-44"/>
        </w:rPr>
        <w:t> </w:t>
      </w:r>
      <w:r>
        <w:rPr>
          <w:spacing w:val="-44"/>
        </w:rPr>
      </w:r>
      <w:r>
        <w:rPr/>
        <w:t>公司快步加速</w:t>
      </w:r>
      <w:r>
        <w:rPr>
          <w:rFonts w:ascii="Times New Roman" w:hAnsi="Times New Roman" w:cs="Times New Roman" w:eastAsia="Times New Roman" w:hint="default"/>
        </w:rPr>
        <w:t>“</w:t>
      </w:r>
      <w:r>
        <w:rPr/>
        <w:t>攻城略地</w:t>
      </w:r>
      <w:r>
        <w:rPr>
          <w:rFonts w:ascii="Times New Roman" w:hAnsi="Times New Roman" w:cs="Times New Roman" w:eastAsia="Times New Roman" w:hint="default"/>
        </w:rPr>
        <w:t>”</w:t>
      </w:r>
      <w:r>
        <w:rPr/>
        <w:t>，新增贵州东华黔通云服务有限公司、海南博育云科技有限公司、东华软件（安阳）有限公司、河 </w:t>
      </w:r>
      <w:r>
        <w:rPr>
          <w:spacing w:val="-4"/>
        </w:rPr>
        <w:t>北东华冀通软件有限公司等多家子公司，通过在省份之间的布局，参与当地的数据研究，进一步打造新型智慧城各区域高低，</w:t>
      </w:r>
      <w:r>
        <w:rPr>
          <w:spacing w:val="-44"/>
        </w:rPr>
        <w:t> </w:t>
      </w:r>
      <w:r>
        <w:rPr>
          <w:spacing w:val="-44"/>
        </w:rPr>
      </w:r>
      <w:r>
        <w:rPr>
          <w:spacing w:val="-2"/>
        </w:rPr>
        <w:t>彰显公司布局全国智慧城市发展战略的决心。目前，东华智慧城市集团已成功服务于辽宁、山东、河南、广东、福建、海南</w:t>
      </w:r>
      <w:r>
        <w:rPr>
          <w:spacing w:val="-71"/>
        </w:rPr>
        <w:t> </w:t>
      </w:r>
      <w:r>
        <w:rPr>
          <w:spacing w:val="-71"/>
        </w:rPr>
      </w:r>
      <w:r>
        <w:rPr/>
        <w:t>等多个省份，公司将继续响应国家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引领计划等一系列重大发展战略和规划，依托自身大数据、云计算、物联网、 区块链等方面的技术和资源优势，秉承着</w:t>
      </w:r>
      <w:r>
        <w:rPr>
          <w:rFonts w:ascii="Times New Roman" w:hAnsi="Times New Roman" w:cs="Times New Roman" w:eastAsia="Times New Roman" w:hint="default"/>
        </w:rPr>
        <w:t>“</w:t>
      </w:r>
      <w:r>
        <w:rPr/>
        <w:t>以投资换市场，以投资出产业</w:t>
      </w:r>
      <w:r>
        <w:rPr>
          <w:rFonts w:ascii="Times New Roman" w:hAnsi="Times New Roman" w:cs="Times New Roman" w:eastAsia="Times New Roman" w:hint="default"/>
        </w:rPr>
        <w:t>”</w:t>
      </w:r>
      <w:r>
        <w:rPr/>
        <w:t>的原则，通过投资注册本地化公司，搭建本地化人 才队伍，为城市注入资金、技术、人才等产业资源，助力城市的创新创业。</w:t>
      </w:r>
    </w:p>
    <w:p>
      <w:pPr>
        <w:pStyle w:val="BodyText"/>
        <w:spacing w:line="468" w:lineRule="exact" w:before="16"/>
        <w:ind w:left="633" w:right="0"/>
        <w:jc w:val="left"/>
      </w:pPr>
      <w:r>
        <w:rPr/>
        <w:t>（</w:t>
      </w:r>
      <w:r>
        <w:rPr>
          <w:rFonts w:ascii="Times New Roman" w:hAnsi="Times New Roman" w:cs="Times New Roman" w:eastAsia="Times New Roman" w:hint="default"/>
        </w:rPr>
        <w:t>3</w:t>
      </w:r>
      <w:r>
        <w:rPr/>
        <w:t>）继续加大金融信息科技研发力度 </w:t>
      </w:r>
      <w:r>
        <w:rPr>
          <w:spacing w:val="-1"/>
        </w:rPr>
        <w:t>随着人工智能、云计算、大数据以及区块链等创新技术的高速发展，金融科技已经成为中国金融业供给侧改革的重要</w:t>
      </w:r>
    </w:p>
    <w:p>
      <w:pPr>
        <w:pStyle w:val="BodyText"/>
        <w:spacing w:line="314" w:lineRule="auto" w:before="8"/>
        <w:ind w:right="1033"/>
        <w:jc w:val="left"/>
      </w:pPr>
      <w:r>
        <w:rPr>
          <w:spacing w:val="-2"/>
        </w:rPr>
        <w:t>组成部分，对促进实体经济健康发展具有重要的推动作用。公司将依托技术和市场的双重优势，继续助力银行信息化系统建</w:t>
      </w:r>
      <w:r>
        <w:rPr>
          <w:spacing w:val="-66"/>
        </w:rPr>
        <w:t> </w:t>
      </w:r>
      <w:r>
        <w:rPr>
          <w:spacing w:val="-66"/>
        </w:rPr>
      </w:r>
      <w:r>
        <w:rPr>
          <w:spacing w:val="-2"/>
        </w:rPr>
        <w:t>设。公司金融事业部重点打造</w:t>
      </w:r>
      <w:r>
        <w:rPr>
          <w:rFonts w:ascii="Times New Roman" w:hAnsi="Times New Roman" w:cs="Times New Roman" w:eastAsia="Times New Roman" w:hint="default"/>
          <w:spacing w:val="-2"/>
        </w:rPr>
        <w:t>“</w:t>
      </w:r>
      <w:r>
        <w:rPr>
          <w:spacing w:val="-2"/>
        </w:rPr>
        <w:t>银企汇</w:t>
      </w:r>
      <w:r>
        <w:rPr>
          <w:rFonts w:ascii="Times New Roman" w:hAnsi="Times New Roman" w:cs="Times New Roman" w:eastAsia="Times New Roman" w:hint="default"/>
          <w:spacing w:val="-2"/>
        </w:rPr>
        <w:t>”</w:t>
      </w:r>
      <w:r>
        <w:rPr>
          <w:spacing w:val="-2"/>
        </w:rPr>
        <w:t>产品，从场景整合进化到场景生态构建，打通并实现了旅游服务与金融服务的闭环融</w:t>
      </w:r>
      <w:r>
        <w:rPr>
          <w:spacing w:val="-44"/>
        </w:rPr>
        <w:t> </w:t>
      </w:r>
      <w:r>
        <w:rPr>
          <w:spacing w:val="-44"/>
        </w:rPr>
      </w:r>
      <w:r>
        <w:rPr/>
        <w:t>合，推出互金平台、营销平台、银企聚合三大拳头产品。金融科技的应用重点是基于互联网思维层面的金融生态圈的构建， </w:t>
      </w:r>
      <w:r>
        <w:rPr>
          <w:spacing w:val="-2"/>
        </w:rPr>
        <w:t>公司继续以互联网技术为依托，结合金融市场经验，提前布局普惠金融，以不断开拓获客渠道、提供多样金融产品、大数据</w:t>
      </w:r>
      <w:r>
        <w:rPr>
          <w:spacing w:val="-66"/>
        </w:rPr>
        <w:t> </w:t>
      </w:r>
      <w:r>
        <w:rPr>
          <w:spacing w:val="-66"/>
        </w:rPr>
      </w:r>
      <w:r>
        <w:rPr/>
        <w:t>精准营销为己任，努力提升金融产品的品质和前瞻性，为广大金融客户提供多元化互联网解决方案。</w:t>
      </w:r>
    </w:p>
    <w:p>
      <w:pPr>
        <w:spacing w:line="468" w:lineRule="exact" w:before="12"/>
        <w:ind w:left="633" w:right="0" w:hanging="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、继续完善内部控制环境建设</w:t>
      </w:r>
      <w:r>
        <w:rPr>
          <w:rFonts w:ascii="宋体" w:hAnsi="宋体" w:cs="宋体" w:eastAsia="宋体" w:hint="default"/>
          <w:b/>
          <w:bCs/>
          <w:w w:val="99"/>
          <w:sz w:val="18"/>
          <w:szCs w:val="18"/>
        </w:rPr>
        <w:t> </w:t>
      </w:r>
      <w:r>
        <w:rPr>
          <w:rFonts w:ascii="宋体" w:hAnsi="宋体" w:cs="宋体" w:eastAsia="宋体" w:hint="default"/>
          <w:spacing w:val="-1"/>
          <w:sz w:val="18"/>
          <w:szCs w:val="18"/>
        </w:rPr>
        <w:t>公司自上市以来通过并购重组等方式壮大公司力量，提升公司核心竞争力。公司在完善企业内部治理结构、加强企业</w:t>
      </w:r>
    </w:p>
    <w:p>
      <w:pPr>
        <w:pStyle w:val="BodyText"/>
        <w:spacing w:line="309" w:lineRule="auto" w:before="8"/>
        <w:ind w:right="1130"/>
        <w:jc w:val="both"/>
      </w:pPr>
      <w:r>
        <w:rPr>
          <w:spacing w:val="-2"/>
        </w:rPr>
        <w:t>制度建设的同时，秉承可持续发展的理念，积极筹划股权激励和员工持股计划等内部激励工作。</w:t>
      </w:r>
      <w:r>
        <w:rPr>
          <w:rFonts w:ascii="Times New Roman" w:hAnsi="Times New Roman" w:cs="Times New Roman" w:eastAsia="Times New Roman" w:hint="default"/>
          <w:spacing w:val="-2"/>
        </w:rPr>
        <w:t>2018</w:t>
      </w:r>
      <w:r>
        <w:rPr>
          <w:spacing w:val="-2"/>
        </w:rPr>
        <w:t>年，公司认真学习贯彻</w:t>
      </w:r>
      <w:r>
        <w:rPr>
          <w:spacing w:val="-61"/>
        </w:rPr>
        <w:t> </w:t>
      </w:r>
      <w:r>
        <w:rPr>
          <w:spacing w:val="-61"/>
        </w:rPr>
      </w:r>
      <w:r>
        <w:rPr>
          <w:spacing w:val="-2"/>
        </w:rPr>
        <w:t>十九大精神，不断提炼、升华企业文化体系，强化宣传教育，用先进文化引领企业发展。此外，公司将不断完善内部激励机</w:t>
      </w:r>
      <w:r>
        <w:rPr>
          <w:spacing w:val="-67"/>
        </w:rPr>
        <w:t> </w:t>
      </w:r>
      <w:r>
        <w:rPr>
          <w:spacing w:val="-67"/>
        </w:rPr>
      </w:r>
      <w:r>
        <w:rPr/>
        <w:t>制，加强队伍建设，大力引进人才，全面提升队伍素质，助力公司长期、持续、健康发展。</w:t>
      </w:r>
    </w:p>
    <w:p>
      <w:pPr>
        <w:spacing w:line="468" w:lineRule="exact" w:before="16"/>
        <w:ind w:left="633" w:right="0" w:hanging="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、继续加大</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走出去</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的脚步</w:t>
      </w:r>
      <w:r>
        <w:rPr>
          <w:rFonts w:ascii="宋体" w:hAnsi="宋体" w:cs="宋体" w:eastAsia="宋体" w:hint="default"/>
          <w:b/>
          <w:bCs/>
          <w:w w:val="99"/>
          <w:sz w:val="18"/>
          <w:szCs w:val="18"/>
        </w:rPr>
        <w:t> </w:t>
      </w:r>
      <w:r>
        <w:rPr>
          <w:rFonts w:ascii="宋体" w:hAnsi="宋体" w:cs="宋体" w:eastAsia="宋体" w:hint="default"/>
          <w:spacing w:val="-3"/>
          <w:sz w:val="18"/>
          <w:szCs w:val="18"/>
        </w:rPr>
        <w:t>继</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年以来，公司已瞄准海外市场并开始国际化战略，通过与国际合作伙伴展开深度合作，旨在积极布局海外市场。</w:t>
      </w:r>
    </w:p>
    <w:p>
      <w:pPr>
        <w:pStyle w:val="BodyText"/>
        <w:spacing w:line="309" w:lineRule="auto" w:before="8"/>
        <w:ind w:left="154" w:right="0"/>
        <w:jc w:val="left"/>
      </w:pPr>
      <w:r>
        <w:rPr>
          <w:rFonts w:ascii="Times New Roman" w:hAnsi="Times New Roman" w:cs="Times New Roman" w:eastAsia="Times New Roman" w:hint="default"/>
          <w:spacing w:val="-4"/>
        </w:rPr>
        <w:t>2017</w:t>
      </w:r>
      <w:r>
        <w:rPr>
          <w:spacing w:val="-4"/>
        </w:rPr>
        <w:t>年，公司根据公司当前的经营与发展情况，一直在积极寻找优质且适合公司发展的海外标的，积极拓展公司外延式发展。</w:t>
      </w:r>
      <w:r>
        <w:rPr>
          <w:spacing w:val="-36"/>
        </w:rPr>
        <w:t> </w:t>
      </w:r>
      <w:r>
        <w:rPr>
          <w:spacing w:val="-36"/>
        </w:rPr>
      </w:r>
      <w:r>
        <w:rPr>
          <w:spacing w:val="-2"/>
        </w:rPr>
        <w:t>未来，公司将积极推进国际化进程，继续海外扩张计划，以国内外资源整合手段，建立并不断完善全球化运营管理架构，将</w:t>
      </w:r>
      <w:r>
        <w:rPr>
          <w:spacing w:val="-66"/>
        </w:rPr>
        <w:t> </w:t>
      </w:r>
      <w:r>
        <w:rPr>
          <w:spacing w:val="-66"/>
        </w:rPr>
      </w:r>
      <w:r>
        <w:rPr/>
        <w:t>公司打造成全球化的软件和信息技术服务提供商，树立和提升国际化品牌形象。</w:t>
      </w:r>
    </w:p>
    <w:p>
      <w:pPr>
        <w:spacing w:line="240" w:lineRule="auto" w:before="10"/>
        <w:rPr>
          <w:rFonts w:ascii="宋体" w:hAnsi="宋体" w:cs="宋体" w:eastAsia="宋体" w:hint="default"/>
          <w:sz w:val="13"/>
          <w:szCs w:val="13"/>
        </w:rPr>
      </w:pPr>
    </w:p>
    <w:p>
      <w:pPr>
        <w:pStyle w:val="Heading6"/>
        <w:spacing w:line="240" w:lineRule="auto"/>
        <w:ind w:left="636" w:right="0"/>
        <w:jc w:val="left"/>
        <w:rPr>
          <w:b w:val="0"/>
          <w:bCs w:val="0"/>
        </w:rPr>
      </w:pPr>
      <w:r>
        <w:rPr/>
        <w:t>（四）可能面对的风险</w:t>
      </w:r>
      <w:r>
        <w:rPr>
          <w:b w:val="0"/>
          <w:bCs w:val="0"/>
        </w:rPr>
      </w:r>
    </w:p>
    <w:p>
      <w:pPr>
        <w:pStyle w:val="BodyText"/>
        <w:spacing w:line="450" w:lineRule="atLeast" w:before="31"/>
        <w:ind w:left="634" w:right="0"/>
        <w:jc w:val="left"/>
      </w:pPr>
      <w:r>
        <w:rPr>
          <w:rFonts w:ascii="Times New Roman" w:hAnsi="Times New Roman" w:cs="Times New Roman" w:eastAsia="Times New Roman" w:hint="default"/>
        </w:rPr>
        <w:t>1</w:t>
      </w:r>
      <w:r>
        <w:rPr/>
        <w:t>、市场竞争风险 </w:t>
      </w:r>
      <w:r>
        <w:rPr>
          <w:spacing w:val="-1"/>
        </w:rPr>
        <w:t>软件与信息技术服务行业创新和技术开发迭代速度快，市场竞争激烈。如果公司未来在这些方面不能有效适应市场的</w:t>
      </w:r>
    </w:p>
    <w:p>
      <w:pPr>
        <w:pStyle w:val="BodyText"/>
        <w:spacing w:line="316" w:lineRule="auto" w:before="76"/>
        <w:ind w:left="154" w:right="0"/>
        <w:jc w:val="left"/>
      </w:pPr>
      <w:r>
        <w:rPr>
          <w:spacing w:val="-4"/>
        </w:rPr>
        <w:t>变化，将难以保持已有的优势地位及快速增长的良好趋势。为此，公司将在产品研发、客户服务、人才支撑等方面加大投入，</w:t>
      </w:r>
      <w:r>
        <w:rPr>
          <w:spacing w:val="-44"/>
        </w:rPr>
        <w:t> </w:t>
      </w:r>
      <w:r>
        <w:rPr>
          <w:spacing w:val="-44"/>
        </w:rPr>
      </w:r>
      <w:r>
        <w:rPr/>
        <w:t>保持市场竞争实力。</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33" w:right="0"/>
        <w:jc w:val="left"/>
      </w:pPr>
      <w:r>
        <w:rPr>
          <w:rFonts w:ascii="Times New Roman" w:hAnsi="Times New Roman" w:cs="Times New Roman" w:eastAsia="Times New Roman" w:hint="default"/>
        </w:rPr>
        <w:t>2</w:t>
      </w:r>
      <w:r>
        <w:rPr/>
        <w:t>、技术风险</w:t>
      </w:r>
    </w:p>
    <w:p>
      <w:pPr>
        <w:spacing w:line="240" w:lineRule="auto" w:before="9"/>
        <w:rPr>
          <w:rFonts w:ascii="宋体" w:hAnsi="宋体" w:cs="宋体" w:eastAsia="宋体" w:hint="default"/>
          <w:sz w:val="16"/>
          <w:szCs w:val="16"/>
        </w:rPr>
      </w:pPr>
    </w:p>
    <w:p>
      <w:pPr>
        <w:pStyle w:val="BodyText"/>
        <w:spacing w:line="319" w:lineRule="auto"/>
        <w:ind w:right="0" w:firstLine="480"/>
        <w:jc w:val="left"/>
      </w:pPr>
      <w:r>
        <w:rPr/>
        <w:t>计算机及软件技术的更新及新产品的研发对公司未来发展至关重要。一旦公司对技术、市场发展趋势预测出现偏差或 </w:t>
      </w:r>
      <w:r>
        <w:rPr>
          <w:spacing w:val="-4"/>
        </w:rPr>
        <w:t>不能及时进行技术升级与更新换代，前期的高额投入将无法产生预期效益，公司的技术优势或存在无法保持甚至减弱的可能。</w:t>
      </w:r>
      <w:r>
        <w:rPr>
          <w:spacing w:val="-44"/>
        </w:rPr>
        <w:t> </w:t>
      </w:r>
      <w:r>
        <w:rPr>
          <w:spacing w:val="-44"/>
        </w:rPr>
      </w:r>
      <w:r>
        <w:rPr>
          <w:spacing w:val="-2"/>
        </w:rPr>
        <w:t>为此，公司将全面了解行业技术发展的最新趋势，及时跟踪技术的发展将储备技术开发成符合市场需求的新产品，保持灵活</w:t>
      </w:r>
      <w:r>
        <w:rPr>
          <w:spacing w:val="-66"/>
        </w:rPr>
        <w:t> </w:t>
      </w:r>
      <w:r>
        <w:rPr>
          <w:spacing w:val="-66"/>
        </w:rPr>
      </w:r>
      <w:r>
        <w:rPr>
          <w:spacing w:val="-2"/>
        </w:rPr>
        <w:t>的市场需求反应体系。同时，公司也有核心技术泄密或被侵权的风险，可能对经营产生较大负面影响，对此，公司将加大管</w:t>
      </w:r>
      <w:r>
        <w:rPr>
          <w:spacing w:val="-65"/>
        </w:rPr>
        <w:t> </w:t>
      </w:r>
      <w:r>
        <w:rPr>
          <w:spacing w:val="-65"/>
        </w:rPr>
      </w:r>
      <w:r>
        <w:rPr/>
        <w:t>控力度，尽力避免此类事件的发生。</w:t>
      </w:r>
    </w:p>
    <w:p>
      <w:pPr>
        <w:spacing w:line="240" w:lineRule="auto" w:before="3"/>
        <w:rPr>
          <w:rFonts w:ascii="宋体" w:hAnsi="宋体" w:cs="宋体" w:eastAsia="宋体" w:hint="default"/>
          <w:sz w:val="13"/>
          <w:szCs w:val="13"/>
        </w:rPr>
      </w:pPr>
    </w:p>
    <w:p>
      <w:pPr>
        <w:pStyle w:val="BodyText"/>
        <w:spacing w:line="240" w:lineRule="auto"/>
        <w:ind w:left="634" w:right="0"/>
        <w:jc w:val="left"/>
      </w:pPr>
      <w:r>
        <w:rPr>
          <w:rFonts w:ascii="Times New Roman" w:hAnsi="Times New Roman" w:cs="Times New Roman" w:eastAsia="Times New Roman" w:hint="default"/>
        </w:rPr>
        <w:t>3</w:t>
      </w:r>
      <w:r>
        <w:rPr/>
        <w:t>、人力资源风险</w:t>
      </w:r>
    </w:p>
    <w:p>
      <w:pPr>
        <w:pStyle w:val="BodyText"/>
        <w:spacing w:line="450" w:lineRule="atLeast" w:before="18"/>
        <w:ind w:left="634" w:right="0"/>
        <w:jc w:val="left"/>
      </w:pPr>
      <w:r>
        <w:rPr>
          <w:rFonts w:ascii="Times New Roman" w:hAnsi="Times New Roman" w:cs="Times New Roman" w:eastAsia="Times New Roman" w:hint="default"/>
        </w:rPr>
        <w:t>1</w:t>
      </w:r>
      <w:r>
        <w:rPr/>
        <w:t>）核心人员流失风险 </w:t>
      </w:r>
      <w:r>
        <w:rPr>
          <w:spacing w:val="-3"/>
        </w:rPr>
        <w:t>软件行业属于知识密集、人才密集和技术密集型行业，核心技术与优秀领导团队是维持和提高公司竞争力的核心力量。</w:t>
      </w:r>
    </w:p>
    <w:p>
      <w:pPr>
        <w:pStyle w:val="BodyText"/>
        <w:spacing w:line="316" w:lineRule="auto" w:before="76"/>
        <w:ind w:left="154" w:right="0"/>
        <w:jc w:val="left"/>
      </w:pPr>
      <w:r>
        <w:rPr>
          <w:spacing w:val="-4"/>
        </w:rPr>
        <w:t>公司主要技术骨干流失所带来的风险不可忽视。为此，公司将持续完善薪酬激励政策，激发干事创业的热情，加大培训投入，</w:t>
      </w:r>
      <w:r>
        <w:rPr>
          <w:spacing w:val="-46"/>
        </w:rPr>
        <w:t> </w:t>
      </w:r>
      <w:r>
        <w:rPr>
          <w:spacing w:val="-46"/>
        </w:rPr>
      </w:r>
      <w:r>
        <w:rPr/>
        <w:t>为公司持续发展提供人才储备和保障。</w:t>
      </w:r>
    </w:p>
    <w:p>
      <w:pPr>
        <w:pStyle w:val="BodyText"/>
        <w:spacing w:line="468" w:lineRule="exact" w:before="10"/>
        <w:ind w:left="634" w:right="0"/>
        <w:jc w:val="left"/>
      </w:pPr>
      <w:r>
        <w:rPr>
          <w:rFonts w:ascii="Times New Roman" w:hAnsi="Times New Roman" w:cs="Times New Roman" w:eastAsia="Times New Roman" w:hint="default"/>
        </w:rPr>
        <w:t>2</w:t>
      </w:r>
      <w:r>
        <w:rPr/>
        <w:t>）人力成本上升的风险 </w:t>
      </w:r>
      <w:r>
        <w:rPr>
          <w:spacing w:val="-3"/>
        </w:rPr>
        <w:t>公司发展高度依赖人力资源，人力成本为主要经营成本之一。随着我国经济的持续高速发展和劳动力供需关系的变化，</w:t>
      </w:r>
    </w:p>
    <w:p>
      <w:pPr>
        <w:pStyle w:val="BodyText"/>
        <w:spacing w:line="240" w:lineRule="auto" w:before="8"/>
        <w:ind w:left="154" w:right="0"/>
        <w:jc w:val="left"/>
      </w:pPr>
      <w:r>
        <w:rPr/>
        <w:t>人口红利逐渐消失，劳动力成本逐步提高，公司将面临人力成本上升从而导致利润水平下降的风险。</w:t>
      </w:r>
    </w:p>
    <w:p>
      <w:pPr>
        <w:pStyle w:val="BodyText"/>
        <w:spacing w:line="450" w:lineRule="atLeast" w:before="31"/>
        <w:ind w:left="634" w:right="0"/>
        <w:jc w:val="left"/>
      </w:pPr>
      <w:r>
        <w:rPr>
          <w:rFonts w:ascii="Times New Roman" w:hAnsi="Times New Roman" w:cs="Times New Roman" w:eastAsia="Times New Roman" w:hint="default"/>
        </w:rPr>
        <w:t>4</w:t>
      </w:r>
      <w:r>
        <w:rPr/>
        <w:t>、并购整合风险 </w:t>
      </w:r>
      <w:r>
        <w:rPr>
          <w:spacing w:val="-1"/>
        </w:rPr>
        <w:t>公司将通过并购具有独特竞争力的公司产生协同效应，优化资源配置，增强公司的持续盈利能力。但被并购公司与公</w:t>
      </w:r>
    </w:p>
    <w:p>
      <w:pPr>
        <w:pStyle w:val="BodyText"/>
        <w:spacing w:line="316" w:lineRule="auto" w:before="76"/>
        <w:ind w:left="154" w:right="0"/>
        <w:jc w:val="left"/>
      </w:pPr>
      <w:r>
        <w:rPr>
          <w:spacing w:val="-2"/>
        </w:rPr>
        <w:t>司在业务类型、管理风格等方面的差异可能带来沟通效率低、管理效果差等问题。对此，公司将通过及时优化管理团队，融</w:t>
      </w:r>
      <w:r>
        <w:rPr>
          <w:spacing w:val="-66"/>
        </w:rPr>
        <w:t> </w:t>
      </w:r>
      <w:r>
        <w:rPr>
          <w:spacing w:val="-66"/>
        </w:rPr>
      </w:r>
      <w:r>
        <w:rPr/>
        <w:t>合同构企业文化，最大限度的实现并购预期。</w:t>
      </w:r>
    </w:p>
    <w:p>
      <w:pPr>
        <w:spacing w:line="240" w:lineRule="auto" w:before="10"/>
        <w:rPr>
          <w:rFonts w:ascii="宋体" w:hAnsi="宋体" w:cs="宋体" w:eastAsia="宋体" w:hint="default"/>
          <w:sz w:val="20"/>
          <w:szCs w:val="20"/>
        </w:rPr>
      </w:pPr>
    </w:p>
    <w:p>
      <w:pPr>
        <w:pStyle w:val="Heading2"/>
        <w:spacing w:line="240" w:lineRule="auto"/>
        <w:ind w:left="154" w:right="0"/>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1366"/>
        <w:gridCol w:w="1277"/>
        <w:gridCol w:w="4749"/>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58"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 </w:t>
            </w:r>
            <w:r>
              <w:rPr>
                <w:rFonts w:ascii="宋体" w:hAnsi="宋体" w:cs="宋体" w:eastAsia="宋体" w:hint="default"/>
                <w:spacing w:val="-7"/>
                <w:sz w:val="18"/>
                <w:szCs w:val="18"/>
              </w:rPr>
              <w:t>日投资者关系活动记录表》，刊登于巨潮资</w:t>
            </w:r>
            <w:r>
              <w:rPr>
                <w:rFonts w:ascii="宋体" w:hAnsi="宋体" w:cs="宋体" w:eastAsia="宋体" w:hint="default"/>
                <w:sz w:val="18"/>
                <w:szCs w:val="18"/>
              </w:rPr>
              <w:t> 讯网（</w:t>
            </w:r>
            <w:hyperlink r:id="rId16">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7"/>
                <w:sz w:val="18"/>
                <w:szCs w:val="18"/>
              </w:rPr>
              <w:t>日投资者关系活动记录表》，刊登于巨潮资</w:t>
            </w:r>
            <w:r>
              <w:rPr>
                <w:rFonts w:ascii="宋体" w:hAnsi="宋体" w:cs="宋体" w:eastAsia="宋体" w:hint="default"/>
                <w:sz w:val="18"/>
                <w:szCs w:val="18"/>
              </w:rPr>
              <w:t> 讯网（</w:t>
            </w:r>
            <w:hyperlink r:id="rId16">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公司基本情况、行业发展情况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公司基本情况及近期经营状况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公司基本情况及公司未来战略规划</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日投资者关系活动记录表》，刊登于巨潮</w:t>
            </w:r>
            <w:r>
              <w:rPr>
                <w:rFonts w:ascii="宋体" w:hAnsi="宋体" w:cs="宋体" w:eastAsia="宋体" w:hint="default"/>
                <w:sz w:val="18"/>
                <w:szCs w:val="18"/>
              </w:rPr>
              <w:t> 资讯网（</w:t>
            </w:r>
            <w:hyperlink r:id="rId16">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_TOC_250007" w:id="59"/>
      <w:bookmarkStart w:name="第五节 重要事项" w:id="60"/>
      <w:r>
        <w:rPr>
          <w:b w:val="0"/>
          <w:bCs w:val="0"/>
        </w:rPr>
      </w:r>
      <w:r>
        <w:rPr/>
        <w:t>第五节</w:t>
      </w:r>
      <w:r>
        <w:rPr>
          <w:spacing w:val="-5"/>
        </w:rPr>
        <w:t> </w:t>
      </w:r>
      <w:r>
        <w:rPr/>
        <w:t>重要事项</w:t>
      </w:r>
      <w:bookmarkEnd w:id="59"/>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公司严格按照《公司章程》的规定制定现金分红方案。公司于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日召开第六届董事会第四次会议审议通过了</w:t>
      </w:r>
    </w:p>
    <w:p>
      <w:pPr>
        <w:pStyle w:val="BodyText"/>
        <w:spacing w:line="230" w:lineRule="exact"/>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2016</w:t>
      </w:r>
      <w:r>
        <w:rPr/>
        <w:t>年度利润分配预案》，以公司权益分派登记日的公司股本为股份基数，向全体股东每 </w:t>
      </w:r>
      <w:r>
        <w:rPr>
          <w:rFonts w:ascii="Times New Roman" w:hAnsi="Times New Roman" w:cs="Times New Roman" w:eastAsia="Times New Roman" w:hint="default"/>
        </w:rPr>
        <w:t>10  </w:t>
      </w:r>
      <w:r>
        <w:rPr/>
        <w:t>股派发现金股利人民币</w:t>
      </w:r>
      <w:r>
        <w:rPr>
          <w:spacing w:val="-55"/>
        </w:rPr>
        <w:t> </w:t>
      </w:r>
      <w:r>
        <w:rPr>
          <w:rFonts w:ascii="Times New Roman" w:hAnsi="Times New Roman" w:cs="Times New Roman" w:eastAsia="Times New Roman" w:hint="default"/>
        </w:rPr>
        <w:t>1.5</w:t>
      </w:r>
    </w:p>
    <w:p>
      <w:pPr>
        <w:pStyle w:val="BodyText"/>
        <w:spacing w:line="240" w:lineRule="auto" w:before="63"/>
        <w:ind w:right="0"/>
        <w:jc w:val="left"/>
      </w:pPr>
      <w:r>
        <w:rPr/>
        <w:t>元（含税）；同时，向全体股东每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10</w:t>
      </w:r>
      <w:r>
        <w:rPr/>
        <w:t>股。本方案已于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日实施完毕。</w:t>
      </w:r>
    </w:p>
    <w:p>
      <w:pPr>
        <w:spacing w:line="240" w:lineRule="auto" w:before="13"/>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5081"/>
        <w:gridCol w:w="447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430" w:lineRule="atLeast" w:before="2"/>
        <w:ind w:left="514" w:right="1122"/>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年度利润分配方案 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日召开第五届董事会第三十五次会议审议通过了《</w:t>
      </w:r>
      <w:r>
        <w:rPr>
          <w:rFonts w:ascii="Times New Roman" w:hAnsi="Times New Roman" w:cs="Times New Roman" w:eastAsia="Times New Roman" w:hint="default"/>
        </w:rPr>
        <w:t>2015</w:t>
      </w:r>
      <w:r>
        <w:rPr/>
        <w:t>年度利润分配预案》，以公司权益分派登记</w:t>
      </w:r>
    </w:p>
    <w:p>
      <w:pPr>
        <w:pStyle w:val="BodyText"/>
        <w:spacing w:line="240" w:lineRule="auto" w:before="63"/>
        <w:ind w:left="154" w:right="0"/>
        <w:jc w:val="left"/>
      </w:pPr>
      <w:r>
        <w:rPr/>
        <w:t>日的公司股本为股份基数，向全体股东每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1.50</w:t>
      </w:r>
      <w:r>
        <w:rPr/>
        <w:t>元（含税），共计派发现金股利</w:t>
      </w:r>
      <w:r>
        <w:rPr>
          <w:rFonts w:ascii="Times New Roman" w:hAnsi="Times New Roman" w:cs="Times New Roman" w:eastAsia="Times New Roman" w:hint="default"/>
        </w:rPr>
        <w:t>235,484,067</w:t>
      </w:r>
      <w:r>
        <w:rPr/>
        <w:t>元。本方案已于</w:t>
      </w:r>
    </w:p>
    <w:p>
      <w:pPr>
        <w:pStyle w:val="BodyText"/>
        <w:spacing w:line="240" w:lineRule="auto" w:before="63"/>
        <w:ind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日实施完毕。</w:t>
      </w:r>
    </w:p>
    <w:p>
      <w:pPr>
        <w:pStyle w:val="BodyText"/>
        <w:spacing w:line="430" w:lineRule="atLeast" w:before="2"/>
        <w:ind w:left="514" w:right="112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年度利润分配方案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日召开第六届董事会第四次会议审议通过了《</w:t>
      </w:r>
      <w:r>
        <w:rPr>
          <w:rFonts w:ascii="Times New Roman" w:hAnsi="Times New Roman" w:cs="Times New Roman" w:eastAsia="Times New Roman" w:hint="default"/>
        </w:rPr>
        <w:t>2016</w:t>
      </w:r>
      <w:r>
        <w:rPr/>
        <w:t>年度利润分配预案》，以公司权益分派登记日的</w:t>
      </w:r>
    </w:p>
    <w:p>
      <w:pPr>
        <w:pStyle w:val="BodyText"/>
        <w:spacing w:line="300" w:lineRule="auto" w:before="63"/>
        <w:ind w:right="0"/>
        <w:jc w:val="left"/>
      </w:pPr>
      <w:r>
        <w:rPr>
          <w:spacing w:val="-2"/>
        </w:rPr>
        <w:t>公司股本为股份基数</w:t>
      </w:r>
      <w:r>
        <w:rPr>
          <w:rFonts w:ascii="Times New Roman" w:hAnsi="Times New Roman" w:cs="Times New Roman" w:eastAsia="Times New Roman" w:hint="default"/>
          <w:spacing w:val="-2"/>
        </w:rPr>
        <w:t>,</w:t>
      </w:r>
      <w:r>
        <w:rPr>
          <w:spacing w:val="-2"/>
        </w:rPr>
        <w:t>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1.50</w:t>
      </w:r>
      <w:r>
        <w:rPr>
          <w:spacing w:val="-2"/>
        </w:rPr>
        <w:t>元（含税），同时以送红股方式向全体股东每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10</w:t>
      </w:r>
      <w:r>
        <w:rPr>
          <w:spacing w:val="-2"/>
        </w:rPr>
        <w:t>股，共</w:t>
      </w:r>
      <w:r>
        <w:rPr>
          <w:spacing w:val="-57"/>
        </w:rPr>
        <w:t> </w:t>
      </w:r>
      <w:r>
        <w:rPr>
          <w:spacing w:val="-57"/>
        </w:rPr>
      </w:r>
      <w:r>
        <w:rPr/>
        <w:t>计派发现金股利</w:t>
      </w:r>
      <w:r>
        <w:rPr>
          <w:rFonts w:ascii="Times New Roman" w:hAnsi="Times New Roman" w:cs="Times New Roman" w:eastAsia="Times New Roman" w:hint="default"/>
        </w:rPr>
        <w:t>235,484,067</w:t>
      </w:r>
      <w:r>
        <w:rPr/>
        <w:t>元，红股</w:t>
      </w:r>
      <w:r>
        <w:rPr>
          <w:rFonts w:ascii="Times New Roman" w:hAnsi="Times New Roman" w:cs="Times New Roman" w:eastAsia="Times New Roman" w:hint="default"/>
        </w:rPr>
        <w:t>1,569,893,780</w:t>
      </w:r>
      <w:r>
        <w:rPr/>
        <w:t>股。本方案已于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日实施完毕。</w:t>
      </w:r>
    </w:p>
    <w:p>
      <w:pPr>
        <w:pStyle w:val="BodyText"/>
        <w:spacing w:line="240" w:lineRule="auto" w:before="133"/>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年度利润分配方案</w:t>
      </w:r>
    </w:p>
    <w:p>
      <w:pPr>
        <w:spacing w:line="240" w:lineRule="auto" w:before="13"/>
        <w:rPr>
          <w:rFonts w:ascii="宋体" w:hAnsi="宋体" w:cs="宋体" w:eastAsia="宋体" w:hint="default"/>
          <w:sz w:val="13"/>
          <w:szCs w:val="13"/>
        </w:rPr>
      </w:pPr>
    </w:p>
    <w:p>
      <w:pPr>
        <w:pStyle w:val="BodyText"/>
        <w:spacing w:line="300" w:lineRule="auto"/>
        <w:ind w:right="0" w:firstLine="360"/>
        <w:jc w:val="left"/>
      </w:pPr>
      <w:r>
        <w:rPr>
          <w:spacing w:val="6"/>
        </w:rPr>
        <w:t>公司于</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21</w:t>
      </w:r>
      <w:r>
        <w:rPr>
          <w:spacing w:val="6"/>
        </w:rPr>
        <w:t>日召开第六届董事会第十五次会议审议通过了《</w:t>
      </w:r>
      <w:r>
        <w:rPr>
          <w:rFonts w:ascii="Times New Roman" w:hAnsi="Times New Roman" w:cs="Times New Roman" w:eastAsia="Times New Roman" w:hint="default"/>
          <w:spacing w:val="6"/>
        </w:rPr>
        <w:t>2017</w:t>
      </w:r>
      <w:r>
        <w:rPr>
          <w:spacing w:val="6"/>
        </w:rPr>
        <w:t>年度利润分配预案》，以公司现有总股本</w:t>
      </w:r>
      <w:r>
        <w:rPr/>
        <w:t> </w:t>
      </w:r>
      <w:r>
        <w:rPr>
          <w:rFonts w:ascii="Times New Roman" w:hAnsi="Times New Roman" w:cs="Times New Roman" w:eastAsia="Times New Roman" w:hint="default"/>
        </w:rPr>
        <w:t>3,139,787,560</w:t>
      </w:r>
      <w:r>
        <w:rPr/>
        <w:t>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w:t>
      </w:r>
      <w:r>
        <w:rPr/>
        <w:t>元（含税），该方案尚需提交</w:t>
      </w:r>
      <w:r>
        <w:rPr>
          <w:rFonts w:ascii="Times New Roman" w:hAnsi="Times New Roman" w:cs="Times New Roman" w:eastAsia="Times New Roman" w:hint="default"/>
        </w:rPr>
        <w:t>2017</w:t>
      </w:r>
      <w:r>
        <w:rPr/>
        <w:t>年度股东大会审议批准。</w:t>
      </w:r>
    </w:p>
    <w:p>
      <w:pPr>
        <w:pStyle w:val="BodyText"/>
        <w:spacing w:line="240" w:lineRule="auto" w:before="134"/>
        <w:ind w:left="154"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4"/>
        <w:gridCol w:w="1583"/>
        <w:gridCol w:w="1605"/>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2" w:right="58"/>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43"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25" w:right="0"/>
              <w:jc w:val="left"/>
              <w:rPr>
                <w:rFonts w:ascii="Times New Roman" w:hAnsi="Times New Roman" w:cs="Times New Roman" w:eastAsia="Times New Roman" w:hint="default"/>
                <w:sz w:val="18"/>
                <w:szCs w:val="18"/>
              </w:rPr>
            </w:pPr>
            <w:r>
              <w:rPr>
                <w:rFonts w:ascii="Times New Roman"/>
                <w:sz w:val="18"/>
              </w:rPr>
              <w:t>313,978,756.00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663,799,645.53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47.30%</w:t>
            </w:r>
          </w:p>
        </w:tc>
        <w:tc>
          <w:tcPr>
            <w:tcW w:w="160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235,484,067.00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899,647,231.24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235,484,067.00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1,141,878,403.18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3,139,787,560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313,978,756</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1,815,609,492.72</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r>
              <w:rPr>
                <w:rFonts w:ascii="宋体" w:hAnsi="宋体" w:cs="宋体" w:eastAsia="宋体" w:hint="default"/>
                <w:spacing w:val="1"/>
                <w:sz w:val="18"/>
                <w:szCs w:val="18"/>
              </w:rPr>
              <w:t>开</w:t>
            </w:r>
            <w:r>
              <w:rPr>
                <w:rFonts w:ascii="宋体" w:hAnsi="宋体" w:cs="宋体" w:eastAsia="宋体" w:hint="default"/>
                <w:sz w:val="18"/>
                <w:szCs w:val="18"/>
              </w:rPr>
              <w:t>第六届董事会第十五次会议审议通过了《</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r>
              <w:rPr>
                <w:rFonts w:ascii="宋体" w:hAnsi="宋体" w:cs="宋体" w:eastAsia="宋体" w:hint="default"/>
                <w:spacing w:val="-90"/>
                <w:sz w:val="18"/>
                <w:szCs w:val="18"/>
              </w:rPr>
              <w:t>》</w:t>
            </w:r>
            <w:r>
              <w:rPr>
                <w:rFonts w:ascii="宋体" w:hAnsi="宋体" w:cs="宋体" w:eastAsia="宋体" w:hint="default"/>
                <w:sz w:val="18"/>
                <w:szCs w:val="18"/>
              </w:rPr>
              <w:t>，以公司现有总股本</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3,139,78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,560 </w:t>
            </w:r>
            <w:r>
              <w:rPr>
                <w:rFonts w:ascii="宋体" w:hAnsi="宋体" w:cs="宋体" w:eastAsia="宋体" w:hint="default"/>
                <w:sz w:val="18"/>
                <w:szCs w:val="18"/>
              </w:rPr>
              <w:t>为基数</w:t>
            </w:r>
            <w:r>
              <w:rPr>
                <w:rFonts w:ascii="Times New Roman" w:hAnsi="Times New Roman" w:cs="Times New Roman" w:eastAsia="Times New Roman" w:hint="default"/>
                <w:sz w:val="18"/>
                <w:szCs w:val="18"/>
              </w:rPr>
              <w:t>,</w:t>
            </w:r>
            <w:r>
              <w:rPr>
                <w:rFonts w:ascii="宋体" w:hAnsi="宋体" w:cs="宋体" w:eastAsia="宋体" w:hint="default"/>
                <w:sz w:val="18"/>
                <w:szCs w:val="18"/>
              </w:rPr>
              <w:t>向全</w:t>
            </w:r>
            <w:r>
              <w:rPr>
                <w:rFonts w:ascii="宋体" w:hAnsi="宋体" w:cs="宋体" w:eastAsia="宋体" w:hint="default"/>
                <w:spacing w:val="-2"/>
                <w:sz w:val="18"/>
                <w:szCs w:val="18"/>
              </w:rPr>
              <w:t>体</w:t>
            </w:r>
            <w:r>
              <w:rPr>
                <w:rFonts w:ascii="宋体" w:hAnsi="宋体" w:cs="宋体" w:eastAsia="宋体" w:hint="default"/>
                <w:sz w:val="18"/>
                <w:szCs w:val="18"/>
              </w:rPr>
              <w:t>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，该方案尚需提交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股</w:t>
            </w:r>
            <w:r>
              <w:rPr>
                <w:rFonts w:ascii="宋体" w:hAnsi="宋体" w:cs="宋体" w:eastAsia="宋体" w:hint="default"/>
                <w:sz w:val="18"/>
                <w:szCs w:val="18"/>
              </w:rPr>
              <w:t>东大会审议批准。</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123"/>
        <w:gridCol w:w="2410"/>
        <w:gridCol w:w="1134"/>
        <w:gridCol w:w="2411"/>
        <w:gridCol w:w="850"/>
        <w:gridCol w:w="851"/>
        <w:gridCol w:w="992"/>
      </w:tblGrid>
      <w:tr>
        <w:trPr>
          <w:trHeight w:val="401"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9"/>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142" w:hRule="exact"/>
        </w:trPr>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 w:right="35"/>
              <w:jc w:val="both"/>
              <w:rPr>
                <w:rFonts w:ascii="宋体" w:hAnsi="宋体" w:cs="宋体" w:eastAsia="宋体" w:hint="default"/>
                <w:sz w:val="18"/>
                <w:szCs w:val="18"/>
              </w:rPr>
            </w:pPr>
            <w:r>
              <w:rPr>
                <w:rFonts w:ascii="宋体" w:hAnsi="宋体" w:cs="宋体" w:eastAsia="宋体" w:hint="default"/>
                <w:sz w:val="18"/>
                <w:szCs w:val="18"/>
              </w:rPr>
              <w:t>黄麟雏、侯丹军、侯丹云、程 相利、李宇、白钢、吴勇、范 学义、赫长云、姜永淑、储著 荣、汪汉文、李姝、付琪舒、 闫旭光、王静、秦友奎、姜以 波</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19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2411" w:type="dxa"/>
            <w:vMerge w:val="restart"/>
            <w:tcBorders>
              <w:top w:val="single" w:sz="4" w:space="0" w:color="000000"/>
              <w:left w:val="single" w:sz="4" w:space="0" w:color="000000"/>
              <w:right w:val="single" w:sz="4" w:space="0" w:color="000000"/>
            </w:tcBorders>
          </w:tcPr>
          <w:p>
            <w:pPr>
              <w:pStyle w:val="TableParagraph"/>
              <w:spacing w:line="304" w:lineRule="auto" w:before="52"/>
              <w:ind w:left="23" w:right="21"/>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）北京威锐达测控系统有限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年实现扣除非经常性 损益后归属于母公司股东的净 利润分别不低于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9"/>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6,360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7,632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8,777</w:t>
            </w:r>
          </w:p>
          <w:p>
            <w:pPr>
              <w:pStyle w:val="TableParagraph"/>
              <w:spacing w:line="307" w:lineRule="auto" w:before="63"/>
              <w:ind w:left="23" w:right="35"/>
              <w:jc w:val="both"/>
              <w:rPr>
                <w:rFonts w:ascii="宋体" w:hAnsi="宋体" w:cs="宋体" w:eastAsia="宋体" w:hint="default"/>
                <w:sz w:val="18"/>
                <w:szCs w:val="18"/>
              </w:rPr>
            </w:pP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）本次交易获得的股</w:t>
            </w:r>
            <w:r>
              <w:rPr>
                <w:rFonts w:ascii="宋体" w:hAnsi="宋体" w:cs="宋体" w:eastAsia="宋体" w:hint="default"/>
                <w:spacing w:val="-82"/>
                <w:sz w:val="18"/>
                <w:szCs w:val="18"/>
              </w:rPr>
              <w:t> </w:t>
            </w:r>
            <w:r>
              <w:rPr>
                <w:rFonts w:ascii="宋体" w:hAnsi="宋体" w:cs="宋体" w:eastAsia="宋体" w:hint="default"/>
                <w:sz w:val="18"/>
                <w:szCs w:val="18"/>
              </w:rPr>
              <w:t>份自上市之日起三十六个月内 </w:t>
            </w:r>
            <w:r>
              <w:rPr>
                <w:rFonts w:ascii="宋体" w:hAnsi="宋体" w:cs="宋体" w:eastAsia="宋体" w:hint="default"/>
                <w:spacing w:val="-7"/>
                <w:sz w:val="18"/>
                <w:szCs w:val="18"/>
              </w:rPr>
              <w:t>不得转让；（</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）避免同业竞争</w:t>
            </w:r>
            <w:r>
              <w:rPr>
                <w:rFonts w:ascii="宋体" w:hAnsi="宋体" w:cs="宋体" w:eastAsia="宋体" w:hint="default"/>
                <w:spacing w:val="-82"/>
                <w:sz w:val="18"/>
                <w:szCs w:val="18"/>
              </w:rPr>
              <w:t> </w:t>
            </w:r>
            <w:r>
              <w:rPr>
                <w:rFonts w:ascii="宋体" w:hAnsi="宋体" w:cs="宋体" w:eastAsia="宋体" w:hint="default"/>
                <w:sz w:val="18"/>
                <w:szCs w:val="18"/>
              </w:rPr>
              <w:t>的承诺。</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59"/>
              <w:jc w:val="left"/>
              <w:rPr>
                <w:rFonts w:ascii="宋体" w:hAnsi="宋体" w:cs="宋体" w:eastAsia="宋体" w:hint="default"/>
                <w:sz w:val="18"/>
                <w:szCs w:val="18"/>
              </w:rPr>
            </w:pPr>
            <w:r>
              <w:rPr>
                <w:rFonts w:ascii="宋体" w:hAnsi="宋体" w:cs="宋体" w:eastAsia="宋体" w:hint="default"/>
                <w:sz w:val="18"/>
                <w:szCs w:val="18"/>
              </w:rPr>
              <w:t>承诺已履行 完毕</w:t>
            </w:r>
          </w:p>
        </w:tc>
      </w:tr>
      <w:tr>
        <w:trPr>
          <w:trHeight w:val="1329" w:hRule="exact"/>
        </w:trPr>
        <w:tc>
          <w:tcPr>
            <w:tcW w:w="11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01"/>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2410"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24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r>
      <w:tr>
        <w:trPr>
          <w:trHeight w:val="739" w:hRule="exact"/>
        </w:trPr>
        <w:tc>
          <w:tcPr>
            <w:tcW w:w="1123" w:type="dxa"/>
            <w:vMerge w:val="restart"/>
            <w:tcBorders>
              <w:top w:val="nil" w:sz="6" w:space="0" w:color="auto"/>
              <w:left w:val="single" w:sz="4" w:space="0" w:color="000000"/>
              <w:right w:val="single" w:sz="4" w:space="0" w:color="000000"/>
            </w:tcBorders>
            <w:shd w:val="clear" w:color="auto" w:fill="D2D2D2"/>
          </w:tcPr>
          <w:p>
            <w:pPr/>
          </w:p>
        </w:tc>
        <w:tc>
          <w:tcPr>
            <w:tcW w:w="2410"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4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r>
      <w:tr>
        <w:trPr>
          <w:trHeight w:val="403" w:hRule="exact"/>
        </w:trPr>
        <w:tc>
          <w:tcPr>
            <w:tcW w:w="1123" w:type="dxa"/>
            <w:vMerge/>
            <w:tcBorders>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
              <w:jc w:val="center"/>
              <w:rPr>
                <w:rFonts w:ascii="宋体" w:hAnsi="宋体" w:cs="宋体" w:eastAsia="宋体" w:hint="default"/>
                <w:sz w:val="18"/>
                <w:szCs w:val="18"/>
              </w:rPr>
            </w:pPr>
            <w:r>
              <w:rPr>
                <w:rFonts w:ascii="宋体" w:hAnsi="宋体" w:cs="宋体" w:eastAsia="宋体" w:hint="default"/>
                <w:sz w:val="18"/>
                <w:szCs w:val="18"/>
              </w:rPr>
              <w:t>章云芳、刘玉龙、苏美娴、杨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8"/>
              <w:jc w:val="right"/>
              <w:rPr>
                <w:rFonts w:ascii="宋体" w:hAnsi="宋体" w:cs="宋体" w:eastAsia="宋体" w:hint="default"/>
                <w:sz w:val="18"/>
                <w:szCs w:val="18"/>
              </w:rPr>
            </w:pPr>
            <w:r>
              <w:rPr>
                <w:rFonts w:ascii="宋体" w:hAnsi="宋体" w:cs="宋体" w:eastAsia="宋体" w:hint="default"/>
                <w:sz w:val="18"/>
                <w:szCs w:val="18"/>
              </w:rPr>
              <w:t>业绩承诺及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）业绩承诺方（章云芳、刘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405.279999pt;margin-top:90.11998pt;width:48.15pt;height:171.65pt;mso-position-horizontal-relative:page;mso-position-vertical-relative:page;z-index:-1041736" type="#_x0000_t202" filled="false" stroked="false">
            <v:textbox inset="0,0,0,0">
              <w:txbxContent>
                <w:p>
                  <w:pPr>
                    <w:pStyle w:val="BodyText"/>
                    <w:spacing w:line="205" w:lineRule="exact"/>
                    <w:ind w:left="0" w:right="0"/>
                    <w:jc w:val="left"/>
                  </w:pPr>
                  <w:r>
                    <w:rPr/>
                    <w:t>、</w:t>
                  </w:r>
                </w:p>
              </w:txbxContent>
            </v:textbox>
            <w10:wrap type="none"/>
          </v:shape>
        </w:pict>
      </w:r>
      <w:r>
        <w:rPr/>
        <w:pict>
          <v:group style="position:absolute;margin-left:235.339996pt;margin-top:287.599976pt;width:53.9pt;height:31.2pt;mso-position-horizontal-relative:page;mso-position-vertical-relative:page;z-index:-1041712" coordorigin="4707,5752" coordsize="1078,624">
            <v:group style="position:absolute;left:4707;top:5752;width:1078;height:312" coordorigin="4707,5752" coordsize="1078,312">
              <v:shape style="position:absolute;left:4707;top:5752;width:1078;height:312" coordorigin="4707,5752" coordsize="1078,312" path="m4707,6064l5785,6064,5785,5752,4707,5752,4707,6064xe" filled="true" fillcolor="#ffffff" stroked="false">
                <v:path arrowok="t"/>
                <v:fill type="solid"/>
              </v:shape>
            </v:group>
            <v:group style="position:absolute;left:4707;top:6064;width:1078;height:312" coordorigin="4707,6064" coordsize="1078,312">
              <v:shape style="position:absolute;left:4707;top:6064;width:1078;height:312" coordorigin="4707,6064" coordsize="1078,312" path="m4707,6376l5785,6376,5785,6064,4707,6064,4707,6376xe" filled="true" fillcolor="#ffffff" stroked="false">
                <v:path arrowok="t"/>
                <v:fill type="solid"/>
              </v:shape>
            </v:group>
            <w10:wrap type="none"/>
          </v:group>
        </w:pict>
      </w:r>
      <w:r>
        <w:rPr/>
        <w:pict>
          <v:group style="position:absolute;margin-left:405.459991pt;margin-top:670.659973pt;width:39.75pt;height:17.6pt;mso-position-horizontal-relative:page;mso-position-vertical-relative:page;z-index:-1041664" coordorigin="8109,13413" coordsize="795,352">
            <v:shape style="position:absolute;left:8109;top:13413;width:795;height:352" coordorigin="8109,13413" coordsize="795,352" path="m8109,13765l8904,13765,8904,13413,8109,13413,8109,1376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134"/>
        <w:gridCol w:w="2410"/>
        <w:gridCol w:w="1134"/>
        <w:gridCol w:w="2411"/>
        <w:gridCol w:w="850"/>
        <w:gridCol w:w="851"/>
        <w:gridCol w:w="992"/>
      </w:tblGrid>
      <w:tr>
        <w:trPr>
          <w:trHeight w:val="379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5"/>
              <w:jc w:val="both"/>
              <w:rPr>
                <w:rFonts w:ascii="宋体" w:hAnsi="宋体" w:cs="宋体" w:eastAsia="宋体" w:hint="default"/>
                <w:sz w:val="18"/>
                <w:szCs w:val="18"/>
              </w:rPr>
            </w:pPr>
            <w:r>
              <w:rPr>
                <w:rFonts w:ascii="宋体" w:hAnsi="宋体" w:cs="宋体" w:eastAsia="宋体" w:hint="default"/>
                <w:sz w:val="18"/>
                <w:szCs w:val="18"/>
              </w:rPr>
              <w:t>铭、李旭东、红塔创新投资股 份有限公司、深圳市招商局科 技投资有限公司、深圳市光启 松禾超材料创业投资合伙企业</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pacing w:val="-12"/>
                <w:sz w:val="18"/>
                <w:szCs w:val="18"/>
              </w:rPr>
              <w:t>（有限合伙）、新疆锦尚睦合股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权投资有限合伙企业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补偿安排</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35"/>
              <w:jc w:val="left"/>
              <w:rPr>
                <w:rFonts w:ascii="宋体" w:hAnsi="宋体" w:cs="宋体" w:eastAsia="宋体" w:hint="default"/>
                <w:sz w:val="18"/>
                <w:szCs w:val="18"/>
              </w:rPr>
            </w:pPr>
            <w:r>
              <w:rPr>
                <w:rFonts w:ascii="宋体" w:hAnsi="宋体" w:cs="宋体" w:eastAsia="宋体" w:hint="default"/>
                <w:sz w:val="18"/>
                <w:szCs w:val="18"/>
              </w:rPr>
              <w:t>玉龙、杨铭、苏美娴）承诺标 的资产</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pacing w:val="-15"/>
                <w:sz w:val="18"/>
                <w:szCs w:val="18"/>
              </w:rPr>
              <w:t>年、</w:t>
            </w:r>
            <w:r>
              <w:rPr>
                <w:rFonts w:ascii="Times New Roman" w:hAnsi="Times New Roman" w:cs="Times New Roman" w:eastAsia="Times New Roman" w:hint="default"/>
                <w:spacing w:val="-15"/>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pacing w:val="-15"/>
                <w:sz w:val="18"/>
                <w:szCs w:val="18"/>
              </w:rPr>
              <w:t>年、</w:t>
            </w:r>
            <w:r>
              <w:rPr>
                <w:rFonts w:ascii="Times New Roman" w:hAnsi="Times New Roman" w:cs="Times New Roman" w:eastAsia="Times New Roman" w:hint="default"/>
                <w:spacing w:val="-15"/>
                <w:sz w:val="18"/>
                <w:szCs w:val="18"/>
              </w:rPr>
              <w:t>2016</w:t>
            </w:r>
            <w:r>
              <w:rPr>
                <w:rFonts w:ascii="Times New Roman" w:hAnsi="Times New Roman" w:cs="Times New Roman" w:eastAsia="Times New Roman" w:hint="default"/>
                <w:sz w:val="18"/>
                <w:szCs w:val="18"/>
              </w:rPr>
              <w:t> 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年实现扣除非经常性损 益后归属于母公司股东的净利 润分别不低于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8,438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12,653</w:t>
            </w:r>
          </w:p>
          <w:p>
            <w:pPr>
              <w:pStyle w:val="TableParagraph"/>
              <w:spacing w:line="307" w:lineRule="auto" w:before="63"/>
              <w:ind w:left="23" w:right="35"/>
              <w:jc w:val="left"/>
              <w:rPr>
                <w:rFonts w:ascii="宋体" w:hAnsi="宋体" w:cs="宋体" w:eastAsia="宋体" w:hint="default"/>
                <w:sz w:val="18"/>
                <w:szCs w:val="18"/>
              </w:rPr>
            </w:pP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）本次交易获得的股</w:t>
            </w:r>
            <w:r>
              <w:rPr>
                <w:rFonts w:ascii="宋体" w:hAnsi="宋体" w:cs="宋体" w:eastAsia="宋体" w:hint="default"/>
                <w:spacing w:val="-82"/>
                <w:sz w:val="18"/>
                <w:szCs w:val="18"/>
              </w:rPr>
              <w:t> </w:t>
            </w:r>
            <w:r>
              <w:rPr>
                <w:rFonts w:ascii="宋体" w:hAnsi="宋体" w:cs="宋体" w:eastAsia="宋体" w:hint="default"/>
                <w:sz w:val="18"/>
                <w:szCs w:val="18"/>
              </w:rPr>
              <w:t>份自上市之日起三十六个月内 </w:t>
            </w:r>
            <w:r>
              <w:rPr>
                <w:rFonts w:ascii="宋体" w:hAnsi="宋体" w:cs="宋体" w:eastAsia="宋体" w:hint="default"/>
                <w:spacing w:val="-7"/>
                <w:sz w:val="18"/>
                <w:szCs w:val="18"/>
              </w:rPr>
              <w:t>不得转让；（</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）避免同业竞争</w:t>
            </w:r>
            <w:r>
              <w:rPr>
                <w:rFonts w:ascii="宋体" w:hAnsi="宋体" w:cs="宋体" w:eastAsia="宋体" w:hint="default"/>
                <w:spacing w:val="-82"/>
                <w:sz w:val="18"/>
                <w:szCs w:val="18"/>
              </w:rPr>
              <w:t> </w:t>
            </w:r>
            <w:r>
              <w:rPr>
                <w:rFonts w:ascii="宋体" w:hAnsi="宋体" w:cs="宋体" w:eastAsia="宋体" w:hint="default"/>
                <w:sz w:val="18"/>
                <w:szCs w:val="18"/>
              </w:rPr>
              <w:t>的承诺；</w:t>
            </w:r>
            <w:r>
              <w:rPr>
                <w:rFonts w:ascii="Times New Roman" w:hAnsi="Times New Roman" w:cs="Times New Roman" w:eastAsia="Times New Roman" w:hint="default"/>
                <w:sz w:val="18"/>
                <w:szCs w:val="18"/>
              </w:rPr>
              <w:t>(4) </w:t>
            </w:r>
            <w:r>
              <w:rPr>
                <w:rFonts w:ascii="宋体" w:hAnsi="宋体" w:cs="宋体" w:eastAsia="宋体" w:hint="default"/>
                <w:sz w:val="18"/>
                <w:szCs w:val="18"/>
              </w:rPr>
              <w:t>未实现盈利预测 按补偿安排对本公司进行补 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13"/>
              <w:ind w:right="0"/>
              <w:jc w:val="left"/>
              <w:rPr>
                <w:rFonts w:ascii="宋体" w:hAnsi="宋体" w:cs="宋体" w:eastAsia="宋体" w:hint="default"/>
                <w:sz w:val="26"/>
                <w:szCs w:val="26"/>
              </w:rPr>
            </w:pPr>
          </w:p>
          <w:p>
            <w:pPr>
              <w:pStyle w:val="TableParagraph"/>
              <w:spacing w:line="3432" w:lineRule="exact"/>
              <w:ind w:right="-50"/>
              <w:jc w:val="left"/>
              <w:rPr>
                <w:rFonts w:ascii="宋体" w:hAnsi="宋体" w:cs="宋体" w:eastAsia="宋体" w:hint="default"/>
                <w:sz w:val="20"/>
                <w:szCs w:val="20"/>
              </w:rPr>
            </w:pPr>
            <w:r>
              <w:rPr>
                <w:rFonts w:ascii="宋体" w:hAnsi="宋体" w:cs="宋体" w:eastAsia="宋体" w:hint="default"/>
                <w:position w:val="-68"/>
                <w:sz w:val="20"/>
                <w:szCs w:val="20"/>
              </w:rPr>
              <w:pict>
                <v:group style="width:42pt;height:171.65pt;mso-position-horizontal-relative:char;mso-position-vertical-relative:line" coordorigin="0,0" coordsize="840,3433">
                  <v:group style="position:absolute;left:0;top:0;width:840;height:3433" coordorigin="0,0" coordsize="840,3433">
                    <v:shape style="position:absolute;left:0;top:0;width:840;height:3433" coordorigin="0,0" coordsize="840,3433" path="m0,3432l840,3432,840,0,0,0,0,3432xe" filled="true" fillcolor="#ffffff" stroked="false">
                      <v:path arrowok="t"/>
                      <v:fill type="solid"/>
                    </v:shape>
                  </v:group>
                </v:group>
              </w:pict>
            </w:r>
            <w:r>
              <w:rPr>
                <w:rFonts w:ascii="宋体" w:hAnsi="宋体" w:cs="宋体" w:eastAsia="宋体" w:hint="default"/>
                <w:position w:val="-68"/>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19" w:lineRule="auto"/>
              <w:ind w:left="22" w:right="20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241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薛向东、北京东华诚信电脑科 技发展有限公司、北京东华诚 </w:t>
            </w:r>
            <w:r>
              <w:rPr>
                <w:rFonts w:ascii="宋体" w:hAnsi="宋体" w:cs="宋体" w:eastAsia="宋体" w:hint="default"/>
                <w:spacing w:val="-7"/>
                <w:sz w:val="18"/>
                <w:szCs w:val="18"/>
              </w:rPr>
              <w:t>信工业设备中心（有限合伙）</w:t>
            </w:r>
            <w:r>
              <w:rPr>
                <w:rFonts w:ascii="宋体" w:hAnsi="宋体" w:cs="宋体" w:eastAsia="宋体" w:hint="default"/>
                <w:spacing w:val="-90"/>
                <w:sz w:val="18"/>
                <w:szCs w:val="18"/>
              </w:rPr>
              <w:t> </w:t>
            </w:r>
            <w:r>
              <w:rPr>
                <w:rFonts w:ascii="宋体" w:hAnsi="宋体" w:cs="宋体" w:eastAsia="宋体" w:hint="default"/>
                <w:sz w:val="18"/>
                <w:szCs w:val="18"/>
              </w:rPr>
              <w:t>北京合创电商投资顾问中心</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310" w:lineRule="atLeast" w:before="133"/>
              <w:ind w:left="12" w:right="198"/>
              <w:jc w:val="left"/>
              <w:rPr>
                <w:rFonts w:ascii="宋体" w:hAnsi="宋体" w:cs="宋体" w:eastAsia="宋体" w:hint="default"/>
                <w:sz w:val="18"/>
                <w:szCs w:val="18"/>
              </w:rPr>
            </w:pPr>
            <w:r>
              <w:rPr>
                <w:rFonts w:ascii="宋体" w:hAnsi="宋体" w:cs="宋体" w:eastAsia="宋体" w:hint="default"/>
                <w:sz w:val="18"/>
                <w:szCs w:val="18"/>
              </w:rPr>
              <w:t>关于同业竞 争、关联交</w:t>
            </w:r>
          </w:p>
          <w:p>
            <w:pPr>
              <w:pStyle w:val="TableParagraph"/>
              <w:spacing w:line="116" w:lineRule="exact"/>
              <w:ind w:left="-14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易、资金占用</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不竞争承诺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0"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薛向东、北京东华诚信电脑科 技发展有限公司、北京东华诚 </w:t>
            </w:r>
            <w:r>
              <w:rPr>
                <w:rFonts w:ascii="宋体" w:hAnsi="宋体" w:cs="宋体" w:eastAsia="宋体" w:hint="default"/>
                <w:spacing w:val="-7"/>
                <w:sz w:val="18"/>
                <w:szCs w:val="18"/>
              </w:rPr>
              <w:t>信工业设备中心（有限合伙）</w:t>
            </w:r>
            <w:r>
              <w:rPr>
                <w:rFonts w:ascii="宋体" w:hAnsi="宋体" w:cs="宋体" w:eastAsia="宋体" w:hint="default"/>
                <w:spacing w:val="-90"/>
                <w:sz w:val="18"/>
                <w:szCs w:val="18"/>
              </w:rPr>
              <w:t> </w:t>
            </w:r>
            <w:r>
              <w:rPr>
                <w:rFonts w:ascii="宋体" w:hAnsi="宋体" w:cs="宋体" w:eastAsia="宋体" w:hint="default"/>
                <w:sz w:val="18"/>
                <w:szCs w:val="18"/>
              </w:rPr>
              <w:t>北京合创电商投资顾问中心</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310" w:lineRule="atLeast" w:before="133"/>
              <w:ind w:left="12" w:right="198"/>
              <w:jc w:val="left"/>
              <w:rPr>
                <w:rFonts w:ascii="宋体" w:hAnsi="宋体" w:cs="宋体" w:eastAsia="宋体" w:hint="default"/>
                <w:sz w:val="18"/>
                <w:szCs w:val="18"/>
              </w:rPr>
            </w:pPr>
            <w:r>
              <w:rPr>
                <w:rFonts w:ascii="宋体" w:hAnsi="宋体" w:cs="宋体" w:eastAsia="宋体" w:hint="default"/>
                <w:sz w:val="18"/>
                <w:szCs w:val="18"/>
              </w:rPr>
              <w:t>关于同业竞 争、关联交</w:t>
            </w:r>
          </w:p>
          <w:p>
            <w:pPr>
              <w:pStyle w:val="TableParagraph"/>
              <w:spacing w:line="116" w:lineRule="exact"/>
              <w:ind w:left="-14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易、资金占用</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避免同业竞争承诺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64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3"/>
        <w:spacing w:line="259" w:lineRule="auto" w:before="35"/>
        <w:ind w:left="154" w:right="0"/>
        <w:jc w:val="left"/>
        <w:rPr>
          <w:b w:val="0"/>
          <w:bCs w:val="0"/>
        </w:rPr>
      </w:pPr>
      <w:r>
        <w:rPr/>
        <w:pict>
          <v:group style="position:absolute;margin-left:235.339996pt;margin-top:-105.406334pt;width:53.9pt;height:31.2pt;mso-position-horizontal-relative:page;mso-position-vertical-relative:paragraph;z-index:-1041688" coordorigin="4707,-2108" coordsize="1078,624">
            <v:group style="position:absolute;left:4707;top:-2108;width:1078;height:312" coordorigin="4707,-2108" coordsize="1078,312">
              <v:shape style="position:absolute;left:4707;top:-2108;width:1078;height:312" coordorigin="4707,-2108" coordsize="1078,312" path="m4707,-1796l5785,-1796,5785,-2108,4707,-2108,4707,-1796xe" filled="true" fillcolor="#ffffff" stroked="false">
                <v:path arrowok="t"/>
                <v:fill type="solid"/>
              </v:shape>
            </v:group>
            <v:group style="position:absolute;left:4707;top:-1796;width:1078;height:312" coordorigin="4707,-1796" coordsize="1078,312">
              <v:shape style="position:absolute;left:4707;top:-1796;width:1078;height:312" coordorigin="4707,-1796" coordsize="1078,312" path="m4707,-1484l5785,-1484,5785,-1796,4707,-1796,4707,-1484xe" filled="true" fillcolor="#ffffff" stroked="false">
                <v:path arrowok="t"/>
                <v:fill type="solid"/>
              </v:shape>
            </v:group>
            <w10:wrap type="none"/>
          </v:group>
        </w:pict>
      </w: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10"/>
        <w:gridCol w:w="851"/>
        <w:gridCol w:w="850"/>
        <w:gridCol w:w="709"/>
        <w:gridCol w:w="710"/>
        <w:gridCol w:w="3118"/>
        <w:gridCol w:w="852"/>
        <w:gridCol w:w="1842"/>
      </w:tblGrid>
      <w:tr>
        <w:trPr>
          <w:trHeight w:val="1337"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both"/>
              <w:rPr>
                <w:rFonts w:ascii="宋体" w:hAnsi="宋体" w:cs="宋体" w:eastAsia="宋体" w:hint="default"/>
                <w:sz w:val="18"/>
                <w:szCs w:val="18"/>
              </w:rPr>
            </w:pPr>
            <w:r>
              <w:rPr>
                <w:rFonts w:ascii="宋体" w:hAnsi="宋体" w:cs="宋体" w:eastAsia="宋体" w:hint="default"/>
                <w:sz w:val="18"/>
                <w:szCs w:val="18"/>
              </w:rPr>
              <w:t>盈利预 测资产 或项目 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0" w:right="77"/>
              <w:jc w:val="left"/>
              <w:rPr>
                <w:rFonts w:ascii="宋体" w:hAnsi="宋体" w:cs="宋体" w:eastAsia="宋体" w:hint="default"/>
                <w:sz w:val="18"/>
                <w:szCs w:val="18"/>
              </w:rPr>
            </w:pPr>
            <w:r>
              <w:rPr>
                <w:rFonts w:ascii="宋体" w:hAnsi="宋体" w:cs="宋体" w:eastAsia="宋体" w:hint="default"/>
                <w:sz w:val="18"/>
                <w:szCs w:val="18"/>
              </w:rPr>
              <w:t>当期预 测业绩</w:t>
            </w:r>
          </w:p>
          <w:p>
            <w:pPr>
              <w:pStyle w:val="TableParagraph"/>
              <w:spacing w:line="240" w:lineRule="auto" w:before="20"/>
              <w:ind w:left="23" w:right="-45"/>
              <w:jc w:val="left"/>
              <w:rPr>
                <w:rFonts w:ascii="宋体" w:hAnsi="宋体" w:cs="宋体" w:eastAsia="宋体" w:hint="default"/>
                <w:sz w:val="18"/>
                <w:szCs w:val="18"/>
              </w:rPr>
            </w:pPr>
            <w:r>
              <w:rPr>
                <w:rFonts w:ascii="宋体" w:hAnsi="宋体" w:cs="宋体" w:eastAsia="宋体" w:hint="default"/>
                <w:sz w:val="18"/>
                <w:szCs w:val="18"/>
              </w:rPr>
              <w:t>（万元）</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当期实 际业绩</w:t>
            </w:r>
          </w:p>
          <w:p>
            <w:pPr>
              <w:pStyle w:val="TableParagraph"/>
              <w:spacing w:line="240" w:lineRule="auto" w:before="20"/>
              <w:ind w:left="22" w:right="-43"/>
              <w:jc w:val="left"/>
              <w:rPr>
                <w:rFonts w:ascii="宋体" w:hAnsi="宋体" w:cs="宋体" w:eastAsia="宋体" w:hint="default"/>
                <w:sz w:val="18"/>
                <w:szCs w:val="18"/>
              </w:rPr>
            </w:pPr>
            <w:r>
              <w:rPr>
                <w:rFonts w:ascii="宋体" w:hAnsi="宋体" w:cs="宋体" w:eastAsia="宋体" w:hint="default"/>
                <w:sz w:val="18"/>
                <w:szCs w:val="18"/>
              </w:rPr>
              <w:t>（万元）</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1" w:right="59"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3171"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35"/>
              <w:jc w:val="both"/>
              <w:rPr>
                <w:rFonts w:ascii="宋体" w:hAnsi="宋体" w:cs="宋体" w:eastAsia="宋体" w:hint="default"/>
                <w:sz w:val="18"/>
                <w:szCs w:val="18"/>
              </w:rPr>
            </w:pPr>
            <w:r>
              <w:rPr>
                <w:rFonts w:ascii="宋体" w:hAnsi="宋体" w:cs="宋体" w:eastAsia="宋体" w:hint="default"/>
                <w:sz w:val="18"/>
                <w:szCs w:val="18"/>
              </w:rPr>
              <w:t>深圳市 至高通 信技术 发展有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12,653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1,014.01</w:t>
            </w:r>
          </w:p>
        </w:tc>
        <w:tc>
          <w:tcPr>
            <w:tcW w:w="311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根据上市公司董事会及管理层的分析， 至高通信的主营业务为以定制化、专业 化的移动终端及应用软件为载体、协助 客户构建安全、高效的移动业务运营及 </w:t>
            </w:r>
            <w:r>
              <w:rPr>
                <w:rFonts w:ascii="宋体" w:hAnsi="宋体" w:cs="宋体" w:eastAsia="宋体" w:hint="default"/>
                <w:spacing w:val="-7"/>
                <w:sz w:val="18"/>
                <w:szCs w:val="18"/>
              </w:rPr>
              <w:t>管理平台。至高通信致力于金融、军警、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政府等领域发展，以客户需求为导向，</w:t>
            </w:r>
            <w:r>
              <w:rPr>
                <w:rFonts w:ascii="宋体" w:hAnsi="宋体" w:cs="宋体" w:eastAsia="宋体" w:hint="default"/>
                <w:sz w:val="18"/>
                <w:szCs w:val="18"/>
              </w:rPr>
              <w:t> 深入挖掘客户需求并推出了金融移动业 务办理、警务稽查执法、军用特种移动 通讯等多种解决方案。报告期内，在警 用终端市场方面，由于受通用型终端厂</w:t>
            </w:r>
          </w:p>
        </w:tc>
        <w:tc>
          <w:tcPr>
            <w:tcW w:w="85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pacing w:val="-2"/>
                <w:sz w:val="18"/>
                <w:szCs w:val="18"/>
              </w:rPr>
              <w:t>详见刊登于《中国证券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2"/>
                <w:sz w:val="18"/>
                <w:szCs w:val="18"/>
              </w:rPr>
              <w:t>报》、《证券日报》、《证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券时报》及巨潮资讯网</w:t>
            </w:r>
          </w:p>
          <w:p>
            <w:pPr>
              <w:pStyle w:val="TableParagraph"/>
              <w:spacing w:line="314"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www.cninfo.com.cn) </w:t>
            </w:r>
            <w:r>
              <w:rPr>
                <w:rFonts w:ascii="宋体" w:hAnsi="宋体" w:cs="宋体" w:eastAsia="宋体" w:hint="default"/>
                <w:spacing w:val="-2"/>
                <w:sz w:val="18"/>
                <w:szCs w:val="18"/>
              </w:rPr>
              <w:t>上的《东华软件股份公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司关于发行股份及支 付现金购买资产相关 方承诺事项的公告》</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10"/>
        <w:gridCol w:w="851"/>
        <w:gridCol w:w="850"/>
        <w:gridCol w:w="709"/>
        <w:gridCol w:w="710"/>
        <w:gridCol w:w="3118"/>
        <w:gridCol w:w="852"/>
        <w:gridCol w:w="1842"/>
      </w:tblGrid>
      <w:tr>
        <w:trPr>
          <w:trHeight w:val="317" w:hRule="exact"/>
        </w:trPr>
        <w:tc>
          <w:tcPr>
            <w:tcW w:w="71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3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家的冲击导致警用设备采购力度减弱；</w:t>
            </w:r>
          </w:p>
        </w:tc>
        <w:tc>
          <w:tcPr>
            <w:tcW w:w="852" w:type="dxa"/>
            <w:vMerge w:val="restart"/>
            <w:tcBorders>
              <w:top w:val="single" w:sz="4" w:space="0" w:color="000000"/>
              <w:left w:val="single" w:sz="4" w:space="0" w:color="000000"/>
              <w:right w:val="single" w:sz="4" w:space="0" w:color="000000"/>
            </w:tcBorders>
          </w:tcPr>
          <w:p>
            <w:pPr/>
          </w:p>
        </w:tc>
        <w:tc>
          <w:tcPr>
            <w:tcW w:w="1842" w:type="dxa"/>
            <w:vMerge w:val="restart"/>
            <w:tcBorders>
              <w:top w:val="single" w:sz="4" w:space="0" w:color="000000"/>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在军用产品智能终端市场方面，受军改</w:t>
            </w:r>
          </w:p>
        </w:tc>
        <w:tc>
          <w:tcPr>
            <w:tcW w:w="852"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等因素影响导致军用产品列装评审与落</w:t>
            </w:r>
          </w:p>
        </w:tc>
        <w:tc>
          <w:tcPr>
            <w:tcW w:w="852"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地时间延迟。同时，由于银行硬件设备</w:t>
            </w:r>
          </w:p>
        </w:tc>
        <w:tc>
          <w:tcPr>
            <w:tcW w:w="852"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r>
      <w:tr>
        <w:trPr>
          <w:trHeight w:val="312" w:hRule="exact"/>
        </w:trPr>
        <w:tc>
          <w:tcPr>
            <w:tcW w:w="71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投资放缓且招标流程复杂导致其合同数</w:t>
            </w:r>
          </w:p>
        </w:tc>
        <w:tc>
          <w:tcPr>
            <w:tcW w:w="852"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r>
      <w:tr>
        <w:trPr>
          <w:trHeight w:val="313" w:hRule="exact"/>
        </w:trPr>
        <w:tc>
          <w:tcPr>
            <w:tcW w:w="71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量递减。以上原因使得至高通信业务开</w:t>
            </w:r>
          </w:p>
        </w:tc>
        <w:tc>
          <w:tcPr>
            <w:tcW w:w="852" w:type="dxa"/>
            <w:vMerge/>
            <w:tcBorders>
              <w:left w:val="single" w:sz="4" w:space="0" w:color="000000"/>
              <w:right w:val="single" w:sz="4" w:space="0" w:color="000000"/>
            </w:tcBorders>
          </w:tcPr>
          <w:p>
            <w:pPr/>
          </w:p>
        </w:tc>
        <w:tc>
          <w:tcPr>
            <w:tcW w:w="1842" w:type="dxa"/>
            <w:vMerge/>
            <w:tcBorders>
              <w:left w:val="single" w:sz="4" w:space="0" w:color="000000"/>
              <w:right w:val="single" w:sz="4" w:space="0" w:color="000000"/>
            </w:tcBorders>
          </w:tcPr>
          <w:p>
            <w:pPr/>
          </w:p>
        </w:tc>
      </w:tr>
      <w:tr>
        <w:trPr>
          <w:trHeight w:val="357" w:hRule="exact"/>
        </w:trPr>
        <w:tc>
          <w:tcPr>
            <w:tcW w:w="71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3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展不及预期，影响了今年的经营业绩。</w:t>
            </w:r>
          </w:p>
        </w:tc>
        <w:tc>
          <w:tcPr>
            <w:tcW w:w="852"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公司股东、交易对手方在报告年度经营业绩做出的承诺情况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3"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日，上市公司与交易对方章云芳、刘玉龙、苏美娴、杨铭、李旭东、红塔创新投资股份有限公司、深圳市</w:t>
      </w:r>
      <w:r>
        <w:rPr/>
        <w:t> </w:t>
      </w:r>
      <w:r>
        <w:rPr>
          <w:spacing w:val="-1"/>
        </w:rPr>
        <w:t>招商局科技投资有限公司、深圳市光启松禾超材料创业投资合伙企业</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、新疆锦尚睦合股权投资有限合伙企业签署</w:t>
      </w:r>
      <w:r>
        <w:rPr>
          <w:spacing w:val="-57"/>
        </w:rPr>
        <w:t> </w:t>
      </w:r>
      <w:r>
        <w:rPr>
          <w:spacing w:val="-57"/>
        </w:rPr>
      </w:r>
      <w:r>
        <w:rPr/>
        <w:t>了《发行股份及支付现金购买资产协议》。根据《发行股份及支付现金购买资产协议》，章云芳、刘玉龙、杨铭、苏美娴</w:t>
      </w:r>
      <w:r>
        <w:rPr>
          <w:rFonts w:ascii="Times New Roman" w:hAnsi="Times New Roman" w:cs="Times New Roman" w:eastAsia="Times New Roman" w:hint="default"/>
        </w:rPr>
        <w:t>4 </w:t>
      </w:r>
      <w:r>
        <w:rPr/>
        <w:t>名自然人承诺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年及</w:t>
      </w:r>
      <w:r>
        <w:rPr>
          <w:rFonts w:ascii="Times New Roman" w:hAnsi="Times New Roman" w:cs="Times New Roman" w:eastAsia="Times New Roman" w:hint="default"/>
        </w:rPr>
        <w:t>2017</w:t>
      </w:r>
      <w:r>
        <w:rPr/>
        <w:t>年，深圳市至高通信技术发展有限公司扣除非经常损益的净利润分别不低于 </w:t>
      </w:r>
      <w:r>
        <w:rPr>
          <w:rFonts w:ascii="Times New Roman" w:hAnsi="Times New Roman" w:cs="Times New Roman" w:eastAsia="Times New Roman" w:hint="default"/>
        </w:rPr>
        <w:t>6,840</w:t>
      </w:r>
      <w:r>
        <w:rPr/>
        <w:t>、</w:t>
      </w:r>
      <w:r>
        <w:rPr>
          <w:rFonts w:ascii="Times New Roman" w:hAnsi="Times New Roman" w:cs="Times New Roman" w:eastAsia="Times New Roman" w:hint="default"/>
        </w:rPr>
        <w:t>8,438</w:t>
      </w:r>
      <w:r>
        <w:rPr/>
        <w:t>、</w:t>
      </w:r>
      <w:r>
        <w:rPr>
          <w:rFonts w:ascii="Times New Roman" w:hAnsi="Times New Roman" w:cs="Times New Roman" w:eastAsia="Times New Roman" w:hint="default"/>
        </w:rPr>
        <w:t>10,544</w:t>
      </w:r>
      <w:r>
        <w:rPr/>
        <w:t>和</w:t>
      </w:r>
      <w:r>
        <w:rPr>
          <w:rFonts w:ascii="Times New Roman" w:hAnsi="Times New Roman" w:cs="Times New Roman" w:eastAsia="Times New Roman" w:hint="default"/>
        </w:rPr>
        <w:t>12,653</w:t>
      </w:r>
      <w:r>
        <w:rPr/>
        <w:t>万元。</w:t>
      </w:r>
    </w:p>
    <w:p>
      <w:pPr>
        <w:pStyle w:val="BodyText"/>
        <w:spacing w:line="300" w:lineRule="auto" w:before="13"/>
        <w:ind w:right="1111" w:firstLine="360"/>
        <w:jc w:val="left"/>
      </w:pPr>
      <w:r>
        <w:rPr/>
        <w:t>经北京兴华会计师事务所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审计</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至高通信</w:t>
      </w:r>
      <w:r>
        <w:rPr>
          <w:rFonts w:ascii="Times New Roman" w:hAnsi="Times New Roman" w:cs="Times New Roman" w:eastAsia="Times New Roman" w:hint="default"/>
        </w:rPr>
        <w:t>2017</w:t>
      </w:r>
      <w:r>
        <w:rPr/>
        <w:t>年度实现净利润</w:t>
      </w:r>
      <w:r>
        <w:rPr>
          <w:rFonts w:ascii="Times New Roman" w:hAnsi="Times New Roman" w:cs="Times New Roman" w:eastAsia="Times New Roman" w:hint="default"/>
        </w:rPr>
        <w:t>1,693.52</w:t>
      </w:r>
      <w:r>
        <w:rPr/>
        <w:t>万元，扣除非经常性损益后归属于 母公司的净利润</w:t>
      </w:r>
      <w:r>
        <w:rPr>
          <w:rFonts w:ascii="Times New Roman" w:hAnsi="Times New Roman" w:cs="Times New Roman" w:eastAsia="Times New Roman" w:hint="default"/>
        </w:rPr>
        <w:t>1,014.01</w:t>
      </w:r>
      <w:r>
        <w:rPr/>
        <w:t>万元，实现当年业绩承诺金额的比例为</w:t>
      </w:r>
      <w:r>
        <w:rPr>
          <w:rFonts w:ascii="Times New Roman" w:hAnsi="Times New Roman" w:cs="Times New Roman" w:eastAsia="Times New Roman" w:hint="default"/>
        </w:rPr>
        <w:t>8.01%</w:t>
      </w:r>
      <w:r>
        <w:rPr/>
        <w:t>，未能实现业绩承诺。</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日，财政部公布了修订后的《企业会计准则第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政府补助》，该准则修订自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 </w:t>
      </w:r>
      <w:r>
        <w:rPr>
          <w:spacing w:val="-2"/>
        </w:rPr>
        <w:t>行，同时要求企业对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日至该准则施行日之间新增的政府补</w:t>
      </w:r>
      <w:r>
        <w:rPr>
          <w:spacing w:val="-52"/>
        </w:rPr>
        <w:t> </w:t>
      </w:r>
      <w:r>
        <w:rPr>
          <w:spacing w:val="-2"/>
        </w:rPr>
        <w:t>助根据修订后的准则进行调整。本公司自《企业会计准则第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政府补助》规定的实施日起执行，将原列报于“营业外</w:t>
      </w:r>
      <w:r>
        <w:rPr>
          <w:spacing w:val="-64"/>
        </w:rPr>
        <w:t> </w:t>
      </w:r>
      <w:r>
        <w:rPr>
          <w:spacing w:val="-64"/>
        </w:rPr>
      </w:r>
      <w:r>
        <w:rPr>
          <w:spacing w:val="-1"/>
        </w:rPr>
        <w:t>收入”的与日常经营相关的政府补助变更为列报于“其他收益”，本期利润表中“其他收益”增加</w:t>
      </w:r>
      <w:r>
        <w:rPr>
          <w:rFonts w:ascii="Times New Roman" w:hAnsi="Times New Roman" w:cs="Times New Roman" w:eastAsia="Times New Roman" w:hint="default"/>
          <w:spacing w:val="-1"/>
        </w:rPr>
        <w:t>64,997,636.30</w:t>
      </w:r>
      <w:r>
        <w:rPr>
          <w:spacing w:val="-1"/>
        </w:rPr>
        <w:t>元、“营业</w:t>
      </w:r>
      <w:r>
        <w:rPr>
          <w:spacing w:val="-73"/>
        </w:rPr>
        <w:t> </w:t>
      </w:r>
      <w:r>
        <w:rPr>
          <w:spacing w:val="-73"/>
        </w:rPr>
      </w:r>
      <w:r>
        <w:rPr/>
        <w:t>外收入”减少</w:t>
      </w:r>
      <w:r>
        <w:rPr>
          <w:rFonts w:ascii="Times New Roman" w:hAnsi="Times New Roman" w:cs="Times New Roman" w:eastAsia="Times New Roman" w:hint="default"/>
        </w:rPr>
        <w:t>64,997,636.30</w:t>
      </w:r>
      <w:r>
        <w:rPr/>
        <w:t>元。</w:t>
      </w:r>
    </w:p>
    <w:p>
      <w:pPr>
        <w:pStyle w:val="BodyText"/>
        <w:spacing w:line="300" w:lineRule="auto" w:before="133"/>
        <w:ind w:right="1130" w:firstLine="360"/>
        <w:jc w:val="both"/>
      </w:pP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28</w:t>
      </w:r>
      <w:r>
        <w:rPr>
          <w:spacing w:val="-7"/>
        </w:rPr>
        <w:t>日，财政部颁布了《企业会计准则第</w:t>
      </w:r>
      <w:r>
        <w:rPr>
          <w:rFonts w:ascii="Times New Roman" w:hAnsi="Times New Roman" w:cs="Times New Roman" w:eastAsia="Times New Roman" w:hint="default"/>
          <w:spacing w:val="-7"/>
        </w:rPr>
        <w:t>42</w:t>
      </w:r>
      <w:r>
        <w:rPr>
          <w:spacing w:val="-7"/>
        </w:rPr>
        <w:t>号</w:t>
      </w:r>
      <w:r>
        <w:rPr>
          <w:rFonts w:ascii="Times New Roman" w:hAnsi="Times New Roman" w:cs="Times New Roman" w:eastAsia="Times New Roman" w:hint="default"/>
          <w:spacing w:val="-7"/>
        </w:rPr>
        <w:t>——</w:t>
      </w:r>
      <w:r>
        <w:rPr>
          <w:spacing w:val="-7"/>
        </w:rPr>
        <w:t>持有待售的非流动资产、处置组和终止经营》（财会</w:t>
      </w:r>
      <w:r>
        <w:rPr>
          <w:rFonts w:ascii="Times New Roman" w:hAnsi="Times New Roman" w:cs="Times New Roman" w:eastAsia="Times New Roman" w:hint="default"/>
          <w:spacing w:val="-7"/>
        </w:rPr>
        <w:t>[2017]13</w:t>
      </w:r>
      <w:r>
        <w:rPr>
          <w:rFonts w:ascii="Times New Roman" w:hAnsi="Times New Roman" w:cs="Times New Roman" w:eastAsia="Times New Roman" w:hint="default"/>
        </w:rPr>
        <w:t> </w:t>
      </w:r>
      <w:r>
        <w:rPr/>
        <w:t>号），并要求自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日起施行。对于施行日存在的持有待售的非流动资产、处置组和终止经营，要求采用未来适用 </w:t>
      </w:r>
      <w:r>
        <w:rPr>
          <w:spacing w:val="-2"/>
        </w:rPr>
        <w:t>法处理。该会计政策变更对公司财务状况、经营成果和现金流量无重大影响。公司自《企业会计准则第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w:t>
      </w:r>
      <w:r>
        <w:rPr>
          <w:spacing w:val="-64"/>
        </w:rPr>
        <w:t> </w:t>
      </w:r>
      <w:r>
        <w:rPr/>
        <w:t>非流动资产、处置组和终止经营》规定的实施日起执行，但对公司总资产、净资产、净利润不产生影响。</w:t>
      </w:r>
    </w:p>
    <w:p>
      <w:pPr>
        <w:pStyle w:val="BodyText"/>
        <w:spacing w:line="300" w:lineRule="auto" w:before="151"/>
        <w:ind w:right="0"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日，财政部颁布了《关于修订印发一般企业财务报表格式的通知》（财会</w:t>
      </w:r>
      <w:r>
        <w:rPr>
          <w:rFonts w:ascii="Times New Roman" w:hAnsi="Times New Roman" w:cs="Times New Roman" w:eastAsia="Times New Roman" w:hint="default"/>
        </w:rPr>
        <w:t>[2017]30</w:t>
      </w:r>
      <w:r>
        <w:rPr/>
        <w:t>号），要求执行企 </w:t>
      </w:r>
      <w:r>
        <w:rPr>
          <w:spacing w:val="-2"/>
        </w:rPr>
        <w:t>业会计准则的企业应当按照企业会计准则通知要求编制</w:t>
      </w:r>
      <w:r>
        <w:rPr>
          <w:rFonts w:ascii="Times New Roman" w:hAnsi="Times New Roman" w:cs="Times New Roman" w:eastAsia="Times New Roman" w:hint="default"/>
          <w:spacing w:val="-2"/>
        </w:rPr>
        <w:t>2017</w:t>
      </w:r>
      <w:r>
        <w:rPr>
          <w:spacing w:val="-2"/>
        </w:rPr>
        <w:t>年度及以后期间的财务报表。按照上述通知及企业会计准则的规</w:t>
      </w:r>
      <w:r>
        <w:rPr>
          <w:spacing w:val="-60"/>
        </w:rPr>
        <w:t> </w:t>
      </w:r>
      <w:r>
        <w:rPr>
          <w:spacing w:val="-60"/>
        </w:rPr>
      </w:r>
      <w:r>
        <w:rPr>
          <w:spacing w:val="-2"/>
        </w:rPr>
        <w:t>定和要求，公司需对原会计政策进行相应的变更。公司自《企业会计准则第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w:t>
      </w:r>
      <w:r>
        <w:rPr>
          <w:spacing w:val="-64"/>
        </w:rPr>
        <w:t> </w:t>
      </w:r>
      <w:r>
        <w:rPr>
          <w:spacing w:val="-64"/>
        </w:rPr>
      </w:r>
      <w:r>
        <w:rPr>
          <w:spacing w:val="-2"/>
        </w:rPr>
        <w:t>经营》规定的实施日起执行，将</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日之后发生的资产处置利得从“营业外收入”和“营业外支出”调整至“资产处</w:t>
      </w:r>
      <w:r>
        <w:rPr>
          <w:spacing w:val="-66"/>
        </w:rPr>
        <w:t> </w:t>
      </w:r>
      <w:r>
        <w:rPr>
          <w:spacing w:val="-66"/>
        </w:rPr>
      </w:r>
      <w:r>
        <w:rPr>
          <w:spacing w:val="-1"/>
        </w:rPr>
        <w:t>置收益”</w:t>
      </w:r>
      <w:r>
        <w:rPr>
          <w:rFonts w:ascii="Times New Roman" w:hAnsi="Times New Roman" w:cs="Times New Roman" w:eastAsia="Times New Roman" w:hint="default"/>
          <w:spacing w:val="-1"/>
        </w:rPr>
        <w:t>1,834,981.83</w:t>
      </w:r>
      <w:r>
        <w:rPr>
          <w:spacing w:val="-1"/>
        </w:rPr>
        <w:t>元，对于</w:t>
      </w:r>
      <w:r>
        <w:rPr>
          <w:rFonts w:ascii="Times New Roman" w:hAnsi="Times New Roman" w:cs="Times New Roman" w:eastAsia="Times New Roman" w:hint="default"/>
          <w:spacing w:val="-1"/>
        </w:rPr>
        <w:t>2016</w:t>
      </w:r>
      <w:r>
        <w:rPr>
          <w:spacing w:val="-1"/>
        </w:rPr>
        <w:t>年财务报表中可比期间的财务报表也予以追溯调整，从“营业外收入”和“营业外支出”</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调整至“资产处置收益”</w:t>
      </w:r>
      <w:r>
        <w:rPr>
          <w:rFonts w:ascii="Times New Roman" w:hAnsi="Times New Roman" w:cs="Times New Roman" w:eastAsia="Times New Roman" w:hint="default"/>
        </w:rPr>
        <w:t>0</w:t>
      </w:r>
      <w:r>
        <w:rPr/>
        <w:t>元。</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本期纳入合并范围的子公司包括</w:t>
      </w:r>
      <w:r>
        <w:rPr>
          <w:rFonts w:ascii="Times New Roman" w:hAnsi="Times New Roman" w:cs="Times New Roman" w:eastAsia="Times New Roman" w:hint="default"/>
        </w:rPr>
        <w:t>52</w:t>
      </w:r>
      <w:r>
        <w:rPr/>
        <w:t>家，新增</w:t>
      </w:r>
      <w:r>
        <w:rPr>
          <w:rFonts w:ascii="Times New Roman" w:hAnsi="Times New Roman" w:cs="Times New Roman" w:eastAsia="Times New Roman" w:hint="default"/>
        </w:rPr>
        <w:t>9</w:t>
      </w:r>
      <w:r>
        <w:rPr/>
        <w:t>家子公司，新增子公司包括东华金云网络股份公司、东华软件威海有限公</w:t>
      </w:r>
    </w:p>
    <w:p>
      <w:pPr>
        <w:pStyle w:val="BodyText"/>
        <w:spacing w:line="217" w:lineRule="exact"/>
        <w:ind w:left="154" w:right="0"/>
        <w:jc w:val="left"/>
      </w:pPr>
      <w:r>
        <w:rPr/>
        <w:t>司、河北东华冀通软件有限公司、南京东华科创信息技术有限公司、三亚东华云信数据服务有限公司、郑州东华诚信软件有</w:t>
      </w:r>
    </w:p>
    <w:p>
      <w:pPr>
        <w:pStyle w:val="BodyText"/>
        <w:spacing w:line="300" w:lineRule="auto" w:before="76"/>
        <w:ind w:right="1123"/>
        <w:jc w:val="left"/>
      </w:pPr>
      <w:r>
        <w:rPr/>
        <w:t>限公司、云南东合数据信息技术有限公司、广西东华云数据科技有限责任公司、北京国能智研信息科技有限公司；减少</w:t>
      </w:r>
      <w:r>
        <w:rPr>
          <w:rFonts w:ascii="Times New Roman" w:hAnsi="Times New Roman" w:cs="Times New Roman" w:eastAsia="Times New Roman" w:hint="default"/>
        </w:rPr>
        <w:t>1</w:t>
      </w:r>
      <w:r>
        <w:rPr/>
        <w:t>家 子公司，包括东华星联科技有限公司。</w:t>
      </w:r>
    </w:p>
    <w:p>
      <w:pPr>
        <w:pStyle w:val="BodyText"/>
        <w:spacing w:line="240" w:lineRule="auto" w:before="31"/>
        <w:ind w:left="513" w:right="0"/>
        <w:jc w:val="left"/>
      </w:pPr>
      <w:r>
        <w:rPr/>
        <w:t>具体详见本报告第十一节财务报告附注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及附注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叶民、叶立萍</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left="154" w:right="0"/>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报告期内，公司及控股股东、实际控制人依法诚信经营，信用状态良好，不存在未履行的法院生效判决、所负数额较大</w:t>
      </w:r>
    </w:p>
    <w:p>
      <w:pPr>
        <w:pStyle w:val="BodyText"/>
        <w:spacing w:line="240" w:lineRule="auto" w:before="2"/>
        <w:ind w:right="0"/>
        <w:jc w:val="left"/>
      </w:pPr>
      <w:r>
        <w:rPr/>
        <w:t>的债务到期未清偿等情况。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0"/>
        <w:jc w:val="left"/>
      </w:pPr>
      <w:r>
        <w:rPr>
          <w:rFonts w:ascii="Times New Roman" w:hAnsi="Times New Roman" w:cs="Times New Roman" w:eastAsia="Times New Roman" w:hint="default"/>
        </w:rPr>
        <w:t>1</w:t>
      </w:r>
      <w:r>
        <w:rPr/>
        <w:t>、公司员工持股计划简述 </w:t>
      </w:r>
      <w:r>
        <w:rPr>
          <w:spacing w:val="-2"/>
        </w:rPr>
        <w:t>为了进一步完善公司激励体系、建立长效激励机制，充分调动员工的积极性、创造性，完善员工与公司全体股东的利益</w:t>
      </w:r>
    </w:p>
    <w:p>
      <w:pPr>
        <w:pStyle w:val="BodyText"/>
        <w:spacing w:line="307" w:lineRule="auto" w:before="31"/>
        <w:ind w:right="1050"/>
        <w:jc w:val="left"/>
      </w:pPr>
      <w:r>
        <w:rPr>
          <w:spacing w:val="-2"/>
        </w:rPr>
        <w:t>分享和风险共担机制，公司于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日在巨潮资讯网（</w:t>
      </w:r>
      <w:hyperlink r:id="rId16">
        <w:r>
          <w:rPr>
            <w:rFonts w:ascii="Times New Roman" w:hAnsi="Times New Roman" w:cs="Times New Roman" w:eastAsia="Times New Roman" w:hint="default"/>
            <w:spacing w:val="-2"/>
          </w:rPr>
          <w:t>www.cninfo.com.cn/</w:t>
        </w:r>
      </w:hyperlink>
      <w:r>
        <w:rPr>
          <w:spacing w:val="-2"/>
        </w:rPr>
        <w:t>）披露了《关于筹划员工持股计划的提示性</w:t>
      </w:r>
      <w:r>
        <w:rPr>
          <w:spacing w:val="-28"/>
        </w:rPr>
        <w:t> </w:t>
      </w:r>
      <w:r>
        <w:rPr>
          <w:spacing w:val="-28"/>
        </w:rPr>
      </w:r>
      <w:r>
        <w:rPr/>
        <w:t>公告》（</w:t>
      </w:r>
      <w:r>
        <w:rPr>
          <w:rFonts w:ascii="Times New Roman" w:hAnsi="Times New Roman" w:cs="Times New Roman" w:eastAsia="Times New Roman" w:hint="default"/>
        </w:rPr>
        <w:t>2017-003</w:t>
      </w:r>
      <w:r>
        <w:rPr/>
        <w:t>）（以下简称</w:t>
      </w:r>
      <w:r>
        <w:rPr>
          <w:rFonts w:ascii="Times New Roman" w:hAnsi="Times New Roman" w:cs="Times New Roman" w:eastAsia="Times New Roman" w:hint="default"/>
        </w:rPr>
        <w:t>“</w:t>
      </w:r>
      <w:r>
        <w:rPr/>
        <w:t>本次员工持股计划</w:t>
      </w:r>
      <w:r>
        <w:rPr>
          <w:rFonts w:ascii="Times New Roman" w:hAnsi="Times New Roman" w:cs="Times New Roman" w:eastAsia="Times New Roman" w:hint="default"/>
        </w:rPr>
        <w:t>”</w:t>
      </w:r>
      <w:r>
        <w:rPr/>
        <w:t>）。为确保本次员工持股计划顺利实施，公司多次讨论、筹划并最终确 定合适的员工持股计划方案。本次员工持股计划的持有人范围原则上为公司董事（不含独立董事）、监事、高级管理人员、 </w:t>
      </w:r>
      <w:r>
        <w:rPr>
          <w:spacing w:val="-2"/>
        </w:rPr>
        <w:t>公司及下属子公司的正式员工，持有人均在公司或下属子公司全职工作、领取薪酬，并签订劳动合同。公司计划本次员工持</w:t>
      </w:r>
      <w:r>
        <w:rPr>
          <w:spacing w:val="-66"/>
        </w:rPr>
        <w:t> </w:t>
      </w:r>
      <w:r>
        <w:rPr>
          <w:spacing w:val="-66"/>
        </w:rPr>
      </w:r>
      <w:r>
        <w:rPr/>
        <w:t>股计划所持有的股票累计不超过公司股本总额的</w:t>
      </w:r>
      <w:r>
        <w:rPr>
          <w:rFonts w:ascii="Times New Roman" w:hAnsi="Times New Roman" w:cs="Times New Roman" w:eastAsia="Times New Roman" w:hint="default"/>
        </w:rPr>
        <w:t>10%</w:t>
      </w:r>
      <w:r>
        <w:rPr/>
        <w:t>，任一持有人持有的员工持股计划份额所对应的股票数量不超过公司股 本总额的</w:t>
      </w:r>
      <w:r>
        <w:rPr>
          <w:rFonts w:ascii="Times New Roman" w:hAnsi="Times New Roman" w:cs="Times New Roman" w:eastAsia="Times New Roman" w:hint="default"/>
        </w:rPr>
        <w:t>1%</w:t>
      </w:r>
      <w:r>
        <w:rPr/>
        <w:t>，并通过二级市场购买（包含大宗交易）及法律、行政法规允许的其他方式取得。</w:t>
      </w:r>
    </w:p>
    <w:p>
      <w:pPr>
        <w:pStyle w:val="BodyText"/>
        <w:spacing w:line="240" w:lineRule="auto" w:before="7"/>
        <w:ind w:left="513" w:right="0"/>
        <w:jc w:val="left"/>
      </w:pPr>
      <w:r>
        <w:rPr>
          <w:rFonts w:ascii="Times New Roman" w:hAnsi="Times New Roman" w:cs="Times New Roman" w:eastAsia="Times New Roman" w:hint="default"/>
        </w:rPr>
        <w:t>2</w:t>
      </w:r>
      <w:r>
        <w:rPr/>
        <w:t>、公司员工持股计划进展</w:t>
      </w:r>
    </w:p>
    <w:p>
      <w:pPr>
        <w:pStyle w:val="BodyText"/>
        <w:spacing w:line="300" w:lineRule="auto" w:before="63"/>
        <w:ind w:right="104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日，公司第六届董事会第十三次会议审议通过了《东华软件股份公司</w:t>
      </w:r>
      <w:r>
        <w:rPr>
          <w:rFonts w:ascii="Times New Roman" w:hAnsi="Times New Roman" w:cs="Times New Roman" w:eastAsia="Times New Roman" w:hint="default"/>
          <w:spacing w:val="-2"/>
        </w:rPr>
        <w:t>2018</w:t>
      </w:r>
      <w:r>
        <w:rPr>
          <w:spacing w:val="-2"/>
        </w:rPr>
        <w:t>员工持股计划（草案）及摘要的议</w:t>
      </w:r>
      <w:r>
        <w:rPr/>
        <w:t> </w:t>
      </w:r>
      <w:r>
        <w:rPr>
          <w:spacing w:val="-2"/>
        </w:rPr>
        <w:t>案》、《关于提请股东大会授权董事会全权办理公司员工持股计划的相关事宜的议案》、《东华软件股份公司</w:t>
      </w:r>
      <w:r>
        <w:rPr>
          <w:rFonts w:ascii="Times New Roman" w:hAnsi="Times New Roman" w:cs="Times New Roman" w:eastAsia="Times New Roman" w:hint="default"/>
          <w:spacing w:val="-2"/>
        </w:rPr>
        <w:t>2018</w:t>
      </w:r>
      <w:r>
        <w:rPr>
          <w:spacing w:val="-2"/>
        </w:rPr>
        <w:t>年员工持</w:t>
      </w:r>
      <w:r>
        <w:rPr>
          <w:spacing w:val="-63"/>
        </w:rPr>
        <w:t> </w:t>
      </w:r>
      <w:r>
        <w:rPr>
          <w:spacing w:val="-4"/>
        </w:rPr>
        <w:t>股计划管理办法的议案》。公司独立董事对公司《东华软件股份公司</w:t>
      </w:r>
      <w:r>
        <w:rPr>
          <w:rFonts w:ascii="Times New Roman" w:hAnsi="Times New Roman" w:cs="Times New Roman" w:eastAsia="Times New Roman" w:hint="default"/>
          <w:spacing w:val="-4"/>
        </w:rPr>
        <w:t>2018</w:t>
      </w:r>
      <w:r>
        <w:rPr>
          <w:spacing w:val="-4"/>
        </w:rPr>
        <w:t>员工持股计划（草案）》及其摘要发表了独立意见。</w:t>
      </w:r>
    </w:p>
    <w:p>
      <w:pPr>
        <w:pStyle w:val="BodyText"/>
        <w:spacing w:line="300" w:lineRule="auto" w:before="13"/>
        <w:ind w:left="514" w:right="1127" w:hanging="360"/>
        <w:jc w:val="left"/>
      </w:pPr>
      <w:r>
        <w:rPr/>
        <w:t>（公告编号：</w:t>
      </w:r>
      <w:r>
        <w:rPr>
          <w:rFonts w:ascii="Times New Roman" w:hAnsi="Times New Roman" w:cs="Times New Roman" w:eastAsia="Times New Roman" w:hint="default"/>
        </w:rPr>
        <w:t>2018-001</w:t>
      </w:r>
      <w:r>
        <w:rPr/>
        <w:t>）。 </w:t>
      </w:r>
      <w:r>
        <w:rPr>
          <w:spacing w:val="-5"/>
        </w:rPr>
        <w:t>同日，公司第六届监事会第五次会议审议通过了《东华软件股份公司</w:t>
      </w:r>
      <w:r>
        <w:rPr>
          <w:rFonts w:ascii="Times New Roman" w:hAnsi="Times New Roman" w:cs="Times New Roman" w:eastAsia="Times New Roman" w:hint="default"/>
          <w:spacing w:val="-5"/>
        </w:rPr>
        <w:t>2018</w:t>
      </w:r>
      <w:r>
        <w:rPr>
          <w:spacing w:val="-5"/>
        </w:rPr>
        <w:t>员工持股计划（草案）及摘要的议案》》、《东</w:t>
      </w:r>
    </w:p>
    <w:p>
      <w:pPr>
        <w:pStyle w:val="BodyText"/>
        <w:spacing w:line="240" w:lineRule="auto" w:before="13"/>
        <w:ind w:right="0"/>
        <w:jc w:val="left"/>
      </w:pPr>
      <w:r>
        <w:rPr/>
        <w:t>华软件股份公司</w:t>
      </w:r>
      <w:r>
        <w:rPr>
          <w:rFonts w:ascii="Times New Roman" w:hAnsi="Times New Roman" w:cs="Times New Roman" w:eastAsia="Times New Roman" w:hint="default"/>
        </w:rPr>
        <w:t>2018</w:t>
      </w:r>
      <w:r>
        <w:rPr/>
        <w:t>年员工持股计划管理办法的议案》。</w:t>
      </w:r>
    </w:p>
    <w:p>
      <w:pPr>
        <w:pStyle w:val="BodyText"/>
        <w:spacing w:line="304" w:lineRule="auto" w:before="63"/>
        <w:ind w:right="104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日，公司</w:t>
      </w:r>
      <w:r>
        <w:rPr>
          <w:rFonts w:ascii="Times New Roman" w:hAnsi="Times New Roman" w:cs="Times New Roman" w:eastAsia="Times New Roman" w:hint="default"/>
        </w:rPr>
        <w:t>2018</w:t>
      </w:r>
      <w:r>
        <w:rPr/>
        <w:t>年第一次临时股东大会审议通过了《东华软件股份公司</w:t>
      </w:r>
      <w:r>
        <w:rPr>
          <w:rFonts w:ascii="Times New Roman" w:hAnsi="Times New Roman" w:cs="Times New Roman" w:eastAsia="Times New Roman" w:hint="default"/>
        </w:rPr>
        <w:t>2018</w:t>
      </w:r>
      <w:r>
        <w:rPr/>
        <w:t>员工持股计划（草案）及摘要的 </w:t>
      </w:r>
      <w:r>
        <w:rPr>
          <w:spacing w:val="-2"/>
        </w:rPr>
        <w:t>议案》、《关于提请股东大会授权董事会全权办理公司员工持股计划的相关事宜的议案》、《东华软件股份公司</w:t>
      </w:r>
      <w:r>
        <w:rPr>
          <w:rFonts w:ascii="Times New Roman" w:hAnsi="Times New Roman" w:cs="Times New Roman" w:eastAsia="Times New Roman" w:hint="default"/>
          <w:spacing w:val="-2"/>
        </w:rPr>
        <w:t>2018</w:t>
      </w:r>
      <w:r>
        <w:rPr>
          <w:spacing w:val="-2"/>
        </w:rPr>
        <w:t>年员工</w:t>
      </w:r>
      <w:r>
        <w:rPr>
          <w:spacing w:val="-63"/>
        </w:rPr>
        <w:t> </w:t>
      </w:r>
      <w:r>
        <w:rPr>
          <w:spacing w:val="-2"/>
        </w:rPr>
        <w:t>持股计划管理办法的议案》。公司将稳中有序地推进本次员工持股计划。根据中国证监会《关于上市公司实施员工持股计划</w:t>
      </w:r>
      <w:r>
        <w:rPr>
          <w:spacing w:val="-66"/>
        </w:rPr>
        <w:t> </w:t>
      </w:r>
      <w:r>
        <w:rPr>
          <w:spacing w:val="-66"/>
        </w:rPr>
      </w:r>
      <w:r>
        <w:rPr/>
        <w:t>试点的指导意见》及深圳证券交易所《中小企业板信息披露业务备忘录第</w:t>
      </w:r>
      <w:r>
        <w:rPr>
          <w:rFonts w:ascii="Times New Roman" w:hAnsi="Times New Roman" w:cs="Times New Roman" w:eastAsia="Times New Roman" w:hint="default"/>
        </w:rPr>
        <w:t>7</w:t>
      </w:r>
      <w:r>
        <w:rPr/>
        <w:t>号：员工持股计划》的相关规定，截至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 </w:t>
      </w:r>
      <w:r>
        <w:rPr>
          <w:spacing w:val="-2"/>
        </w:rPr>
        <w:t>月</w:t>
      </w:r>
      <w:r>
        <w:rPr>
          <w:rFonts w:ascii="Times New Roman" w:hAnsi="Times New Roman" w:cs="Times New Roman" w:eastAsia="Times New Roman" w:hint="default"/>
          <w:spacing w:val="-2"/>
        </w:rPr>
        <w:t>2</w:t>
      </w:r>
      <w:r>
        <w:rPr>
          <w:spacing w:val="-2"/>
        </w:rPr>
        <w:t>日，公司</w:t>
      </w:r>
      <w:r>
        <w:rPr>
          <w:rFonts w:ascii="Times New Roman" w:hAnsi="Times New Roman" w:cs="Times New Roman" w:eastAsia="Times New Roman" w:hint="default"/>
          <w:spacing w:val="-2"/>
        </w:rPr>
        <w:t>2018</w:t>
      </w:r>
      <w:r>
        <w:rPr>
          <w:spacing w:val="-2"/>
        </w:rPr>
        <w:t>年员工持股计划（中信证券东华软件</w:t>
      </w:r>
      <w:r>
        <w:rPr>
          <w:rFonts w:ascii="Times New Roman" w:hAnsi="Times New Roman" w:cs="Times New Roman" w:eastAsia="Times New Roman" w:hint="default"/>
          <w:spacing w:val="-2"/>
        </w:rPr>
        <w:t>1</w:t>
      </w:r>
      <w:r>
        <w:rPr>
          <w:spacing w:val="-2"/>
        </w:rPr>
        <w:t>号定向资产管理计划）通过二级市场集中竞价交易方式购买公司股票</w:t>
      </w:r>
      <w:r>
        <w:rPr>
          <w:spacing w:val="-60"/>
        </w:rPr>
        <w:t> </w:t>
      </w:r>
      <w:r>
        <w:rPr>
          <w:spacing w:val="-60"/>
        </w:rPr>
      </w:r>
      <w:r>
        <w:rPr/>
        <w:t>合计</w:t>
      </w:r>
      <w:r>
        <w:rPr>
          <w:rFonts w:ascii="Times New Roman" w:hAnsi="Times New Roman" w:cs="Times New Roman" w:eastAsia="Times New Roman" w:hint="default"/>
        </w:rPr>
        <w:t>26,412,422</w:t>
      </w:r>
      <w:r>
        <w:rPr/>
        <w:t>股，占公司总股本的</w:t>
      </w:r>
      <w:r>
        <w:rPr>
          <w:rFonts w:ascii="Times New Roman" w:hAnsi="Times New Roman" w:cs="Times New Roman" w:eastAsia="Times New Roman" w:hint="default"/>
        </w:rPr>
        <w:t>0.8412%</w:t>
      </w:r>
      <w:r>
        <w:rPr/>
        <w:t>，成交金额合计为</w:t>
      </w:r>
      <w:r>
        <w:rPr>
          <w:spacing w:val="-31"/>
        </w:rPr>
        <w:t> </w:t>
      </w:r>
      <w:r>
        <w:rPr>
          <w:rFonts w:ascii="Times New Roman" w:hAnsi="Times New Roman" w:cs="Times New Roman" w:eastAsia="Times New Roman" w:hint="default"/>
        </w:rPr>
        <w:t>200,039,950.79</w:t>
      </w:r>
      <w:r>
        <w:rPr>
          <w:rFonts w:ascii="Times New Roman" w:hAnsi="Times New Roman" w:cs="Times New Roman" w:eastAsia="Times New Roman" w:hint="default"/>
          <w:spacing w:val="14"/>
        </w:rPr>
        <w:t> </w:t>
      </w:r>
      <w:r>
        <w:rPr>
          <w:spacing w:val="-3"/>
        </w:rPr>
        <w:t>元人民币，成交均价约为</w:t>
      </w:r>
      <w:r>
        <w:rPr>
          <w:spacing w:val="-31"/>
        </w:rPr>
        <w:t> </w:t>
      </w:r>
      <w:r>
        <w:rPr>
          <w:rFonts w:ascii="Times New Roman" w:hAnsi="Times New Roman" w:cs="Times New Roman" w:eastAsia="Times New Roman" w:hint="default"/>
        </w:rPr>
        <w:t>7.574</w:t>
      </w:r>
      <w:r>
        <w:rPr>
          <w:rFonts w:ascii="Times New Roman" w:hAnsi="Times New Roman" w:cs="Times New Roman" w:eastAsia="Times New Roman" w:hint="default"/>
          <w:spacing w:val="13"/>
        </w:rPr>
        <w:t> </w:t>
      </w:r>
      <w:r>
        <w:rPr/>
        <w:t>元人民币</w:t>
      </w:r>
      <w:r>
        <w:rPr>
          <w:rFonts w:ascii="Times New Roman" w:hAnsi="Times New Roman" w:cs="Times New Roman" w:eastAsia="Times New Roman" w:hint="default"/>
        </w:rPr>
        <w:t>/</w:t>
      </w:r>
      <w:r>
        <w:rPr/>
        <w:t>股。</w:t>
      </w:r>
    </w:p>
    <w:p>
      <w:pPr>
        <w:pStyle w:val="BodyText"/>
        <w:spacing w:line="316" w:lineRule="auto" w:before="9"/>
        <w:ind w:left="514" w:right="4812" w:hanging="360"/>
        <w:jc w:val="left"/>
      </w:pPr>
      <w:r>
        <w:rPr/>
        <w:t>（注：以上成交总金额、成交均价均不包括托管费、管理费等相关费用。） 截至本报告披露日，本次员工持股计划顺利实施完成。</w:t>
      </w:r>
    </w:p>
    <w:p>
      <w:pPr>
        <w:spacing w:line="240" w:lineRule="auto" w:before="10"/>
        <w:rPr>
          <w:rFonts w:ascii="宋体" w:hAnsi="宋体" w:cs="宋体" w:eastAsia="宋体" w:hint="default"/>
          <w:sz w:val="20"/>
          <w:szCs w:val="20"/>
        </w:rPr>
      </w:pPr>
    </w:p>
    <w:p>
      <w:pPr>
        <w:pStyle w:val="Heading2"/>
        <w:spacing w:line="240" w:lineRule="auto"/>
        <w:ind w:left="154"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left="154"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left="154"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851"/>
        <w:gridCol w:w="851"/>
        <w:gridCol w:w="1560"/>
        <w:gridCol w:w="566"/>
        <w:gridCol w:w="283"/>
        <w:gridCol w:w="710"/>
        <w:gridCol w:w="1134"/>
        <w:gridCol w:w="571"/>
        <w:gridCol w:w="780"/>
      </w:tblGrid>
      <w:tr>
        <w:trPr>
          <w:trHeight w:val="402" w:hRule="exact"/>
        </w:trPr>
        <w:tc>
          <w:tcPr>
            <w:tcW w:w="957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4" w:right="54"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实际 担保 金额</w:t>
            </w:r>
          </w:p>
        </w:tc>
        <w:tc>
          <w:tcPr>
            <w:tcW w:w="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 w:right="98"/>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9"/>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4" w:right="54"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担保类 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 w:right="98"/>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深圳至高通信技术发展有限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深圳至高通信技术发展有限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深圳至高通信技术发展有限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6,500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北京东华合创科技有限公 司、北京神州新桥科技有限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9,059.79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北京东华合创科技有限公 司、北京联银通科技有限公 司、北京神州新桥科技有限 公司、北京威锐达测控系统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4,482.17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5"/>
              <w:jc w:val="left"/>
              <w:rPr>
                <w:rFonts w:ascii="宋体" w:hAnsi="宋体" w:cs="宋体" w:eastAsia="宋体" w:hint="default"/>
                <w:sz w:val="18"/>
                <w:szCs w:val="18"/>
              </w:rPr>
            </w:pPr>
            <w:r>
              <w:rPr>
                <w:rFonts w:ascii="宋体" w:hAnsi="宋体" w:cs="宋体" w:eastAsia="宋体" w:hint="default"/>
                <w:sz w:val="18"/>
                <w:szCs w:val="18"/>
              </w:rPr>
              <w:t>北京东华合创科技有限公 司、北京联银通科技有限公 司、北京神州新桥科技有限</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10,428.76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21"/>
        <w:gridCol w:w="548"/>
        <w:gridCol w:w="349"/>
        <w:gridCol w:w="502"/>
        <w:gridCol w:w="435"/>
        <w:gridCol w:w="416"/>
        <w:gridCol w:w="885"/>
        <w:gridCol w:w="675"/>
        <w:gridCol w:w="358"/>
        <w:gridCol w:w="492"/>
        <w:gridCol w:w="568"/>
        <w:gridCol w:w="142"/>
        <w:gridCol w:w="921"/>
        <w:gridCol w:w="213"/>
        <w:gridCol w:w="566"/>
        <w:gridCol w:w="785"/>
      </w:tblGrid>
      <w:tr>
        <w:trPr>
          <w:trHeight w:val="36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560"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12,000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10,000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12,000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2,500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50"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北京东华合创科技有限公 司、北京联银通科技有限公 司、北京神州新桥科技有限 公司、北京威锐达测控系统 有限公司</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26,000</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20,295.38</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311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411" w:type="dxa"/>
            <w:gridSpan w:val="4"/>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76,800</w:t>
            </w:r>
          </w:p>
        </w:tc>
        <w:tc>
          <w:tcPr>
            <w:tcW w:w="155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报告期内对子公司 担保实际发生额合 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85" w:type="dxa"/>
            <w:gridSpan w:val="4"/>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47,706</w:t>
            </w:r>
          </w:p>
        </w:tc>
      </w:tr>
      <w:tr>
        <w:trPr>
          <w:trHeight w:val="704" w:hRule="exact"/>
        </w:trPr>
        <w:tc>
          <w:tcPr>
            <w:tcW w:w="311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11" w:type="dxa"/>
            <w:gridSpan w:val="4"/>
            <w:vMerge/>
            <w:tcBorders>
              <w:left w:val="single" w:sz="9" w:space="0" w:color="D2D2D2"/>
              <w:right w:val="single" w:sz="9" w:space="0" w:color="D2D2D2"/>
            </w:tcBorders>
          </w:tcPr>
          <w:p>
            <w:pPr/>
          </w:p>
        </w:tc>
        <w:tc>
          <w:tcPr>
            <w:tcW w:w="1559" w:type="dxa"/>
            <w:gridSpan w:val="4"/>
            <w:vMerge/>
            <w:tcBorders>
              <w:left w:val="single" w:sz="4" w:space="0" w:color="000000"/>
              <w:right w:val="single" w:sz="4" w:space="0" w:color="000000"/>
            </w:tcBorders>
            <w:shd w:val="clear" w:color="auto" w:fill="D2D2D2"/>
          </w:tcPr>
          <w:p>
            <w:pPr/>
          </w:p>
        </w:tc>
        <w:tc>
          <w:tcPr>
            <w:tcW w:w="2485" w:type="dxa"/>
            <w:gridSpan w:val="4"/>
            <w:vMerge/>
            <w:tcBorders>
              <w:left w:val="single" w:sz="13" w:space="0" w:color="D2D2D2"/>
              <w:right w:val="single" w:sz="4" w:space="0" w:color="000000"/>
            </w:tcBorders>
          </w:tcPr>
          <w:p>
            <w:pPr/>
          </w:p>
        </w:tc>
      </w:tr>
      <w:tr>
        <w:trPr>
          <w:trHeight w:val="161" w:hRule="exact"/>
        </w:trPr>
        <w:tc>
          <w:tcPr>
            <w:tcW w:w="311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411" w:type="dxa"/>
            <w:gridSpan w:val="4"/>
            <w:vMerge/>
            <w:tcBorders>
              <w:left w:val="single" w:sz="9" w:space="0" w:color="D2D2D2"/>
              <w:bottom w:val="single" w:sz="4" w:space="0" w:color="000000"/>
              <w:right w:val="single" w:sz="9" w:space="0" w:color="D2D2D2"/>
            </w:tcBorders>
          </w:tcPr>
          <w:p>
            <w:pPr/>
          </w:p>
        </w:tc>
        <w:tc>
          <w:tcPr>
            <w:tcW w:w="1559" w:type="dxa"/>
            <w:gridSpan w:val="4"/>
            <w:vMerge/>
            <w:tcBorders>
              <w:left w:val="single" w:sz="4" w:space="0" w:color="000000"/>
              <w:bottom w:val="single" w:sz="4" w:space="0" w:color="000000"/>
              <w:right w:val="single" w:sz="4" w:space="0" w:color="000000"/>
            </w:tcBorders>
            <w:shd w:val="clear" w:color="auto" w:fill="D2D2D2"/>
          </w:tcPr>
          <w:p>
            <w:pPr/>
          </w:p>
        </w:tc>
        <w:tc>
          <w:tcPr>
            <w:tcW w:w="2485" w:type="dxa"/>
            <w:gridSpan w:val="4"/>
            <w:vMerge/>
            <w:tcBorders>
              <w:left w:val="single" w:sz="13" w:space="0" w:color="D2D2D2"/>
              <w:bottom w:val="single" w:sz="4" w:space="0" w:color="000000"/>
              <w:right w:val="single" w:sz="4" w:space="0" w:color="000000"/>
            </w:tcBorders>
          </w:tcPr>
          <w:p>
            <w:pPr/>
          </w:p>
        </w:tc>
      </w:tr>
      <w:tr>
        <w:trPr>
          <w:trHeight w:val="161" w:hRule="exact"/>
        </w:trPr>
        <w:tc>
          <w:tcPr>
            <w:tcW w:w="311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411" w:type="dxa"/>
            <w:gridSpan w:val="4"/>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156,800</w:t>
            </w:r>
          </w:p>
        </w:tc>
        <w:tc>
          <w:tcPr>
            <w:tcW w:w="155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报告期末对子公司 实际担保余额合计</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85" w:type="dxa"/>
            <w:gridSpan w:val="4"/>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29,094</w:t>
            </w:r>
          </w:p>
        </w:tc>
      </w:tr>
      <w:tr>
        <w:trPr>
          <w:trHeight w:val="704" w:hRule="exact"/>
        </w:trPr>
        <w:tc>
          <w:tcPr>
            <w:tcW w:w="311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 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11" w:type="dxa"/>
            <w:gridSpan w:val="4"/>
            <w:vMerge/>
            <w:tcBorders>
              <w:left w:val="single" w:sz="9" w:space="0" w:color="D2D2D2"/>
              <w:right w:val="single" w:sz="9" w:space="0" w:color="D2D2D2"/>
            </w:tcBorders>
          </w:tcPr>
          <w:p>
            <w:pPr/>
          </w:p>
        </w:tc>
        <w:tc>
          <w:tcPr>
            <w:tcW w:w="1559" w:type="dxa"/>
            <w:gridSpan w:val="4"/>
            <w:vMerge/>
            <w:tcBorders>
              <w:left w:val="single" w:sz="4" w:space="0" w:color="000000"/>
              <w:right w:val="single" w:sz="4" w:space="0" w:color="000000"/>
            </w:tcBorders>
            <w:shd w:val="clear" w:color="auto" w:fill="D2D2D2"/>
          </w:tcPr>
          <w:p>
            <w:pPr/>
          </w:p>
        </w:tc>
        <w:tc>
          <w:tcPr>
            <w:tcW w:w="2485" w:type="dxa"/>
            <w:gridSpan w:val="4"/>
            <w:vMerge/>
            <w:tcBorders>
              <w:left w:val="single" w:sz="13" w:space="0" w:color="D2D2D2"/>
              <w:right w:val="single" w:sz="4" w:space="0" w:color="000000"/>
            </w:tcBorders>
          </w:tcPr>
          <w:p>
            <w:pPr/>
          </w:p>
        </w:tc>
      </w:tr>
      <w:tr>
        <w:trPr>
          <w:trHeight w:val="166" w:hRule="exact"/>
        </w:trPr>
        <w:tc>
          <w:tcPr>
            <w:tcW w:w="311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411" w:type="dxa"/>
            <w:gridSpan w:val="4"/>
            <w:vMerge/>
            <w:tcBorders>
              <w:left w:val="single" w:sz="9" w:space="0" w:color="D2D2D2"/>
              <w:bottom w:val="single" w:sz="4" w:space="0" w:color="000000"/>
              <w:right w:val="single" w:sz="9" w:space="0" w:color="D2D2D2"/>
            </w:tcBorders>
          </w:tcPr>
          <w:p>
            <w:pPr/>
          </w:p>
        </w:tc>
        <w:tc>
          <w:tcPr>
            <w:tcW w:w="1559" w:type="dxa"/>
            <w:gridSpan w:val="4"/>
            <w:vMerge/>
            <w:tcBorders>
              <w:left w:val="single" w:sz="4" w:space="0" w:color="000000"/>
              <w:bottom w:val="single" w:sz="4" w:space="0" w:color="000000"/>
              <w:right w:val="single" w:sz="4" w:space="0" w:color="000000"/>
            </w:tcBorders>
            <w:shd w:val="clear" w:color="auto" w:fill="D2D2D2"/>
          </w:tcPr>
          <w:p>
            <w:pPr/>
          </w:p>
        </w:tc>
        <w:tc>
          <w:tcPr>
            <w:tcW w:w="2485" w:type="dxa"/>
            <w:gridSpan w:val="4"/>
            <w:vMerge/>
            <w:tcBorders>
              <w:left w:val="single" w:sz="13" w:space="0" w:color="D2D2D2"/>
              <w:bottom w:val="single" w:sz="4" w:space="0" w:color="000000"/>
              <w:right w:val="single" w:sz="4" w:space="0" w:color="000000"/>
            </w:tcBorders>
          </w:tcPr>
          <w:p>
            <w:pPr/>
          </w:p>
        </w:tc>
      </w:tr>
      <w:tr>
        <w:trPr>
          <w:trHeight w:val="392" w:hRule="exact"/>
        </w:trPr>
        <w:tc>
          <w:tcPr>
            <w:tcW w:w="9575"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21" w:type="dxa"/>
            <w:vMerge w:val="restart"/>
            <w:tcBorders>
              <w:top w:val="single" w:sz="4" w:space="0" w:color="000000"/>
              <w:left w:val="single" w:sz="4" w:space="0" w:color="000000"/>
              <w:right w:val="single" w:sz="4" w:space="0" w:color="000000"/>
            </w:tcBorders>
            <w:shd w:val="clear" w:color="auto" w:fill="D2D2D2"/>
          </w:tcPr>
          <w:p>
            <w:pPr/>
          </w:p>
        </w:tc>
        <w:tc>
          <w:tcPr>
            <w:tcW w:w="8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1" w:right="8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gridSpan w:val="2"/>
            <w:vMerge w:val="restart"/>
            <w:tcBorders>
              <w:top w:val="single" w:sz="4" w:space="0" w:color="000000"/>
              <w:left w:val="single" w:sz="4" w:space="0" w:color="000000"/>
              <w:right w:val="single" w:sz="4" w:space="0" w:color="000000"/>
            </w:tcBorders>
            <w:shd w:val="clear" w:color="auto" w:fill="D2D2D2"/>
          </w:tcPr>
          <w:p>
            <w:pPr/>
          </w:p>
        </w:tc>
        <w:tc>
          <w:tcPr>
            <w:tcW w:w="13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gridSpan w:val="2"/>
            <w:vMerge w:val="restart"/>
            <w:tcBorders>
              <w:top w:val="single" w:sz="4" w:space="0" w:color="000000"/>
              <w:left w:val="single" w:sz="4" w:space="0" w:color="000000"/>
              <w:right w:val="single" w:sz="4" w:space="0" w:color="000000"/>
            </w:tcBorders>
            <w:shd w:val="clear" w:color="auto" w:fill="D2D2D2"/>
          </w:tcPr>
          <w:p>
            <w:pPr/>
          </w:p>
        </w:tc>
        <w:tc>
          <w:tcPr>
            <w:tcW w:w="1063" w:type="dxa"/>
            <w:gridSpan w:val="2"/>
            <w:vMerge w:val="restart"/>
            <w:tcBorders>
              <w:top w:val="single" w:sz="4" w:space="0" w:color="000000"/>
              <w:left w:val="single" w:sz="4" w:space="0" w:color="000000"/>
              <w:right w:val="single" w:sz="4" w:space="0" w:color="000000"/>
            </w:tcBorders>
            <w:shd w:val="clear" w:color="auto" w:fill="D2D2D2"/>
          </w:tcPr>
          <w:p>
            <w:pPr/>
          </w:p>
        </w:tc>
        <w:tc>
          <w:tcPr>
            <w:tcW w:w="7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21" w:type="dxa"/>
            <w:vMerge/>
            <w:tcBorders>
              <w:left w:val="single" w:sz="4" w:space="0" w:color="000000"/>
              <w:bottom w:val="nil" w:sz="6" w:space="0" w:color="auto"/>
              <w:right w:val="single" w:sz="4" w:space="0" w:color="000000"/>
            </w:tcBorders>
            <w:shd w:val="clear" w:color="auto" w:fill="D2D2D2"/>
          </w:tcPr>
          <w:p>
            <w:pPr/>
          </w:p>
        </w:tc>
        <w:tc>
          <w:tcPr>
            <w:tcW w:w="897" w:type="dxa"/>
            <w:gridSpan w:val="2"/>
            <w:vMerge/>
            <w:tcBorders>
              <w:left w:val="single" w:sz="4" w:space="0" w:color="000000"/>
              <w:right w:val="single" w:sz="4" w:space="0" w:color="000000"/>
            </w:tcBorders>
            <w:shd w:val="clear" w:color="auto" w:fill="D2D2D2"/>
          </w:tcPr>
          <w:p>
            <w:pPr/>
          </w:p>
        </w:tc>
        <w:tc>
          <w:tcPr>
            <w:tcW w:w="937" w:type="dxa"/>
            <w:gridSpan w:val="2"/>
            <w:vMerge/>
            <w:tcBorders>
              <w:left w:val="single" w:sz="4" w:space="0" w:color="000000"/>
              <w:bottom w:val="nil" w:sz="6" w:space="0" w:color="auto"/>
              <w:right w:val="single" w:sz="4" w:space="0" w:color="000000"/>
            </w:tcBorders>
            <w:shd w:val="clear" w:color="auto" w:fill="D2D2D2"/>
          </w:tcPr>
          <w:p>
            <w:pPr/>
          </w:p>
        </w:tc>
        <w:tc>
          <w:tcPr>
            <w:tcW w:w="13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5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60" w:type="dxa"/>
            <w:gridSpan w:val="2"/>
            <w:vMerge/>
            <w:tcBorders>
              <w:left w:val="single" w:sz="4" w:space="0" w:color="000000"/>
              <w:bottom w:val="nil" w:sz="6" w:space="0" w:color="auto"/>
              <w:right w:val="single" w:sz="4" w:space="0" w:color="000000"/>
            </w:tcBorders>
            <w:shd w:val="clear" w:color="auto" w:fill="D2D2D2"/>
          </w:tcPr>
          <w:p>
            <w:pPr/>
          </w:p>
        </w:tc>
        <w:tc>
          <w:tcPr>
            <w:tcW w:w="1063" w:type="dxa"/>
            <w:gridSpan w:val="2"/>
            <w:vMerge/>
            <w:tcBorders>
              <w:left w:val="single" w:sz="4" w:space="0" w:color="000000"/>
              <w:bottom w:val="nil" w:sz="6" w:space="0" w:color="auto"/>
              <w:right w:val="single" w:sz="4" w:space="0" w:color="000000"/>
            </w:tcBorders>
            <w:shd w:val="clear" w:color="auto" w:fill="D2D2D2"/>
          </w:tcPr>
          <w:p>
            <w:pPr/>
          </w:p>
        </w:tc>
        <w:tc>
          <w:tcPr>
            <w:tcW w:w="77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96"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3" w:hRule="exact"/>
        </w:trPr>
        <w:tc>
          <w:tcPr>
            <w:tcW w:w="1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7" w:type="dxa"/>
            <w:gridSpan w:val="2"/>
            <w:vMerge/>
            <w:tcBorders>
              <w:left w:val="single" w:sz="4" w:space="0" w:color="000000"/>
              <w:right w:val="single" w:sz="4" w:space="0" w:color="000000"/>
            </w:tcBorders>
            <w:shd w:val="clear" w:color="auto" w:fill="D2D2D2"/>
          </w:tcPr>
          <w:p>
            <w:pPr/>
          </w:p>
        </w:tc>
        <w:tc>
          <w:tcPr>
            <w:tcW w:w="93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gridSpan w:val="2"/>
            <w:vMerge/>
            <w:tcBorders>
              <w:left w:val="single" w:sz="4" w:space="0" w:color="000000"/>
              <w:right w:val="single" w:sz="4" w:space="0" w:color="000000"/>
            </w:tcBorders>
            <w:shd w:val="clear" w:color="auto" w:fill="D2D2D2"/>
          </w:tcPr>
          <w:p>
            <w:pPr/>
          </w:p>
        </w:tc>
        <w:tc>
          <w:tcPr>
            <w:tcW w:w="1032" w:type="dxa"/>
            <w:gridSpan w:val="2"/>
            <w:vMerge/>
            <w:tcBorders>
              <w:left w:val="single" w:sz="4" w:space="0" w:color="000000"/>
              <w:right w:val="single" w:sz="4" w:space="0" w:color="000000"/>
            </w:tcBorders>
            <w:shd w:val="clear" w:color="auto" w:fill="D2D2D2"/>
          </w:tcPr>
          <w:p>
            <w:pPr/>
          </w:p>
        </w:tc>
        <w:tc>
          <w:tcPr>
            <w:tcW w:w="106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9" w:type="dxa"/>
            <w:gridSpan w:val="2"/>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21" w:type="dxa"/>
            <w:vMerge w:val="restart"/>
            <w:tcBorders>
              <w:top w:val="nil" w:sz="6" w:space="0" w:color="auto"/>
              <w:left w:val="single" w:sz="4" w:space="0" w:color="000000"/>
              <w:right w:val="single" w:sz="4" w:space="0" w:color="000000"/>
            </w:tcBorders>
            <w:shd w:val="clear" w:color="auto" w:fill="D2D2D2"/>
          </w:tcPr>
          <w:p>
            <w:pPr/>
          </w:p>
        </w:tc>
        <w:tc>
          <w:tcPr>
            <w:tcW w:w="897" w:type="dxa"/>
            <w:gridSpan w:val="2"/>
            <w:vMerge/>
            <w:tcBorders>
              <w:left w:val="single" w:sz="4" w:space="0" w:color="000000"/>
              <w:right w:val="single" w:sz="4" w:space="0" w:color="000000"/>
            </w:tcBorders>
            <w:shd w:val="clear" w:color="auto" w:fill="D2D2D2"/>
          </w:tcPr>
          <w:p>
            <w:pPr/>
          </w:p>
        </w:tc>
        <w:tc>
          <w:tcPr>
            <w:tcW w:w="937" w:type="dxa"/>
            <w:gridSpan w:val="2"/>
            <w:vMerge w:val="restart"/>
            <w:tcBorders>
              <w:top w:val="nil" w:sz="6" w:space="0" w:color="auto"/>
              <w:left w:val="single" w:sz="4" w:space="0" w:color="000000"/>
              <w:right w:val="single" w:sz="4" w:space="0" w:color="000000"/>
            </w:tcBorders>
            <w:shd w:val="clear" w:color="auto" w:fill="D2D2D2"/>
          </w:tcPr>
          <w:p>
            <w:pPr/>
          </w:p>
        </w:tc>
        <w:tc>
          <w:tcPr>
            <w:tcW w:w="1302" w:type="dxa"/>
            <w:gridSpan w:val="2"/>
            <w:vMerge/>
            <w:tcBorders>
              <w:left w:val="single" w:sz="4" w:space="0" w:color="000000"/>
              <w:bottom w:val="nil" w:sz="6" w:space="0" w:color="auto"/>
              <w:right w:val="single" w:sz="4" w:space="0" w:color="000000"/>
            </w:tcBorders>
            <w:shd w:val="clear" w:color="auto" w:fill="D2D2D2"/>
          </w:tcPr>
          <w:p>
            <w:pPr/>
          </w:p>
        </w:tc>
        <w:tc>
          <w:tcPr>
            <w:tcW w:w="1032" w:type="dxa"/>
            <w:gridSpan w:val="2"/>
            <w:vMerge/>
            <w:tcBorders>
              <w:left w:val="single" w:sz="4" w:space="0" w:color="000000"/>
              <w:bottom w:val="nil" w:sz="6" w:space="0" w:color="auto"/>
              <w:right w:val="single" w:sz="4" w:space="0" w:color="000000"/>
            </w:tcBorders>
            <w:shd w:val="clear" w:color="auto" w:fill="D2D2D2"/>
          </w:tcPr>
          <w:p>
            <w:pPr/>
          </w:p>
        </w:tc>
        <w:tc>
          <w:tcPr>
            <w:tcW w:w="1060" w:type="dxa"/>
            <w:gridSpan w:val="2"/>
            <w:vMerge w:val="restart"/>
            <w:tcBorders>
              <w:top w:val="nil" w:sz="6" w:space="0" w:color="auto"/>
              <w:left w:val="single" w:sz="4" w:space="0" w:color="000000"/>
              <w:right w:val="single" w:sz="4" w:space="0" w:color="000000"/>
            </w:tcBorders>
            <w:shd w:val="clear" w:color="auto" w:fill="D2D2D2"/>
          </w:tcPr>
          <w:p>
            <w:pPr/>
          </w:p>
        </w:tc>
        <w:tc>
          <w:tcPr>
            <w:tcW w:w="1063" w:type="dxa"/>
            <w:gridSpan w:val="2"/>
            <w:vMerge w:val="restart"/>
            <w:tcBorders>
              <w:top w:val="nil" w:sz="6" w:space="0" w:color="auto"/>
              <w:left w:val="single" w:sz="4" w:space="0" w:color="000000"/>
              <w:right w:val="single" w:sz="4" w:space="0" w:color="000000"/>
            </w:tcBorders>
            <w:shd w:val="clear" w:color="auto" w:fill="D2D2D2"/>
          </w:tcPr>
          <w:p>
            <w:pPr/>
          </w:p>
        </w:tc>
        <w:tc>
          <w:tcPr>
            <w:tcW w:w="779"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21" w:type="dxa"/>
            <w:vMerge/>
            <w:tcBorders>
              <w:left w:val="single" w:sz="4" w:space="0" w:color="000000"/>
              <w:bottom w:val="single" w:sz="4" w:space="0" w:color="000000"/>
              <w:right w:val="single" w:sz="4" w:space="0" w:color="000000"/>
            </w:tcBorders>
            <w:shd w:val="clear" w:color="auto" w:fill="D2D2D2"/>
          </w:tcPr>
          <w:p>
            <w:pPr/>
          </w:p>
        </w:tc>
        <w:tc>
          <w:tcPr>
            <w:tcW w:w="897" w:type="dxa"/>
            <w:gridSpan w:val="2"/>
            <w:vMerge/>
            <w:tcBorders>
              <w:left w:val="single" w:sz="4" w:space="0" w:color="000000"/>
              <w:bottom w:val="single" w:sz="4" w:space="0" w:color="000000"/>
              <w:right w:val="single" w:sz="4" w:space="0" w:color="000000"/>
            </w:tcBorders>
            <w:shd w:val="clear" w:color="auto" w:fill="D2D2D2"/>
          </w:tcPr>
          <w:p>
            <w:pPr/>
          </w:p>
        </w:tc>
        <w:tc>
          <w:tcPr>
            <w:tcW w:w="937" w:type="dxa"/>
            <w:gridSpan w:val="2"/>
            <w:vMerge/>
            <w:tcBorders>
              <w:left w:val="single" w:sz="4" w:space="0" w:color="000000"/>
              <w:bottom w:val="single" w:sz="4" w:space="0" w:color="000000"/>
              <w:right w:val="single" w:sz="4" w:space="0" w:color="000000"/>
            </w:tcBorders>
            <w:shd w:val="clear" w:color="auto" w:fill="D2D2D2"/>
          </w:tcPr>
          <w:p>
            <w:pPr/>
          </w:p>
        </w:tc>
        <w:tc>
          <w:tcPr>
            <w:tcW w:w="13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gridSpan w:val="2"/>
            <w:vMerge/>
            <w:tcBorders>
              <w:left w:val="single" w:sz="4" w:space="0" w:color="000000"/>
              <w:bottom w:val="single" w:sz="4" w:space="0" w:color="000000"/>
              <w:right w:val="single" w:sz="4" w:space="0" w:color="000000"/>
            </w:tcBorders>
            <w:shd w:val="clear" w:color="auto" w:fill="D2D2D2"/>
          </w:tcPr>
          <w:p>
            <w:pPr/>
          </w:p>
        </w:tc>
        <w:tc>
          <w:tcPr>
            <w:tcW w:w="1063" w:type="dxa"/>
            <w:gridSpan w:val="2"/>
            <w:vMerge/>
            <w:tcBorders>
              <w:left w:val="single" w:sz="4" w:space="0" w:color="000000"/>
              <w:bottom w:val="single" w:sz="4" w:space="0" w:color="000000"/>
              <w:right w:val="single" w:sz="4" w:space="0" w:color="000000"/>
            </w:tcBorders>
            <w:shd w:val="clear" w:color="auto" w:fill="D2D2D2"/>
          </w:tcPr>
          <w:p>
            <w:pPr/>
          </w:p>
        </w:tc>
        <w:tc>
          <w:tcPr>
            <w:tcW w:w="7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8"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76,800</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47,706</w:t>
            </w:r>
          </w:p>
        </w:tc>
      </w:tr>
      <w:tr>
        <w:trPr>
          <w:trHeight w:val="714" w:hRule="exact"/>
        </w:trPr>
        <w:tc>
          <w:tcPr>
            <w:tcW w:w="26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8"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156,800</w:t>
            </w:r>
          </w:p>
        </w:tc>
        <w:tc>
          <w:tcPr>
            <w:tcW w:w="20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29,094</w:t>
            </w:r>
          </w:p>
        </w:tc>
      </w:tr>
      <w:tr>
        <w:trPr>
          <w:trHeight w:val="407" w:hRule="exact"/>
        </w:trPr>
        <w:tc>
          <w:tcPr>
            <w:tcW w:w="48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w:t>
            </w:r>
          </w:p>
        </w:tc>
      </w:tr>
      <w:tr>
        <w:trPr>
          <w:trHeight w:val="392" w:hRule="exact"/>
        </w:trPr>
        <w:tc>
          <w:tcPr>
            <w:tcW w:w="9575"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6"/>
      <w:bookmarkEnd w:id="96"/>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spacing w:line="547" w:lineRule="auto" w:before="0"/>
        <w:ind w:left="153" w:right="1748" w:firstLine="0"/>
        <w:jc w:val="left"/>
        <w:rPr>
          <w:rFonts w:ascii="宋体" w:hAnsi="宋体" w:cs="宋体" w:eastAsia="宋体" w:hint="default"/>
          <w:sz w:val="21"/>
          <w:szCs w:val="21"/>
        </w:rPr>
      </w:pPr>
      <w:bookmarkStart w:name="1、履行社会责任情况" w:id="97"/>
      <w:bookmarkEnd w:id="9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内容详见</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日刊登在巨潮资讯网（</w:t>
      </w:r>
      <w:hyperlink r:id="rId16">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）上的《东华软件股份公司社会责任报告》。 </w:t>
      </w:r>
      <w:bookmarkStart w:name="2、履行精准扶贫社会责任情况" w:id="98"/>
      <w:bookmarkEnd w:id="9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Heading3"/>
        <w:spacing w:line="240" w:lineRule="auto" w:before="26"/>
        <w:ind w:left="154" w:right="0"/>
        <w:jc w:val="left"/>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公司在报告期内暂未开展精准扶贫工作，也暂无后续精准扶贫规划。</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5712"/>
        <w:jc w:val="left"/>
      </w:pPr>
      <w:r>
        <w:rPr/>
        <w:t>上市公司及其子公司是否属于环境保护部门公布的重点排污单位 否。</w:t>
      </w:r>
    </w:p>
    <w:p>
      <w:pPr>
        <w:spacing w:after="0" w:line="357"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1"/>
        <w:ind w:right="0"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日，公司召开第五届董事会第四十九次会议，审议通过了《关于提名公司第六届董事会董事候选人的议 </w:t>
      </w:r>
      <w:r>
        <w:rPr>
          <w:spacing w:val="-2"/>
        </w:rPr>
        <w:t>案》，经公司董事会提名，并经公司董事会提名委员会审查，提名薛向东先生、吕波先生、李建国先生、杨健先生、郑晓清</w:t>
      </w:r>
      <w:r>
        <w:rPr>
          <w:spacing w:val="-65"/>
        </w:rPr>
        <w:t> </w:t>
      </w:r>
      <w:r>
        <w:rPr>
          <w:spacing w:val="-65"/>
        </w:rPr>
      </w:r>
      <w:r>
        <w:rPr>
          <w:spacing w:val="-4"/>
        </w:rPr>
        <w:t>女士、徐德力先生为公司第六届董事会非独立董事候选人，任期三年；提名范玉顺先生、林中先生、李燕女士、栾大龙先生，</w:t>
      </w:r>
      <w:r>
        <w:rPr>
          <w:spacing w:val="-44"/>
        </w:rPr>
        <w:t> </w:t>
      </w:r>
      <w:r>
        <w:rPr>
          <w:spacing w:val="-44"/>
        </w:rPr>
      </w:r>
      <w:r>
        <w:rPr/>
        <w:t>为公司第六届董事会独立董事候选人，任期三年。</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日公司召开</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年第一次临时股东大会，审议通过了上述</w:t>
      </w:r>
    </w:p>
    <w:p>
      <w:pPr>
        <w:pStyle w:val="BodyText"/>
        <w:spacing w:line="300" w:lineRule="auto" w:before="3"/>
        <w:ind w:right="1132"/>
        <w:jc w:val="both"/>
      </w:pPr>
      <w:r>
        <w:rPr/>
        <w:t>议案。详情参见</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12"/>
        </w:rPr>
        <w:t> </w:t>
      </w:r>
      <w:r>
        <w:rPr/>
        <w:t>日和</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日刊登在《中国证券报》、《证券日报》、《证券时报》以及巨潮资讯 网（</w:t>
      </w:r>
      <w:hyperlink r:id="rId16">
        <w:r>
          <w:rPr>
            <w:rFonts w:ascii="Times New Roman" w:hAnsi="Times New Roman" w:cs="Times New Roman" w:eastAsia="Times New Roman" w:hint="default"/>
          </w:rPr>
          <w:t>http://www.cninfo.com.cn</w:t>
        </w:r>
      </w:hyperlink>
      <w:r>
        <w:rPr/>
        <w:t>）上的《东华软件第五届董事会第四十九次会议决议公告》（公告编号：</w:t>
      </w:r>
      <w:r>
        <w:rPr>
          <w:rFonts w:ascii="Times New Roman" w:hAnsi="Times New Roman" w:cs="Times New Roman" w:eastAsia="Times New Roman" w:hint="default"/>
        </w:rPr>
        <w:t>2017-004</w:t>
      </w:r>
      <w:r>
        <w:rPr/>
        <w:t>）、《东华</w:t>
      </w:r>
      <w:r>
        <w:rPr>
          <w:w w:val="99"/>
        </w:rPr>
        <w:t> </w:t>
      </w:r>
      <w:r>
        <w:rPr/>
        <w:t>软件股份公司</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年第一次临时度股东大会决议公告》（公告编号：</w:t>
      </w:r>
      <w:r>
        <w:rPr>
          <w:rFonts w:ascii="Times New Roman" w:hAnsi="Times New Roman" w:cs="Times New Roman" w:eastAsia="Times New Roman" w:hint="default"/>
        </w:rPr>
        <w:t>2017-011</w:t>
      </w:r>
      <w:r>
        <w:rPr/>
        <w:t>）。</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042" w:firstLine="360"/>
        <w:jc w:val="right"/>
      </w:pPr>
      <w:r>
        <w:rPr>
          <w:rFonts w:ascii="Times New Roman" w:hAnsi="Times New Roman" w:cs="Times New Roman" w:eastAsia="Times New Roman" w:hint="default"/>
          <w:spacing w:val="-2"/>
        </w:rPr>
        <w:t>1</w:t>
      </w:r>
      <w:r>
        <w:rPr>
          <w:spacing w:val="-2"/>
        </w:rPr>
        <w:t>、报告期内，</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日公司第六届董事会第四次会议审议通过了《关于对外投资设立大同东华软件有限公司的议</w:t>
      </w:r>
      <w:r>
        <w:rPr/>
        <w:t> </w:t>
      </w:r>
      <w:r>
        <w:rPr>
          <w:spacing w:val="-1"/>
        </w:rPr>
        <w:t>案》，同意公司出资</w:t>
      </w:r>
      <w:r>
        <w:rPr>
          <w:rFonts w:ascii="Times New Roman" w:hAnsi="Times New Roman" w:cs="Times New Roman" w:eastAsia="Times New Roman" w:hint="default"/>
          <w:spacing w:val="-1"/>
        </w:rPr>
        <w:t>20,000</w:t>
      </w:r>
      <w:r>
        <w:rPr>
          <w:spacing w:val="-1"/>
        </w:rPr>
        <w:t>万元人民币投资设立大同东华软件有限公司。详见</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日刊登在《中国证券报》、《证</w:t>
      </w:r>
      <w:r>
        <w:rPr/>
        <w:t> </w:t>
      </w:r>
      <w:r>
        <w:rPr>
          <w:spacing w:val="-6"/>
        </w:rPr>
        <w:t>券日报》、《证券时报》及巨潮资讯网（</w:t>
      </w:r>
      <w:hyperlink r:id="rId16">
        <w:r>
          <w:rPr>
            <w:rFonts w:ascii="Times New Roman" w:hAnsi="Times New Roman" w:cs="Times New Roman" w:eastAsia="Times New Roman" w:hint="default"/>
            <w:spacing w:val="-6"/>
          </w:rPr>
          <w:t>www.cninfo.com.cn</w:t>
        </w:r>
      </w:hyperlink>
      <w:r>
        <w:rPr>
          <w:spacing w:val="-6"/>
        </w:rPr>
        <w:t>）的《东华软件股份公司对外投资公告》（公告编号：</w:t>
      </w:r>
      <w:r>
        <w:rPr>
          <w:rFonts w:ascii="Times New Roman" w:hAnsi="Times New Roman" w:cs="Times New Roman" w:eastAsia="Times New Roman" w:hint="default"/>
          <w:spacing w:val="-6"/>
        </w:rPr>
        <w:t>2017-033</w:t>
      </w:r>
      <w:r>
        <w:rPr>
          <w:spacing w:val="-6"/>
        </w:rPr>
        <w:t>）。</w:t>
      </w:r>
      <w:r>
        <w:rPr>
          <w:spacing w:val="-32"/>
          <w:w w:val="99"/>
        </w:rPr>
        <w:t> </w:t>
      </w:r>
      <w:r>
        <w:rPr>
          <w:rFonts w:ascii="Times New Roman" w:hAnsi="Times New Roman" w:cs="Times New Roman" w:eastAsia="Times New Roman" w:hint="default"/>
          <w:spacing w:val="-2"/>
        </w:rPr>
        <w:t>2</w:t>
      </w:r>
      <w:r>
        <w:rPr>
          <w:spacing w:val="-2"/>
        </w:rPr>
        <w:t>、报告期内，</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日公司第六届董事会第五次会议审议通过了《关于对外投资设立东华软件（安阳）有限公司</w:t>
      </w:r>
      <w:r>
        <w:rPr>
          <w:w w:val="99"/>
        </w:rPr>
        <w:t> </w:t>
      </w:r>
      <w:r>
        <w:rPr>
          <w:spacing w:val="-4"/>
        </w:rPr>
        <w:t>的议案》，同意公司出资</w:t>
      </w:r>
      <w:r>
        <w:rPr>
          <w:rFonts w:ascii="Times New Roman" w:hAnsi="Times New Roman" w:cs="Times New Roman" w:eastAsia="Times New Roman" w:hint="default"/>
          <w:spacing w:val="-4"/>
        </w:rPr>
        <w:t>10,000</w:t>
      </w:r>
      <w:r>
        <w:rPr>
          <w:spacing w:val="-4"/>
        </w:rPr>
        <w:t>万元人民币投资设立东华软件（安阳）有限公司。详见</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13</w:t>
      </w:r>
      <w:r>
        <w:rPr>
          <w:spacing w:val="-4"/>
        </w:rPr>
        <w:t>日刊登在《中国证券报》、</w:t>
      </w:r>
    </w:p>
    <w:p>
      <w:pPr>
        <w:pStyle w:val="BodyText"/>
        <w:spacing w:line="300" w:lineRule="auto" w:before="13"/>
        <w:ind w:right="1204"/>
        <w:jc w:val="left"/>
      </w:pPr>
      <w:r>
        <w:rPr/>
        <w:t>《证券日报》、《证券时报》及巨潮资讯网（</w:t>
      </w:r>
      <w:hyperlink r:id="rId16">
        <w:r>
          <w:rPr>
            <w:rFonts w:ascii="Times New Roman" w:hAnsi="Times New Roman" w:cs="Times New Roman" w:eastAsia="Times New Roman" w:hint="default"/>
          </w:rPr>
          <w:t>www.cninfo.com.cn</w:t>
        </w:r>
      </w:hyperlink>
      <w:r>
        <w:rPr/>
        <w:t>）的《东华软件股份公司对外投资公告（一）》（公告编</w:t>
      </w:r>
      <w:r>
        <w:rPr>
          <w:w w:val="99"/>
        </w:rPr>
        <w:t> </w:t>
      </w:r>
      <w:r>
        <w:rPr/>
        <w:t>号：</w:t>
      </w:r>
      <w:r>
        <w:rPr>
          <w:rFonts w:ascii="Times New Roman" w:hAnsi="Times New Roman" w:cs="Times New Roman" w:eastAsia="Times New Roman" w:hint="default"/>
        </w:rPr>
        <w:t>2017-044</w:t>
      </w:r>
      <w:r>
        <w:rPr/>
        <w:t>）。</w:t>
      </w:r>
    </w:p>
    <w:p>
      <w:pPr>
        <w:pStyle w:val="BodyText"/>
        <w:spacing w:line="300" w:lineRule="auto" w:before="13"/>
        <w:ind w:right="1130" w:firstLine="360"/>
        <w:jc w:val="both"/>
      </w:pPr>
      <w:r>
        <w:rPr>
          <w:rFonts w:ascii="Times New Roman" w:hAnsi="Times New Roman" w:cs="Times New Roman" w:eastAsia="Times New Roman" w:hint="default"/>
          <w:spacing w:val="-2"/>
        </w:rPr>
        <w:t>3</w:t>
      </w:r>
      <w:r>
        <w:rPr>
          <w:spacing w:val="-2"/>
        </w:rPr>
        <w:t>、报告期内，</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日公司第六届董事会第五次会议审议通过了《《关于对外投资设立河北东华冀通软件有限公</w:t>
      </w:r>
      <w:r>
        <w:rPr/>
        <w:t> 司的议案》，同意公司出资</w:t>
      </w:r>
      <w:r>
        <w:rPr>
          <w:rFonts w:ascii="Times New Roman" w:hAnsi="Times New Roman" w:cs="Times New Roman" w:eastAsia="Times New Roman" w:hint="default"/>
        </w:rPr>
        <w:t>10,000</w:t>
      </w:r>
      <w:r>
        <w:rPr/>
        <w:t>人民币万元投资设立河北东华冀通软件有限公司。详见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日刊登在《中国证券 </w:t>
      </w:r>
      <w:r>
        <w:rPr>
          <w:spacing w:val="-2"/>
        </w:rPr>
        <w:t>报》、《证券日报》、《证券时报》及巨潮资讯网（</w:t>
      </w:r>
      <w:hyperlink r:id="rId16">
        <w:r>
          <w:rPr>
            <w:rFonts w:ascii="Times New Roman" w:hAnsi="Times New Roman" w:cs="Times New Roman" w:eastAsia="Times New Roman" w:hint="default"/>
            <w:spacing w:val="-2"/>
          </w:rPr>
          <w:t>www.cninfo.com.cn</w:t>
        </w:r>
      </w:hyperlink>
      <w:r>
        <w:rPr>
          <w:spacing w:val="-2"/>
        </w:rPr>
        <w:t>）的《东华软件股份公司对外投资公告（二）》（公</w:t>
      </w:r>
      <w:r>
        <w:rPr>
          <w:spacing w:val="-82"/>
        </w:rPr>
        <w:t> </w:t>
      </w:r>
      <w:r>
        <w:rPr>
          <w:spacing w:val="-82"/>
        </w:rPr>
      </w:r>
      <w:r>
        <w:rPr/>
        <w:t>告编号：</w:t>
      </w:r>
      <w:r>
        <w:rPr>
          <w:rFonts w:ascii="Times New Roman" w:hAnsi="Times New Roman" w:cs="Times New Roman" w:eastAsia="Times New Roman" w:hint="default"/>
        </w:rPr>
        <w:t>2017-045</w:t>
      </w:r>
      <w:r>
        <w:rPr/>
        <w:t>）。</w:t>
      </w:r>
    </w:p>
    <w:p>
      <w:pPr>
        <w:pStyle w:val="BodyText"/>
        <w:spacing w:line="300" w:lineRule="auto" w:before="13"/>
        <w:ind w:left="154" w:right="1116" w:firstLine="360"/>
        <w:jc w:val="left"/>
      </w:pPr>
      <w:r>
        <w:rPr>
          <w:rFonts w:ascii="Times New Roman" w:hAnsi="Times New Roman" w:cs="Times New Roman" w:eastAsia="Times New Roman" w:hint="default"/>
          <w:spacing w:val="-2"/>
        </w:rPr>
        <w:t>4</w:t>
      </w:r>
      <w:r>
        <w:rPr>
          <w:spacing w:val="-2"/>
        </w:rPr>
        <w:t>、报告期内，</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日公司第六届董事会第五次会议审议通过了《关于全资子公司北京神州新桥科技有限公司以</w:t>
      </w:r>
      <w:r>
        <w:rPr/>
        <w:t> 未分配利润转增注册资本的议案》，同意公司全资子公司北京神州新桥科技有限公司使用未分配利润 </w:t>
      </w:r>
      <w:r>
        <w:rPr>
          <w:rFonts w:ascii="Times New Roman" w:hAnsi="Times New Roman" w:cs="Times New Roman" w:eastAsia="Times New Roman" w:hint="default"/>
        </w:rPr>
        <w:t>18,000</w:t>
      </w:r>
      <w:r>
        <w:rPr>
          <w:rFonts w:ascii="Times New Roman" w:hAnsi="Times New Roman" w:cs="Times New Roman" w:eastAsia="Times New Roman" w:hint="default"/>
          <w:spacing w:val="6"/>
        </w:rPr>
        <w:t> </w:t>
      </w:r>
      <w:r>
        <w:rPr/>
        <w:t>万元人民币转</w:t>
      </w:r>
    </w:p>
    <w:p>
      <w:pPr>
        <w:pStyle w:val="BodyText"/>
        <w:spacing w:line="300" w:lineRule="auto" w:before="13"/>
        <w:ind w:right="1035"/>
        <w:jc w:val="left"/>
      </w:pPr>
      <w:r>
        <w:rPr/>
        <w:t>增注册资本，神州新桥的注册资本由 </w:t>
      </w:r>
      <w:r>
        <w:rPr>
          <w:rFonts w:ascii="Times New Roman" w:hAnsi="Times New Roman" w:cs="Times New Roman" w:eastAsia="Times New Roman" w:hint="default"/>
        </w:rPr>
        <w:t>12,000 </w:t>
      </w:r>
      <w:r>
        <w:rPr/>
        <w:t>万元人民币增至 </w:t>
      </w:r>
      <w:r>
        <w:rPr>
          <w:rFonts w:ascii="Times New Roman" w:hAnsi="Times New Roman" w:cs="Times New Roman" w:eastAsia="Times New Roman" w:hint="default"/>
        </w:rPr>
        <w:t>30,000</w:t>
      </w:r>
      <w:r>
        <w:rPr>
          <w:rFonts w:ascii="Times New Roman" w:hAnsi="Times New Roman" w:cs="Times New Roman" w:eastAsia="Times New Roman" w:hint="default"/>
          <w:spacing w:val="17"/>
        </w:rPr>
        <w:t> </w:t>
      </w:r>
      <w:r>
        <w:rPr/>
        <w:t>万元人民币，神州新桥仍为公司的全资子公司，公司 持其</w:t>
      </w:r>
      <w:r>
        <w:rPr>
          <w:spacing w:val="-5"/>
        </w:rPr>
        <w:t> </w:t>
      </w:r>
      <w:r>
        <w:rPr>
          <w:rFonts w:ascii="Times New Roman" w:hAnsi="Times New Roman" w:cs="Times New Roman" w:eastAsia="Times New Roman" w:hint="default"/>
          <w:spacing w:val="-9"/>
          <w:w w:val="99"/>
        </w:rPr>
        <w:t>100%</w:t>
      </w:r>
      <w:r>
        <w:rPr>
          <w:spacing w:val="-9"/>
          <w:w w:val="99"/>
        </w:rPr>
        <w:t>的股权。详见</w:t>
      </w:r>
      <w:r>
        <w:rPr>
          <w:rFonts w:ascii="Times New Roman" w:hAnsi="Times New Roman" w:cs="Times New Roman" w:eastAsia="Times New Roman" w:hint="default"/>
          <w:spacing w:val="-9"/>
          <w:w w:val="99"/>
        </w:rPr>
        <w:t>2017</w:t>
      </w:r>
      <w:r>
        <w:rPr>
          <w:spacing w:val="-9"/>
          <w:w w:val="99"/>
        </w:rPr>
        <w:t>年</w:t>
      </w:r>
      <w:r>
        <w:rPr>
          <w:rFonts w:ascii="Times New Roman" w:hAnsi="Times New Roman" w:cs="Times New Roman" w:eastAsia="Times New Roman" w:hint="default"/>
          <w:spacing w:val="-9"/>
          <w:w w:val="99"/>
        </w:rPr>
        <w:t>6</w:t>
      </w:r>
      <w:r>
        <w:rPr>
          <w:spacing w:val="-9"/>
          <w:w w:val="99"/>
        </w:rPr>
        <w:t>月</w:t>
      </w:r>
      <w:r>
        <w:rPr>
          <w:rFonts w:ascii="Times New Roman" w:hAnsi="Times New Roman" w:cs="Times New Roman" w:eastAsia="Times New Roman" w:hint="default"/>
          <w:spacing w:val="-9"/>
          <w:w w:val="99"/>
        </w:rPr>
        <w:t>13</w:t>
      </w:r>
      <w:r>
        <w:rPr>
          <w:spacing w:val="-9"/>
          <w:w w:val="99"/>
        </w:rPr>
        <w:t>日刊登在《中国证券报》、《证券日报》、《证券时报》及巨潮资讯网（</w:t>
      </w:r>
      <w:hyperlink r:id="rId16">
        <w:r>
          <w:rPr>
            <w:rFonts w:ascii="Times New Roman" w:hAnsi="Times New Roman" w:cs="Times New Roman" w:eastAsia="Times New Roman" w:hint="default"/>
            <w:spacing w:val="-9"/>
            <w:w w:val="99"/>
          </w:rPr>
          <w:t>www.cninfo.com.cn</w:t>
        </w:r>
      </w:hyperlink>
      <w:r>
        <w:rPr>
          <w:spacing w:val="-9"/>
          <w:w w:val="99"/>
        </w:rPr>
        <w:t>）</w:t>
      </w:r>
      <w:r>
        <w:rPr>
          <w:spacing w:val="-88"/>
          <w:w w:val="99"/>
        </w:rPr>
        <w:t> </w:t>
      </w:r>
      <w:r>
        <w:rPr/>
        <w:t>的《东华软件股份公司关于全资子公司北京神州新桥科技有限公司以未分配利润转增注册资本的公告》（公告编号：</w:t>
      </w:r>
    </w:p>
    <w:p>
      <w:pPr>
        <w:pStyle w:val="BodyText"/>
        <w:spacing w:line="240" w:lineRule="auto" w:before="31"/>
        <w:ind w:right="0"/>
        <w:jc w:val="left"/>
      </w:pPr>
      <w:r>
        <w:rPr>
          <w:rFonts w:ascii="Times New Roman" w:hAnsi="Times New Roman" w:cs="Times New Roman" w:eastAsia="Times New Roman" w:hint="default"/>
        </w:rPr>
        <w:t>2017-046</w:t>
      </w:r>
      <w:r>
        <w:rPr/>
        <w:t>）。</w:t>
      </w:r>
    </w:p>
    <w:p>
      <w:pPr>
        <w:pStyle w:val="BodyText"/>
        <w:spacing w:line="300" w:lineRule="auto" w:before="63"/>
        <w:ind w:right="0" w:firstLine="360"/>
        <w:jc w:val="left"/>
      </w:pPr>
      <w:r>
        <w:rPr>
          <w:rFonts w:ascii="Times New Roman" w:hAnsi="Times New Roman" w:cs="Times New Roman" w:eastAsia="Times New Roman" w:hint="default"/>
          <w:spacing w:val="-2"/>
        </w:rPr>
        <w:t>5</w:t>
      </w:r>
      <w:r>
        <w:rPr>
          <w:spacing w:val="-2"/>
        </w:rPr>
        <w:t>、报告期内，</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日公司第六届董事会第五次会议审议通过了《关于全资子公司减少注册资本议案》，同意公</w:t>
      </w:r>
      <w:r>
        <w:rPr/>
        <w:t> 司全资子公司东华星联科技有限公司减少注册资本</w:t>
      </w:r>
      <w:r>
        <w:rPr>
          <w:rFonts w:ascii="Times New Roman" w:hAnsi="Times New Roman" w:cs="Times New Roman" w:eastAsia="Times New Roman" w:hint="default"/>
        </w:rPr>
        <w:t>19,000 </w:t>
      </w:r>
      <w:r>
        <w:rPr/>
        <w:t>万元人民币，减资完成后的注册资本为</w:t>
      </w:r>
      <w:r>
        <w:rPr>
          <w:rFonts w:ascii="Times New Roman" w:hAnsi="Times New Roman" w:cs="Times New Roman" w:eastAsia="Times New Roman" w:hint="default"/>
        </w:rPr>
        <w:t>1,000 </w:t>
      </w:r>
      <w:r>
        <w:rPr/>
        <w:t>万元人民币</w:t>
      </w:r>
      <w:r>
        <w:rPr>
          <w:spacing w:val="-58"/>
        </w:rPr>
        <w:t> </w:t>
      </w:r>
      <w:r>
        <w:rPr/>
        <w:t>，各股</w:t>
      </w:r>
      <w:r>
        <w:rPr/>
        <w:t> 东按出资比例同比例进行减资。详见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日刊登在《中国证券报》、《证券日报》、《证券时报》及巨潮资讯网</w:t>
      </w:r>
    </w:p>
    <w:p>
      <w:pPr>
        <w:pStyle w:val="BodyText"/>
        <w:spacing w:line="240" w:lineRule="auto" w:before="13"/>
        <w:ind w:left="154" w:right="0"/>
        <w:jc w:val="left"/>
      </w:pPr>
      <w:r>
        <w:rPr/>
        <w:t>（</w:t>
      </w:r>
      <w:hyperlink r:id="rId16">
        <w:r>
          <w:rPr>
            <w:rFonts w:ascii="Times New Roman" w:hAnsi="Times New Roman" w:cs="Times New Roman" w:eastAsia="Times New Roman" w:hint="default"/>
          </w:rPr>
          <w:t>www.cninfo.com.cn</w:t>
        </w:r>
      </w:hyperlink>
      <w:r>
        <w:rPr/>
        <w:t>）的《东华软件股份公司关于全资子公司减少注册资本的公告》（公告编号：</w:t>
      </w:r>
      <w:r>
        <w:rPr>
          <w:rFonts w:ascii="Times New Roman" w:hAnsi="Times New Roman" w:cs="Times New Roman" w:eastAsia="Times New Roman" w:hint="default"/>
        </w:rPr>
        <w:t>2017-047</w:t>
      </w:r>
      <w:r>
        <w:rPr/>
        <w:t>）。</w:t>
      </w:r>
    </w:p>
    <w:p>
      <w:pPr>
        <w:pStyle w:val="BodyText"/>
        <w:spacing w:line="300" w:lineRule="auto" w:before="63"/>
        <w:ind w:right="1131" w:firstLine="360"/>
        <w:jc w:val="left"/>
      </w:pPr>
      <w:r>
        <w:rPr>
          <w:rFonts w:ascii="Times New Roman" w:hAnsi="Times New Roman" w:cs="Times New Roman" w:eastAsia="Times New Roman" w:hint="default"/>
        </w:rPr>
        <w:t>6</w:t>
      </w:r>
      <w:r>
        <w:rPr/>
        <w:t>、报告期内，</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日公司第六届董事会第六次会议审议通过了《关于对外投资设立贵州东华黔通云服务有限公 司的议案》，同意公司及其全资子公司东华云计算有限公司共同出资</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t>万元人民币投资设立贵州东华黔通云服务有限公 司。详见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日刊登在《中国证券报》、《证券日报》、《证券时报》及巨潮资讯网（</w:t>
      </w:r>
      <w:hyperlink r:id="rId16">
        <w:r>
          <w:rPr>
            <w:rFonts w:ascii="Times New Roman" w:hAnsi="Times New Roman" w:cs="Times New Roman" w:eastAsia="Times New Roman" w:hint="default"/>
          </w:rPr>
          <w:t>www.cninfo.com.cn</w:t>
        </w:r>
      </w:hyperlink>
      <w:r>
        <w:rPr/>
        <w:t>）的《东 华软件股份公司对外投资公告（一）》（公告编号：</w:t>
      </w:r>
      <w:r>
        <w:rPr>
          <w:rFonts w:ascii="Times New Roman" w:hAnsi="Times New Roman" w:cs="Times New Roman" w:eastAsia="Times New Roman" w:hint="default"/>
        </w:rPr>
        <w:t>2017-054</w:t>
      </w:r>
      <w:r>
        <w:rPr/>
        <w:t>）。</w:t>
      </w:r>
    </w:p>
    <w:p>
      <w:pPr>
        <w:pStyle w:val="BodyText"/>
        <w:spacing w:line="300" w:lineRule="auto" w:before="13"/>
        <w:ind w:right="1130" w:firstLine="360"/>
        <w:jc w:val="left"/>
      </w:pPr>
      <w:r>
        <w:rPr>
          <w:rFonts w:ascii="Times New Roman" w:hAnsi="Times New Roman" w:cs="Times New Roman" w:eastAsia="Times New Roman" w:hint="default"/>
        </w:rPr>
        <w:t>7</w:t>
      </w:r>
      <w:r>
        <w:rPr/>
        <w:t>、报告期内，</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日公司第六届董事会第六次会议审议通过了《关于对外投资设立海南博育云科技有限公司的 议案》，同意公司及其全资子公司北京东华合创科技有限公司共同出资</w:t>
      </w:r>
      <w:r>
        <w:rPr>
          <w:rFonts w:ascii="Times New Roman" w:hAnsi="Times New Roman" w:cs="Times New Roman" w:eastAsia="Times New Roman" w:hint="default"/>
        </w:rPr>
        <w:t>10,000 </w:t>
      </w:r>
      <w:r>
        <w:rPr/>
        <w:t>万元人民币</w:t>
      </w:r>
      <w:r>
        <w:rPr>
          <w:spacing w:val="-40"/>
        </w:rPr>
        <w:t> </w:t>
      </w:r>
      <w:r>
        <w:rPr/>
        <w:t>投资设立海南博育云科技有限公</w:t>
      </w:r>
      <w:r>
        <w:rPr/>
        <w:t> 司。详见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日刊登在《中国证券报》、《证券日报》、《证券时报》及巨潮资讯网（</w:t>
      </w:r>
      <w:hyperlink r:id="rId16">
        <w:r>
          <w:rPr>
            <w:rFonts w:ascii="Times New Roman" w:hAnsi="Times New Roman" w:cs="Times New Roman" w:eastAsia="Times New Roman" w:hint="default"/>
          </w:rPr>
          <w:t>www.cninfo.com.cn</w:t>
        </w:r>
      </w:hyperlink>
      <w:r>
        <w:rPr/>
        <w:t>）的《东 华软件股份公司对外投资公告（二）》（公告编号：</w:t>
      </w:r>
      <w:r>
        <w:rPr>
          <w:rFonts w:ascii="Times New Roman" w:hAnsi="Times New Roman" w:cs="Times New Roman" w:eastAsia="Times New Roman" w:hint="default"/>
        </w:rPr>
        <w:t>2017-055</w:t>
      </w:r>
      <w:r>
        <w:rPr/>
        <w:t>）。</w:t>
      </w:r>
    </w:p>
    <w:p>
      <w:pPr>
        <w:pStyle w:val="BodyText"/>
        <w:spacing w:line="240" w:lineRule="auto" w:before="13"/>
        <w:ind w:left="514" w:right="0"/>
        <w:jc w:val="left"/>
      </w:pPr>
      <w:r>
        <w:rPr>
          <w:rFonts w:ascii="Times New Roman" w:hAnsi="Times New Roman" w:cs="Times New Roman" w:eastAsia="Times New Roman" w:hint="default"/>
        </w:rPr>
        <w:t>8</w:t>
      </w:r>
      <w:r>
        <w:rPr/>
        <w:t>、报告期内，</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日公司第六届董事会第六次会议审议通过了《关于控股子公司东华智慧城市股份有限公司减</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40"/>
        <w:jc w:val="left"/>
      </w:pPr>
      <w:r>
        <w:rPr/>
        <w:t>少注册资本的议案》，同意控股子公司东华智慧城市股份有限公司减少注册资本</w:t>
      </w:r>
      <w:r>
        <w:rPr>
          <w:rFonts w:ascii="Times New Roman" w:hAnsi="Times New Roman" w:cs="Times New Roman" w:eastAsia="Times New Roman" w:hint="default"/>
        </w:rPr>
        <w:t>5,000</w:t>
      </w:r>
      <w:r>
        <w:rPr/>
        <w:t>万元人民币，减资完成后的注册资本 为</w:t>
      </w:r>
      <w:r>
        <w:rPr>
          <w:rFonts w:ascii="Times New Roman" w:hAnsi="Times New Roman" w:cs="Times New Roman" w:eastAsia="Times New Roman" w:hint="default"/>
        </w:rPr>
        <w:t>5,000 </w:t>
      </w:r>
      <w:r>
        <w:rPr>
          <w:spacing w:val="-1"/>
        </w:rPr>
        <w:t>万元人民币</w:t>
      </w:r>
      <w:r>
        <w:rPr/>
        <w:t> </w:t>
      </w:r>
      <w:r>
        <w:rPr>
          <w:spacing w:val="-13"/>
          <w:w w:val="99"/>
        </w:rPr>
        <w:t>。详见</w:t>
      </w:r>
      <w:r>
        <w:rPr>
          <w:rFonts w:ascii="Times New Roman" w:hAnsi="Times New Roman" w:cs="Times New Roman" w:eastAsia="Times New Roman" w:hint="default"/>
          <w:spacing w:val="-13"/>
          <w:w w:val="99"/>
        </w:rPr>
        <w:t>2017</w:t>
      </w:r>
      <w:r>
        <w:rPr>
          <w:spacing w:val="-13"/>
          <w:w w:val="99"/>
        </w:rPr>
        <w:t>年</w:t>
      </w:r>
      <w:r>
        <w:rPr>
          <w:rFonts w:ascii="Times New Roman" w:hAnsi="Times New Roman" w:cs="Times New Roman" w:eastAsia="Times New Roman" w:hint="default"/>
          <w:spacing w:val="-13"/>
          <w:w w:val="99"/>
        </w:rPr>
        <w:t>8</w:t>
      </w:r>
      <w:r>
        <w:rPr>
          <w:spacing w:val="-13"/>
          <w:w w:val="99"/>
        </w:rPr>
        <w:t>月</w:t>
      </w:r>
      <w:r>
        <w:rPr>
          <w:rFonts w:ascii="Times New Roman" w:hAnsi="Times New Roman" w:cs="Times New Roman" w:eastAsia="Times New Roman" w:hint="default"/>
          <w:spacing w:val="-13"/>
          <w:w w:val="99"/>
        </w:rPr>
        <w:t>4</w:t>
      </w:r>
      <w:r>
        <w:rPr>
          <w:spacing w:val="-13"/>
          <w:w w:val="99"/>
        </w:rPr>
        <w:t>日刊登在《中国证券报》、《证券日报》、《证券时报》及巨潮资讯网（</w:t>
      </w:r>
      <w:hyperlink r:id="rId16">
        <w:r>
          <w:rPr>
            <w:rFonts w:ascii="Times New Roman" w:hAnsi="Times New Roman" w:cs="Times New Roman" w:eastAsia="Times New Roman" w:hint="default"/>
            <w:spacing w:val="-13"/>
            <w:w w:val="99"/>
          </w:rPr>
          <w:t>www.cninfo.com.cn</w:t>
        </w:r>
      </w:hyperlink>
      <w:r>
        <w:rPr>
          <w:spacing w:val="-13"/>
          <w:w w:val="99"/>
        </w:rPr>
        <w:t>）</w:t>
      </w:r>
      <w:r>
        <w:rPr>
          <w:spacing w:val="-83"/>
          <w:w w:val="99"/>
        </w:rPr>
        <w:t> </w:t>
      </w:r>
      <w:r>
        <w:rPr/>
        <w:t>的《东华软件股份公司对外投资公告（三）》（公告编号：</w:t>
      </w:r>
      <w:r>
        <w:rPr>
          <w:rFonts w:ascii="Times New Roman" w:hAnsi="Times New Roman" w:cs="Times New Roman" w:eastAsia="Times New Roman" w:hint="default"/>
        </w:rPr>
        <w:t>2017-056</w:t>
      </w:r>
      <w:r>
        <w:rPr/>
        <w:t>）。</w:t>
      </w:r>
    </w:p>
    <w:p>
      <w:pPr>
        <w:pStyle w:val="BodyText"/>
        <w:spacing w:line="300" w:lineRule="auto" w:before="13"/>
        <w:ind w:left="154" w:right="1042" w:firstLine="360"/>
        <w:jc w:val="both"/>
      </w:pPr>
      <w:r>
        <w:rPr>
          <w:rFonts w:ascii="Times New Roman" w:hAnsi="Times New Roman" w:cs="Times New Roman" w:eastAsia="Times New Roman" w:hint="default"/>
        </w:rPr>
        <w:t>9</w:t>
      </w:r>
      <w:r>
        <w:rPr/>
        <w:t>、报告期内，</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日公司第六届董事会第六次会议审议通过了《关于控股子公司广州东华合创数码科技有限公 司增加注册资本的议案》，同意公司以自筹资金</w:t>
      </w:r>
      <w:r>
        <w:rPr>
          <w:rFonts w:ascii="Times New Roman" w:hAnsi="Times New Roman" w:cs="Times New Roman" w:eastAsia="Times New Roman" w:hint="default"/>
        </w:rPr>
        <w:t>4,900</w:t>
      </w:r>
      <w:r>
        <w:rPr>
          <w:rFonts w:ascii="Times New Roman" w:hAnsi="Times New Roman" w:cs="Times New Roman" w:eastAsia="Times New Roman" w:hint="default"/>
          <w:spacing w:val="27"/>
        </w:rPr>
        <w:t> </w:t>
      </w:r>
      <w:r>
        <w:rPr/>
        <w:t>万元人民币对外增资广州东华合创数码科技有限公司，增资完成后， 广州东华的注册资本由</w:t>
      </w:r>
      <w:r>
        <w:rPr>
          <w:spacing w:val="-33"/>
        </w:rPr>
        <w:t> </w:t>
      </w:r>
      <w:r>
        <w:rPr>
          <w:rFonts w:ascii="Times New Roman" w:hAnsi="Times New Roman" w:cs="Times New Roman" w:eastAsia="Times New Roman" w:hint="default"/>
        </w:rPr>
        <w:t>100</w:t>
      </w:r>
      <w:r>
        <w:rPr>
          <w:rFonts w:ascii="Times New Roman" w:hAnsi="Times New Roman" w:cs="Times New Roman" w:eastAsia="Times New Roman" w:hint="default"/>
          <w:spacing w:val="10"/>
        </w:rPr>
        <w:t> </w:t>
      </w:r>
      <w:r>
        <w:rPr/>
        <w:t>万元人民币增至</w:t>
      </w:r>
      <w:r>
        <w:rPr>
          <w:spacing w:val="-3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1"/>
        </w:rPr>
        <w:t> </w:t>
      </w:r>
      <w:r>
        <w:rPr/>
        <w:t>万元人民币。详见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日刊登在《中国证券报》、《证券日报》、</w:t>
      </w:r>
    </w:p>
    <w:p>
      <w:pPr>
        <w:pStyle w:val="BodyText"/>
        <w:spacing w:line="300" w:lineRule="auto" w:before="13"/>
        <w:ind w:right="1204"/>
        <w:jc w:val="left"/>
      </w:pPr>
      <w:r>
        <w:rPr/>
        <w:t>《证券时报》及巨潮资讯网（</w:t>
      </w:r>
      <w:hyperlink r:id="rId16">
        <w:r>
          <w:rPr>
            <w:rFonts w:ascii="Times New Roman" w:hAnsi="Times New Roman" w:cs="Times New Roman" w:eastAsia="Times New Roman" w:hint="default"/>
          </w:rPr>
          <w:t>www.cninfo.com.cn</w:t>
        </w:r>
      </w:hyperlink>
      <w:r>
        <w:rPr/>
        <w:t>）的《东华软件股份公司关于控股子公司广州东华合创数码科技有限公司</w:t>
      </w:r>
      <w:r>
        <w:rPr>
          <w:w w:val="99"/>
        </w:rPr>
        <w:t> </w:t>
      </w:r>
      <w:r>
        <w:rPr/>
        <w:t>增加注册资本的议案》（公告编号：</w:t>
      </w:r>
      <w:r>
        <w:rPr>
          <w:rFonts w:ascii="Times New Roman" w:hAnsi="Times New Roman" w:cs="Times New Roman" w:eastAsia="Times New Roman" w:hint="default"/>
        </w:rPr>
        <w:t>2017-057</w:t>
      </w:r>
      <w:r>
        <w:rPr/>
        <w:t>）。</w:t>
      </w:r>
    </w:p>
    <w:p>
      <w:pPr>
        <w:pStyle w:val="BodyText"/>
        <w:spacing w:line="300" w:lineRule="auto" w:before="13"/>
        <w:ind w:right="1112" w:firstLine="360"/>
        <w:jc w:val="both"/>
      </w:pPr>
      <w:r>
        <w:rPr>
          <w:rFonts w:ascii="Times New Roman" w:hAnsi="Times New Roman" w:cs="Times New Roman" w:eastAsia="Times New Roman" w:hint="default"/>
        </w:rPr>
        <w:t>10</w:t>
      </w:r>
      <w:r>
        <w:rPr/>
        <w:t>、报告期内，</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日公司第六届董事会第七次会议审议通过了《关于对外投资设立吉广西东华云数据科技有 </w:t>
      </w:r>
      <w:r>
        <w:rPr>
          <w:spacing w:val="-1"/>
        </w:rPr>
        <w:t>限责任公司的议案》，同意公司与北京东华合创科技有限公司共同出资</w:t>
      </w:r>
      <w:r>
        <w:rPr>
          <w:rFonts w:ascii="Times New Roman" w:hAnsi="Times New Roman" w:cs="Times New Roman" w:eastAsia="Times New Roman" w:hint="default"/>
          <w:spacing w:val="-1"/>
        </w:rPr>
        <w:t>10,000</w:t>
      </w:r>
      <w:r>
        <w:rPr>
          <w:spacing w:val="-1"/>
        </w:rPr>
        <w:t>万元人民币投资设立广西东华云数据科技有限</w:t>
      </w:r>
      <w:r>
        <w:rPr>
          <w:spacing w:val="-73"/>
        </w:rPr>
        <w:t> </w:t>
      </w:r>
      <w:r>
        <w:rPr>
          <w:spacing w:val="-73"/>
        </w:rPr>
      </w:r>
      <w:r>
        <w:rPr/>
        <w:t>责任公司。详见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日刊登在《中国证券报》、《证券日报》、《证券时报》及巨潮资讯网（</w:t>
      </w:r>
      <w:hyperlink r:id="rId16">
        <w:r>
          <w:rPr>
            <w:rFonts w:ascii="Times New Roman" w:hAnsi="Times New Roman" w:cs="Times New Roman" w:eastAsia="Times New Roman" w:hint="default"/>
          </w:rPr>
          <w:t>www.cninfo.com.cn</w:t>
        </w:r>
      </w:hyperlink>
      <w:r>
        <w:rPr/>
        <w:t>）</w:t>
      </w:r>
      <w:r>
        <w:rPr>
          <w:w w:val="99"/>
        </w:rPr>
        <w:t> </w:t>
      </w:r>
      <w:r>
        <w:rPr/>
        <w:t>的《东华软件股份公司对外投资公告》（公告编号：</w:t>
      </w:r>
      <w:r>
        <w:rPr>
          <w:rFonts w:ascii="Times New Roman" w:hAnsi="Times New Roman" w:cs="Times New Roman" w:eastAsia="Times New Roman" w:hint="default"/>
        </w:rPr>
        <w:t>2017-065</w:t>
      </w:r>
      <w:r>
        <w:rPr/>
        <w:t>）。</w:t>
      </w:r>
    </w:p>
    <w:p>
      <w:pPr>
        <w:pStyle w:val="BodyText"/>
        <w:spacing w:line="300" w:lineRule="auto" w:before="13"/>
        <w:ind w:right="1130" w:firstLine="360"/>
        <w:jc w:val="left"/>
      </w:pPr>
      <w:r>
        <w:rPr>
          <w:rFonts w:ascii="Times New Roman" w:hAnsi="Times New Roman" w:cs="Times New Roman" w:eastAsia="Times New Roman" w:hint="default"/>
          <w:spacing w:val="-2"/>
        </w:rPr>
        <w:t>11</w:t>
      </w:r>
      <w:r>
        <w:rPr>
          <w:spacing w:val="-2"/>
        </w:rPr>
        <w:t>、报告期内，</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日公司第六届董事会第八次会议审议通过《关于对外投资设立雄安东华全球软件研发有限</w:t>
      </w:r>
      <w:r>
        <w:rPr/>
        <w:t> </w:t>
      </w:r>
      <w:r>
        <w:rPr>
          <w:spacing w:val="-1"/>
        </w:rPr>
        <w:t>公司的议案》，同意公司拟以自筹资金出资人民币</w:t>
      </w:r>
      <w:r>
        <w:rPr>
          <w:rFonts w:ascii="Times New Roman" w:hAnsi="Times New Roman" w:cs="Times New Roman" w:eastAsia="Times New Roman" w:hint="default"/>
          <w:spacing w:val="-1"/>
        </w:rPr>
        <w:t>20,000</w:t>
      </w:r>
      <w:r>
        <w:rPr>
          <w:spacing w:val="-1"/>
        </w:rPr>
        <w:t>万元人民币投资设立雄安东华全球软件研发有限公司。详见</w:t>
      </w:r>
      <w:r>
        <w:rPr>
          <w:rFonts w:ascii="Times New Roman" w:hAnsi="Times New Roman" w:cs="Times New Roman" w:eastAsia="Times New Roman" w:hint="default"/>
          <w:spacing w:val="-1"/>
        </w:rPr>
        <w:t>2017</w:t>
      </w:r>
      <w:r>
        <w:rPr>
          <w:spacing w:val="-1"/>
        </w:rPr>
        <w:t>年</w:t>
      </w:r>
      <w:r>
        <w:rPr>
          <w:spacing w:val="-71"/>
        </w:rPr>
        <w:t> </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日刊登在《中国证券报》、《证券日报》、《证券时报》及巨潮资讯网（</w:t>
      </w:r>
      <w:hyperlink r:id="rId16">
        <w:r>
          <w:rPr>
            <w:rFonts w:ascii="Times New Roman" w:hAnsi="Times New Roman" w:cs="Times New Roman" w:eastAsia="Times New Roman" w:hint="default"/>
          </w:rPr>
          <w:t>www.cninfo.com.cn</w:t>
        </w:r>
      </w:hyperlink>
      <w:r>
        <w:rPr/>
        <w:t>）的《东华软件股份公 司关于对外投资设立雄安东华全球软件研发有限公司的公告》（公告编号：</w:t>
      </w:r>
      <w:r>
        <w:rPr>
          <w:rFonts w:ascii="Times New Roman" w:hAnsi="Times New Roman" w:cs="Times New Roman" w:eastAsia="Times New Roman" w:hint="default"/>
        </w:rPr>
        <w:t>2017-073</w:t>
      </w:r>
      <w:r>
        <w:rPr/>
        <w:t>）。</w:t>
      </w:r>
    </w:p>
    <w:p>
      <w:pPr>
        <w:pStyle w:val="BodyText"/>
        <w:spacing w:line="300" w:lineRule="auto" w:before="13"/>
        <w:ind w:right="1042" w:firstLine="360"/>
        <w:jc w:val="both"/>
      </w:pPr>
      <w:r>
        <w:rPr>
          <w:rFonts w:ascii="Times New Roman" w:hAnsi="Times New Roman" w:cs="Times New Roman" w:eastAsia="Times New Roman" w:hint="default"/>
        </w:rPr>
        <w:t>12</w:t>
      </w:r>
      <w:r>
        <w:rPr/>
        <w:t>、报告期内，</w:t>
      </w:r>
      <w:r>
        <w:rPr>
          <w:spacing w:val="-19"/>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日公司第六届董事会第九次会议审议通过了《关于对外投资设立重庆东华软件有限公司 的议案》，同意公司以自筹资金出资</w:t>
      </w:r>
      <w:r>
        <w:rPr>
          <w:rFonts w:ascii="Times New Roman" w:hAnsi="Times New Roman" w:cs="Times New Roman" w:eastAsia="Times New Roman" w:hint="default"/>
        </w:rPr>
        <w:t>30,000 </w:t>
      </w:r>
      <w:r>
        <w:rPr/>
        <w:t>万元人民币</w:t>
      </w:r>
      <w:r>
        <w:rPr>
          <w:spacing w:val="-39"/>
        </w:rPr>
        <w:t> </w:t>
      </w:r>
      <w:r>
        <w:rPr/>
        <w:t>投资设立重庆东华软件有限公司。详见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日刊登在《中 </w:t>
      </w:r>
      <w:r>
        <w:rPr>
          <w:spacing w:val="-4"/>
        </w:rPr>
        <w:t>国证券报》、《证券日报》、《证券时报》及巨潮资讯网（</w:t>
      </w:r>
      <w:hyperlink r:id="rId16">
        <w:r>
          <w:rPr>
            <w:rFonts w:ascii="Times New Roman" w:hAnsi="Times New Roman" w:cs="Times New Roman" w:eastAsia="Times New Roman" w:hint="default"/>
            <w:spacing w:val="-4"/>
          </w:rPr>
          <w:t>www.cninfo.com.cn</w:t>
        </w:r>
      </w:hyperlink>
      <w:r>
        <w:rPr>
          <w:spacing w:val="-4"/>
        </w:rPr>
        <w:t>）的《东华软件股份公司对外投资公告（一）》</w:t>
      </w:r>
    </w:p>
    <w:p>
      <w:pPr>
        <w:pStyle w:val="BodyText"/>
        <w:spacing w:line="240" w:lineRule="auto" w:before="13"/>
        <w:ind w:right="0"/>
        <w:jc w:val="left"/>
      </w:pPr>
      <w:r>
        <w:rPr/>
        <w:t>（公告编号：</w:t>
      </w:r>
      <w:r>
        <w:rPr>
          <w:rFonts w:ascii="Times New Roman" w:hAnsi="Times New Roman" w:cs="Times New Roman" w:eastAsia="Times New Roman" w:hint="default"/>
        </w:rPr>
        <w:t>2017-078</w:t>
      </w:r>
      <w:r>
        <w:rPr/>
        <w:t>）。</w:t>
      </w:r>
    </w:p>
    <w:p>
      <w:pPr>
        <w:pStyle w:val="BodyText"/>
        <w:spacing w:line="300" w:lineRule="auto" w:before="63"/>
        <w:ind w:right="0" w:firstLine="360"/>
        <w:jc w:val="left"/>
      </w:pPr>
      <w:r>
        <w:rPr>
          <w:rFonts w:ascii="Times New Roman" w:hAnsi="Times New Roman" w:cs="Times New Roman" w:eastAsia="Times New Roman" w:hint="default"/>
        </w:rPr>
        <w:t>13</w:t>
      </w:r>
      <w:r>
        <w:rPr/>
        <w:t>、报告期内，</w:t>
      </w:r>
      <w:r>
        <w:rPr>
          <w:spacing w:val="-19"/>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日公司第六届董事会第九次会议审议通过了《关于对外投资设立云南东华软件有限公司 的议案》，同意公司以自筹资金出资</w:t>
      </w:r>
      <w:r>
        <w:rPr>
          <w:rFonts w:ascii="Times New Roman" w:hAnsi="Times New Roman" w:cs="Times New Roman" w:eastAsia="Times New Roman" w:hint="default"/>
        </w:rPr>
        <w:t>10,000</w:t>
      </w:r>
      <w:r>
        <w:rPr/>
        <w:t>万元人民币</w:t>
      </w:r>
      <w:r>
        <w:rPr>
          <w:spacing w:val="-18"/>
        </w:rPr>
        <w:t> </w:t>
      </w:r>
      <w:r>
        <w:rPr/>
        <w:t>投资设立云南东华软件有限公司。详见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日刊登在《中 </w:t>
      </w:r>
      <w:r>
        <w:rPr>
          <w:spacing w:val="-4"/>
        </w:rPr>
        <w:t>国证券报》、《证券日报》、《证券时报》及巨潮资讯网（</w:t>
      </w:r>
      <w:hyperlink r:id="rId16">
        <w:r>
          <w:rPr>
            <w:rFonts w:ascii="Times New Roman" w:hAnsi="Times New Roman" w:cs="Times New Roman" w:eastAsia="Times New Roman" w:hint="default"/>
            <w:spacing w:val="-4"/>
          </w:rPr>
          <w:t>www.cninfo.com.cn</w:t>
        </w:r>
      </w:hyperlink>
      <w:r>
        <w:rPr>
          <w:spacing w:val="-4"/>
        </w:rPr>
        <w:t>）的《东华软件股份公司对外投资公告（二）》</w:t>
      </w:r>
    </w:p>
    <w:p>
      <w:pPr>
        <w:pStyle w:val="BodyText"/>
        <w:spacing w:line="240" w:lineRule="auto" w:before="13"/>
        <w:ind w:right="0"/>
        <w:jc w:val="left"/>
      </w:pPr>
      <w:r>
        <w:rPr/>
        <w:t>（公告编号：</w:t>
      </w:r>
      <w:r>
        <w:rPr>
          <w:rFonts w:ascii="Times New Roman" w:hAnsi="Times New Roman" w:cs="Times New Roman" w:eastAsia="Times New Roman" w:hint="default"/>
        </w:rPr>
        <w:t>2017-079</w:t>
      </w:r>
      <w:r>
        <w:rPr/>
        <w:t>）。</w:t>
      </w:r>
    </w:p>
    <w:p>
      <w:pPr>
        <w:pStyle w:val="BodyText"/>
        <w:spacing w:line="300" w:lineRule="auto" w:before="63"/>
        <w:ind w:right="1042" w:firstLine="360"/>
        <w:jc w:val="both"/>
      </w:pPr>
      <w:r>
        <w:rPr>
          <w:rFonts w:ascii="Times New Roman" w:hAnsi="Times New Roman" w:cs="Times New Roman" w:eastAsia="Times New Roman" w:hint="default"/>
        </w:rPr>
        <w:t>14</w:t>
      </w:r>
      <w:r>
        <w:rPr/>
        <w:t>、报告期内，</w:t>
      </w:r>
      <w:r>
        <w:rPr>
          <w:spacing w:val="-19"/>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日公司第六届董事会第九次会议审议通过了《关于对外投资北京中能博泰科技有限公司 </w:t>
      </w:r>
      <w:r>
        <w:rPr>
          <w:spacing w:val="-6"/>
        </w:rPr>
        <w:t>的议案》，同意公司以自筹资金出资人民币 </w:t>
      </w:r>
      <w:r>
        <w:rPr>
          <w:rFonts w:ascii="Times New Roman" w:hAnsi="Times New Roman" w:cs="Times New Roman" w:eastAsia="Times New Roman" w:hint="default"/>
          <w:spacing w:val="-3"/>
        </w:rPr>
        <w:t>7,650</w:t>
      </w:r>
      <w:r>
        <w:rPr>
          <w:spacing w:val="-3"/>
        </w:rPr>
        <w:t>万元投资参股北京中能博泰科技有限公司。详见</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27</w:t>
      </w:r>
      <w:r>
        <w:rPr>
          <w:spacing w:val="-3"/>
        </w:rPr>
        <w:t>日刊登在《中</w:t>
      </w:r>
      <w:r>
        <w:rPr>
          <w:spacing w:val="-67"/>
        </w:rPr>
        <w:t> </w:t>
      </w:r>
      <w:r>
        <w:rPr>
          <w:spacing w:val="-67"/>
        </w:rPr>
      </w:r>
      <w:r>
        <w:rPr>
          <w:spacing w:val="-4"/>
        </w:rPr>
        <w:t>国证券报》、《证券日报》、《证券时报》及巨潮资讯网（</w:t>
      </w:r>
      <w:hyperlink r:id="rId16">
        <w:r>
          <w:rPr>
            <w:rFonts w:ascii="Times New Roman" w:hAnsi="Times New Roman" w:cs="Times New Roman" w:eastAsia="Times New Roman" w:hint="default"/>
            <w:spacing w:val="-4"/>
          </w:rPr>
          <w:t>www.cninfo.com.cn</w:t>
        </w:r>
      </w:hyperlink>
      <w:r>
        <w:rPr>
          <w:spacing w:val="-4"/>
        </w:rPr>
        <w:t>）的《东华软件股份公司对外投资公告（二）》</w:t>
      </w:r>
    </w:p>
    <w:p>
      <w:pPr>
        <w:pStyle w:val="BodyText"/>
        <w:spacing w:line="240" w:lineRule="auto" w:before="13"/>
        <w:ind w:right="0"/>
        <w:jc w:val="left"/>
      </w:pPr>
      <w:r>
        <w:rPr/>
        <w:t>（公告编号：</w:t>
      </w:r>
      <w:r>
        <w:rPr>
          <w:rFonts w:ascii="Times New Roman" w:hAnsi="Times New Roman" w:cs="Times New Roman" w:eastAsia="Times New Roman" w:hint="default"/>
        </w:rPr>
        <w:t>2017-080</w:t>
      </w:r>
      <w:r>
        <w:rPr/>
        <w:t>）。</w:t>
      </w:r>
    </w:p>
    <w:p>
      <w:pPr>
        <w:pStyle w:val="BodyText"/>
        <w:spacing w:line="300" w:lineRule="auto" w:before="63"/>
        <w:ind w:right="1130" w:firstLine="360"/>
        <w:jc w:val="both"/>
      </w:pPr>
      <w:r>
        <w:rPr>
          <w:rFonts w:ascii="Times New Roman" w:hAnsi="Times New Roman" w:cs="Times New Roman" w:eastAsia="Times New Roman" w:hint="default"/>
        </w:rPr>
        <w:t>15</w:t>
      </w:r>
      <w:r>
        <w:rPr/>
        <w:t>、报告期内，</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日公司全资子公司雄安东华全球软件研发有限公司已完成工商注册及设立，并取得营业执 </w:t>
      </w:r>
      <w:r>
        <w:rPr>
          <w:spacing w:val="-1"/>
        </w:rPr>
        <w:t>照。详见</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日刊登在《中国证券报》、《证券日报》、《证券时报》及巨潮资讯网（</w:t>
      </w:r>
      <w:hyperlink r:id="rId16">
        <w:r>
          <w:rPr>
            <w:rFonts w:ascii="Times New Roman" w:hAnsi="Times New Roman" w:cs="Times New Roman" w:eastAsia="Times New Roman" w:hint="default"/>
            <w:spacing w:val="-1"/>
          </w:rPr>
          <w:t>www.cninfo.com.cn</w:t>
        </w:r>
      </w:hyperlink>
      <w:r>
        <w:rPr>
          <w:spacing w:val="-1"/>
        </w:rPr>
        <w:t>）的《东</w:t>
      </w:r>
      <w:r>
        <w:rPr>
          <w:spacing w:val="-50"/>
        </w:rPr>
        <w:t> </w:t>
      </w:r>
      <w:r>
        <w:rPr>
          <w:spacing w:val="-50"/>
        </w:rPr>
      </w:r>
      <w:r>
        <w:rPr/>
        <w:t>华软件股份公司关于雄安新区全资子公司完成工商注册的公告》（公告编号：</w:t>
      </w:r>
      <w:r>
        <w:rPr>
          <w:rFonts w:ascii="Times New Roman" w:hAnsi="Times New Roman" w:cs="Times New Roman" w:eastAsia="Times New Roman" w:hint="default"/>
        </w:rPr>
        <w:t>2017-081</w:t>
      </w:r>
      <w:r>
        <w:rPr/>
        <w:t>）。</w:t>
      </w:r>
    </w:p>
    <w:p>
      <w:pPr>
        <w:pStyle w:val="BodyText"/>
        <w:spacing w:line="300" w:lineRule="auto" w:before="13"/>
        <w:ind w:right="1131" w:firstLine="360"/>
        <w:jc w:val="left"/>
      </w:pPr>
      <w:r>
        <w:rPr>
          <w:rFonts w:ascii="Times New Roman" w:hAnsi="Times New Roman" w:cs="Times New Roman" w:eastAsia="Times New Roman" w:hint="default"/>
        </w:rPr>
        <w:t>16</w:t>
      </w:r>
      <w:r>
        <w:rPr/>
        <w:t>、报告期内，</w:t>
      </w:r>
      <w:r>
        <w:rPr>
          <w:spacing w:val="-19"/>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日公司第六届董事会第十二次会议审议通过了《关于对外投资设立桂林东华软件有限公 </w:t>
      </w:r>
      <w:r>
        <w:rPr>
          <w:spacing w:val="-1"/>
        </w:rPr>
        <w:t>司的议案》，同意公司以自筹资金出资</w:t>
      </w:r>
      <w:r>
        <w:rPr>
          <w:rFonts w:ascii="Times New Roman" w:hAnsi="Times New Roman" w:cs="Times New Roman" w:eastAsia="Times New Roman" w:hint="default"/>
          <w:spacing w:val="-1"/>
        </w:rPr>
        <w:t>20,000</w:t>
      </w:r>
      <w:r>
        <w:rPr>
          <w:spacing w:val="-1"/>
        </w:rPr>
        <w:t>万元人民币投资设立桂林东华软件有限公司。详见</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日刊登在《中</w:t>
      </w:r>
      <w:r>
        <w:rPr>
          <w:spacing w:val="-70"/>
        </w:rPr>
        <w:t> </w:t>
      </w:r>
      <w:r>
        <w:rPr>
          <w:spacing w:val="-70"/>
        </w:rPr>
      </w:r>
      <w:r>
        <w:rPr/>
        <w:t>国证券报》、《证券日报》、《证券时报》及巨潮资讯网（</w:t>
      </w:r>
      <w:hyperlink r:id="rId16">
        <w:r>
          <w:rPr>
            <w:rFonts w:ascii="Times New Roman" w:hAnsi="Times New Roman" w:cs="Times New Roman" w:eastAsia="Times New Roman" w:hint="default"/>
          </w:rPr>
          <w:t>www.cninfo.com.cn</w:t>
        </w:r>
      </w:hyperlink>
      <w:r>
        <w:rPr/>
        <w:t>）的《东华软件股份对外投资公告》（公告</w:t>
      </w:r>
      <w:r>
        <w:rPr>
          <w:w w:val="99"/>
        </w:rPr>
        <w:t> </w:t>
      </w:r>
      <w:r>
        <w:rPr/>
        <w:t>编号：</w:t>
      </w:r>
      <w:r>
        <w:rPr>
          <w:rFonts w:ascii="Times New Roman" w:hAnsi="Times New Roman" w:cs="Times New Roman" w:eastAsia="Times New Roman" w:hint="default"/>
        </w:rPr>
        <w:t>2017-100</w:t>
      </w:r>
      <w:r>
        <w:rPr/>
        <w:t>）。</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6" w:id="106"/>
      <w:bookmarkStart w:name="第六节 股份变动及股东情况" w:id="107"/>
      <w:r>
        <w:rPr>
          <w:b w:val="0"/>
          <w:bCs w:val="0"/>
        </w:rPr>
      </w:r>
      <w:r>
        <w:rPr/>
        <w:t>第六节</w:t>
      </w:r>
      <w:r>
        <w:rPr>
          <w:spacing w:val="-10"/>
        </w:rPr>
        <w:t> </w:t>
      </w:r>
      <w:r>
        <w:rPr/>
        <w:t>股份变动及股东情况</w:t>
      </w:r>
      <w:bookmarkEnd w:id="10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79"/>
        <w:gridCol w:w="1146"/>
        <w:gridCol w:w="708"/>
        <w:gridCol w:w="426"/>
        <w:gridCol w:w="1134"/>
        <w:gridCol w:w="566"/>
        <w:gridCol w:w="994"/>
        <w:gridCol w:w="1134"/>
        <w:gridCol w:w="1134"/>
        <w:gridCol w:w="708"/>
      </w:tblGrid>
      <w:tr>
        <w:trPr>
          <w:trHeight w:val="402" w:hRule="exact"/>
        </w:trPr>
        <w:tc>
          <w:tcPr>
            <w:tcW w:w="1679" w:type="dxa"/>
            <w:vMerge w:val="restart"/>
            <w:tcBorders>
              <w:top w:val="single" w:sz="4" w:space="0" w:color="000000"/>
              <w:left w:val="single" w:sz="4" w:space="0" w:color="000000"/>
              <w:right w:val="single" w:sz="4" w:space="0" w:color="000000"/>
            </w:tcBorders>
            <w:shd w:val="clear" w:color="auto" w:fill="D2D2D2"/>
          </w:tcPr>
          <w:p>
            <w:pPr/>
          </w:p>
        </w:tc>
        <w:tc>
          <w:tcPr>
            <w:tcW w:w="18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39"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146"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
        </w:tc>
      </w:tr>
      <w:tr>
        <w:trPr>
          <w:trHeight w:val="178"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7" w:right="2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6"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566"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79" w:type="dxa"/>
            <w:vMerge/>
            <w:tcBorders>
              <w:left w:val="single" w:sz="4" w:space="0" w:color="000000"/>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79" w:type="dxa"/>
            <w:vMerge/>
            <w:tcBorders>
              <w:left w:val="single" w:sz="4" w:space="0" w:color="000000"/>
              <w:bottom w:val="single" w:sz="4" w:space="0" w:color="000000"/>
              <w:right w:val="single" w:sz="4" w:space="0" w:color="000000"/>
            </w:tcBorders>
            <w:shd w:val="clear" w:color="auto" w:fill="D2D2D2"/>
          </w:tcPr>
          <w:p>
            <w:pPr/>
          </w:p>
        </w:tc>
        <w:tc>
          <w:tcPr>
            <w:tcW w:w="114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201,459,936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12.83%</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201,459,936</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-55,130,034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146,329,902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347,789,838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11.08%</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、国有法人持股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1,076,426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1,076,426</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1,076,426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2,152,852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、其他内资持股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200,383,510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12.76%</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200,383,510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-55,130,034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145,253,476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345,636,986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11.01%</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200,383,510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12.76%</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200,383,510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-55,130,034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145,253,476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345,636,986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11.01%</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1,368,433,844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87.17%</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1,368,433,844</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55,130,034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1,423,563,878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2,791,997,722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88.92%</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1,368,433,844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87.17%</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1,368,433,844</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55,130,034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1,423,563,878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2,791,997,722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88.92%</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1,569,893,780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1,569,893,780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1,569,893,780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3,139,787,560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9"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年年初，中国证券登记结算有限公司深圳分公司根据公司董事、监事和高级管理人员</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日所持公司 股份重新计算本年度可转让股份法定额度，其余部分作为高管锁定股份继续锁定。</w:t>
      </w:r>
    </w:p>
    <w:p>
      <w:pPr>
        <w:pStyle w:val="BodyText"/>
        <w:spacing w:line="240" w:lineRule="auto" w:before="31"/>
        <w:ind w:left="513" w:right="0"/>
        <w:jc w:val="left"/>
      </w:pPr>
      <w:r>
        <w:rPr>
          <w:rFonts w:ascii="Times New Roman" w:hAnsi="Times New Roman" w:cs="Times New Roman" w:eastAsia="Times New Roman" w:hint="default"/>
          <w:spacing w:val="4"/>
        </w:rPr>
        <w:t>2</w:t>
      </w:r>
      <w:r>
        <w:rPr>
          <w:spacing w:val="4"/>
        </w:rPr>
        <w:t>、报告期内，公司实施了</w:t>
      </w:r>
      <w:r>
        <w:rPr>
          <w:rFonts w:ascii="Times New Roman" w:hAnsi="Times New Roman" w:cs="Times New Roman" w:eastAsia="Times New Roman" w:hint="default"/>
          <w:spacing w:val="4"/>
        </w:rPr>
        <w:t>2016</w:t>
      </w:r>
      <w:r>
        <w:rPr>
          <w:spacing w:val="4"/>
        </w:rPr>
        <w:t>年年度权益分派方案：以公司权益分派股权登记日</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17</w:t>
      </w:r>
      <w:r>
        <w:rPr>
          <w:spacing w:val="4"/>
        </w:rPr>
        <w:t>日收市时公司总股本</w:t>
      </w:r>
    </w:p>
    <w:p>
      <w:pPr>
        <w:pStyle w:val="BodyText"/>
        <w:spacing w:line="240" w:lineRule="auto" w:before="63"/>
        <w:ind w:left="154" w:right="0"/>
        <w:jc w:val="left"/>
      </w:pPr>
      <w:r>
        <w:rPr>
          <w:rFonts w:ascii="Times New Roman" w:hAnsi="Times New Roman" w:cs="Times New Roman" w:eastAsia="Times New Roman" w:hint="default"/>
        </w:rPr>
        <w:t>1,569,893,780</w:t>
      </w:r>
      <w:r>
        <w:rPr/>
        <w:t>为基数，向全体股东每</w:t>
      </w:r>
      <w:r>
        <w:rPr>
          <w:rFonts w:ascii="Times New Roman" w:hAnsi="Times New Roman" w:cs="Times New Roman" w:eastAsia="Times New Roman" w:hint="default"/>
        </w:rPr>
        <w:t>10</w:t>
      </w:r>
      <w:r>
        <w:rPr/>
        <w:t>股派发现金股利人民币</w:t>
      </w:r>
      <w:r>
        <w:rPr>
          <w:spacing w:val="-22"/>
        </w:rPr>
        <w:t> </w:t>
      </w:r>
      <w:r>
        <w:rPr>
          <w:rFonts w:ascii="Times New Roman" w:hAnsi="Times New Roman" w:cs="Times New Roman" w:eastAsia="Times New Roman" w:hint="default"/>
        </w:rPr>
        <w:t>1.5</w:t>
      </w:r>
      <w:r>
        <w:rPr/>
        <w:t>元（含税）；同时，向全体股东每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10</w:t>
      </w:r>
      <w:r>
        <w:rPr/>
        <w:t>股。</w:t>
      </w:r>
    </w:p>
    <w:p>
      <w:pPr>
        <w:pStyle w:val="BodyText"/>
        <w:spacing w:line="300" w:lineRule="auto" w:before="63"/>
        <w:ind w:right="1130"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日，黄麟雏、侯丹军、侯丹云、程相利、李宇、白钢、吴勇、范学义、赫长云、姜永淑、储著荣、汪汉</w:t>
      </w:r>
      <w:r>
        <w:rPr/>
        <w:t> </w:t>
      </w:r>
      <w:r>
        <w:rPr>
          <w:spacing w:val="-4"/>
        </w:rPr>
        <w:t>文、李姝、付琪舒、闫旭光、王静、秦友奎、姜以波 </w:t>
      </w:r>
      <w:r>
        <w:rPr>
          <w:rFonts w:ascii="Times New Roman" w:hAnsi="Times New Roman" w:cs="Times New Roman" w:eastAsia="Times New Roman" w:hint="default"/>
        </w:rPr>
        <w:t>18 </w:t>
      </w:r>
      <w:r>
        <w:rPr/>
        <w:t>名自然人股东合计持有的</w:t>
      </w:r>
      <w:r>
        <w:rPr>
          <w:rFonts w:ascii="Times New Roman" w:hAnsi="Times New Roman" w:cs="Times New Roman" w:eastAsia="Times New Roman" w:hint="default"/>
        </w:rPr>
        <w:t>58,425,184</w:t>
      </w:r>
      <w:r>
        <w:rPr/>
        <w:t>股股份解除限售</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实际可上市流 通的数量为</w:t>
      </w:r>
      <w:r>
        <w:rPr>
          <w:rFonts w:ascii="Times New Roman" w:hAnsi="Times New Roman" w:cs="Times New Roman" w:eastAsia="Times New Roman" w:hint="default"/>
        </w:rPr>
        <w:t>53,946,778</w:t>
      </w:r>
      <w:r>
        <w:rPr/>
        <w:t>股。详情参见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日刊登在《中国证券报》、《证券日报》、《证券时报》以及巨潮资讯网</w:t>
      </w:r>
    </w:p>
    <w:p>
      <w:pPr>
        <w:pStyle w:val="BodyText"/>
        <w:spacing w:line="340" w:lineRule="auto" w:before="13"/>
        <w:ind w:left="154" w:right="1327"/>
        <w:jc w:val="left"/>
      </w:pPr>
      <w:r>
        <w:rPr/>
        <w:t>（</w:t>
      </w:r>
      <w:hyperlink r:id="rId16">
        <w:r>
          <w:rPr>
            <w:rFonts w:ascii="Times New Roman" w:hAnsi="Times New Roman" w:cs="Times New Roman" w:eastAsia="Times New Roman" w:hint="default"/>
          </w:rPr>
          <w:t>http://www.cninfo.com.cn</w:t>
        </w:r>
      </w:hyperlink>
      <w:r>
        <w:rPr/>
        <w:t>）上的《东华软件股份公司关于限售股份上市流通的提示性公告》（公告编号：</w:t>
      </w:r>
      <w:r>
        <w:rPr>
          <w:rFonts w:ascii="Times New Roman" w:hAnsi="Times New Roman" w:cs="Times New Roman" w:eastAsia="Times New Roman" w:hint="default"/>
        </w:rPr>
        <w:t>2017-052</w:t>
      </w:r>
      <w:r>
        <w:rPr/>
        <w:t>）。 股份变动的批准情况</w:t>
      </w:r>
    </w:p>
    <w:p>
      <w:pPr>
        <w:pStyle w:val="BodyText"/>
        <w:spacing w:line="240" w:lineRule="auto" w:before="41"/>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2"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日，公司</w:t>
      </w:r>
      <w:r>
        <w:rPr>
          <w:rFonts w:ascii="Times New Roman" w:hAnsi="Times New Roman" w:cs="Times New Roman" w:eastAsia="Times New Roman" w:hint="default"/>
          <w:spacing w:val="-2"/>
        </w:rPr>
        <w:t>2016</w:t>
      </w:r>
      <w:r>
        <w:rPr>
          <w:spacing w:val="-2"/>
        </w:rPr>
        <w:t>年年度股东大会审议通过了《</w:t>
      </w:r>
      <w:r>
        <w:rPr>
          <w:rFonts w:ascii="Times New Roman" w:hAnsi="Times New Roman" w:cs="Times New Roman" w:eastAsia="Times New Roman" w:hint="default"/>
          <w:spacing w:val="-2"/>
        </w:rPr>
        <w:t>2016</w:t>
      </w:r>
      <w:r>
        <w:rPr>
          <w:spacing w:val="-2"/>
        </w:rPr>
        <w:t>年度利润分配预案》，以公司权益分派股权登记日</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日收市时公司总股本</w:t>
      </w:r>
      <w:r>
        <w:rPr>
          <w:rFonts w:ascii="Times New Roman" w:hAnsi="Times New Roman" w:cs="Times New Roman" w:eastAsia="Times New Roman" w:hint="default"/>
        </w:rPr>
        <w:t>1,569,893,780</w:t>
      </w:r>
      <w:r>
        <w:rPr/>
        <w:t>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1.5</w:t>
      </w:r>
      <w:r>
        <w:rPr/>
        <w:t>元（含税）；同时，向全体股</w:t>
      </w:r>
      <w:r>
        <w:rPr>
          <w:spacing w:val="-87"/>
        </w:rPr>
        <w:t> </w:t>
      </w:r>
      <w:r>
        <w:rPr>
          <w:spacing w:val="-87"/>
        </w:rPr>
      </w:r>
      <w:r>
        <w:rPr/>
        <w:t>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2016</w:t>
      </w:r>
      <w:r>
        <w:rPr/>
        <w:t>年年度权益分派方案实施完毕。</w:t>
      </w:r>
    </w:p>
    <w:p>
      <w:pPr>
        <w:pStyle w:val="BodyText"/>
        <w:spacing w:line="240" w:lineRule="auto" w:before="53"/>
        <w:ind w:right="0"/>
        <w:jc w:val="left"/>
      </w:pPr>
      <w:r>
        <w:rPr/>
        <w:t>股份变动的过户情况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54"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2016</w:t>
      </w:r>
      <w:r>
        <w:rPr/>
        <w:t>年年度权益分派方案实施完毕。公司派发红股股份计入到权益分派股权登记日在册股东证券 账户。</w:t>
      </w:r>
    </w:p>
    <w:p>
      <w:pPr>
        <w:pStyle w:val="BodyText"/>
        <w:spacing w:line="240" w:lineRule="auto" w:before="70"/>
        <w:ind w:left="154" w:right="0"/>
        <w:jc w:val="left"/>
      </w:pPr>
      <w:r>
        <w:rPr/>
        <w:t>股份变动对最近一年和最近一期基本每股收益和稀释每股收益、归属于公司普通股股东的每股净资产等财务指标的影响</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0" w:lineRule="auto" w:before="102"/>
        <w:ind w:right="4401" w:firstLine="360"/>
        <w:jc w:val="left"/>
      </w:pPr>
      <w:r>
        <w:rPr/>
        <w:t>详见</w:t>
      </w:r>
      <w:r>
        <w:rPr>
          <w:rFonts w:ascii="Times New Roman" w:hAnsi="Times New Roman" w:cs="Times New Roman" w:eastAsia="Times New Roman" w:hint="default"/>
        </w:rPr>
        <w:t>“</w:t>
      </w:r>
      <w:r>
        <w:rPr/>
        <w:t>第二节</w:t>
      </w:r>
      <w:r>
        <w:rPr>
          <w:spacing w:val="-18"/>
        </w:rPr>
        <w:t> </w:t>
      </w:r>
      <w:r>
        <w:rPr/>
        <w:t>公司简介和主要财务指标</w:t>
      </w:r>
      <w:r>
        <w:rPr>
          <w:rFonts w:ascii="Times New Roman" w:hAnsi="Times New Roman" w:cs="Times New Roman" w:eastAsia="Times New Roman" w:hint="default"/>
        </w:rPr>
        <w:t>——</w:t>
      </w:r>
      <w:r>
        <w:rPr/>
        <w:t>六、主要会计数据和财务指标</w:t>
      </w:r>
      <w:r>
        <w:rPr>
          <w:rFonts w:ascii="Times New Roman" w:hAnsi="Times New Roman" w:cs="Times New Roman" w:eastAsia="Times New Roman" w:hint="default"/>
        </w:rPr>
        <w:t>”</w:t>
      </w:r>
      <w:r>
        <w:rPr/>
        <w:t>。 公司认为必要或证券监管机构要求披露的其他内容</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992"/>
        <w:gridCol w:w="994"/>
        <w:gridCol w:w="1274"/>
        <w:gridCol w:w="1560"/>
        <w:gridCol w:w="2341"/>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1"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143,420,018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146,459,918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289,879,936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章云芳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19,426,049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19,426,049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38,852,098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至高通信重组项目 增发股份限售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日附条件解除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38,852,098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黄麟雏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4,389,132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4,389,132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威锐达重组项目增 发股份限售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日解除限售股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4,389,132  </w:t>
            </w:r>
            <w:r>
              <w:rPr>
                <w:rFonts w:ascii="宋体" w:hAnsi="宋体" w:cs="宋体" w:eastAsia="宋体" w:hint="default"/>
                <w:sz w:val="18"/>
                <w:szCs w:val="18"/>
              </w:rPr>
              <w:t>股</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侯丹云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3,657,610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3,657,610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威锐达重组项目增 发股份限售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日解除限售股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3,657,610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侯丹军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3,657,610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3,657,610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威锐达重组项目增 发股份限售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日解除限售股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3,657,610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红塔创新投 资股份有限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1,076,426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1,076,426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2,152,852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威锐达重组项目增 发股份限售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日附条件解除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1,076,426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程相利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2,926,088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2,926,088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威锐达重组项目增 发股份限售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日解除限售股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2,926,088  </w:t>
            </w:r>
            <w:r>
              <w:rPr>
                <w:rFonts w:ascii="宋体" w:hAnsi="宋体" w:cs="宋体" w:eastAsia="宋体" w:hint="default"/>
                <w:sz w:val="18"/>
                <w:szCs w:val="18"/>
              </w:rPr>
              <w:t>股</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2,278,769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2,278,769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4,557,538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吴勇等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交易对方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14,582,152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14,582,152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威锐达重组项目增 发股份限售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日解除限售股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14,582,152  </w:t>
            </w:r>
            <w:r>
              <w:rPr>
                <w:rFonts w:ascii="宋体" w:hAnsi="宋体" w:cs="宋体" w:eastAsia="宋体" w:hint="default"/>
                <w:sz w:val="18"/>
                <w:szCs w:val="18"/>
              </w:rPr>
              <w:t>股</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刘玉龙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1,720,129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1,720,129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3,440,258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至高通信重组项目 增发股份限售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日附条件解除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3,440,258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夏金崇等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名高管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4,325,953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4,583,203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8,907,156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高管股例行限售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201,459,936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29,214,592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175,544,494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347,789,838</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77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详见本章节</w:t>
      </w:r>
      <w:r>
        <w:rPr>
          <w:rFonts w:ascii="Times New Roman" w:hAnsi="Times New Roman" w:cs="Times New Roman" w:eastAsia="Times New Roman" w:hint="default"/>
        </w:rPr>
        <w:t>“</w:t>
      </w:r>
      <w:r>
        <w:rPr/>
        <w:t>一、股份变动情况</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506"/>
        <w:gridCol w:w="701"/>
        <w:gridCol w:w="716"/>
        <w:gridCol w:w="698"/>
        <w:gridCol w:w="153"/>
        <w:gridCol w:w="825"/>
        <w:gridCol w:w="167"/>
        <w:gridCol w:w="850"/>
        <w:gridCol w:w="273"/>
        <w:gridCol w:w="719"/>
        <w:gridCol w:w="384"/>
        <w:gridCol w:w="751"/>
        <w:gridCol w:w="568"/>
        <w:gridCol w:w="130"/>
        <w:gridCol w:w="932"/>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98,729</w:t>
            </w:r>
          </w:p>
        </w:tc>
        <w:tc>
          <w:tcPr>
            <w:tcW w:w="1414" w:type="dxa"/>
            <w:gridSpan w:val="2"/>
            <w:vMerge w:val="restart"/>
            <w:tcBorders>
              <w:top w:val="single" w:sz="4" w:space="0" w:color="000000"/>
              <w:left w:val="single" w:sz="4" w:space="0" w:color="000000"/>
              <w:right w:val="single" w:sz="4" w:space="0" w:color="000000"/>
            </w:tcBorders>
            <w:shd w:val="clear" w:color="auto" w:fill="D2D2D2"/>
          </w:tcPr>
          <w:p>
            <w:pPr/>
          </w:p>
        </w:tc>
        <w:tc>
          <w:tcPr>
            <w:tcW w:w="97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109,603</w:t>
            </w:r>
          </w:p>
        </w:tc>
        <w:tc>
          <w:tcPr>
            <w:tcW w:w="129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103"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4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4"/>
              <w:jc w:val="left"/>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股东总数（如有）</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32"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414" w:type="dxa"/>
            <w:gridSpan w:val="2"/>
            <w:vMerge/>
            <w:tcBorders>
              <w:left w:val="single" w:sz="4" w:space="0" w:color="000000"/>
              <w:bottom w:val="nil" w:sz="6" w:space="0" w:color="auto"/>
              <w:right w:val="single" w:sz="4" w:space="0" w:color="000000"/>
            </w:tcBorders>
            <w:shd w:val="clear" w:color="auto" w:fill="D2D2D2"/>
          </w:tcPr>
          <w:p>
            <w:pPr/>
          </w:p>
        </w:tc>
        <w:tc>
          <w:tcPr>
            <w:tcW w:w="978" w:type="dxa"/>
            <w:gridSpan w:val="2"/>
            <w:vMerge/>
            <w:tcBorders>
              <w:left w:val="single" w:sz="9" w:space="0" w:color="D2D2D2"/>
              <w:right w:val="single" w:sz="9" w:space="0" w:color="D2D2D2"/>
            </w:tcBorders>
          </w:tcPr>
          <w:p>
            <w:pPr/>
          </w:p>
        </w:tc>
        <w:tc>
          <w:tcPr>
            <w:tcW w:w="1290"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36"/>
              <w:jc w:val="left"/>
              <w:rPr>
                <w:rFonts w:ascii="宋体" w:hAnsi="宋体" w:cs="宋体" w:eastAsia="宋体" w:hint="default"/>
                <w:sz w:val="18"/>
                <w:szCs w:val="18"/>
              </w:rPr>
            </w:pPr>
            <w:r>
              <w:rPr>
                <w:rFonts w:ascii="宋体" w:hAnsi="宋体" w:cs="宋体" w:eastAsia="宋体" w:hint="default"/>
                <w:sz w:val="18"/>
                <w:szCs w:val="18"/>
              </w:rPr>
              <w:t>报告期末表决 权恢复的优先 股股东总数（如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03" w:type="dxa"/>
            <w:gridSpan w:val="2"/>
            <w:vMerge/>
            <w:tcBorders>
              <w:left w:val="single" w:sz="9" w:space="0" w:color="D2D2D2"/>
              <w:right w:val="single" w:sz="13" w:space="0" w:color="D2D2D2"/>
            </w:tcBorders>
          </w:tcPr>
          <w:p>
            <w:pPr/>
          </w:p>
        </w:tc>
        <w:tc>
          <w:tcPr>
            <w:tcW w:w="1448" w:type="dxa"/>
            <w:gridSpan w:val="3"/>
            <w:vMerge/>
            <w:tcBorders>
              <w:left w:val="single" w:sz="4" w:space="0" w:color="000000"/>
              <w:right w:val="single" w:sz="4" w:space="0" w:color="000000"/>
            </w:tcBorders>
            <w:shd w:val="clear" w:color="auto" w:fill="D2D2D2"/>
          </w:tcPr>
          <w:p>
            <w:pPr/>
          </w:p>
        </w:tc>
        <w:tc>
          <w:tcPr>
            <w:tcW w:w="932"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41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32"/>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978" w:type="dxa"/>
            <w:gridSpan w:val="2"/>
            <w:vMerge/>
            <w:tcBorders>
              <w:left w:val="single" w:sz="9" w:space="0" w:color="D2D2D2"/>
              <w:right w:val="single" w:sz="9" w:space="0" w:color="D2D2D2"/>
            </w:tcBorders>
          </w:tcPr>
          <w:p>
            <w:pPr/>
          </w:p>
        </w:tc>
        <w:tc>
          <w:tcPr>
            <w:tcW w:w="1290" w:type="dxa"/>
            <w:gridSpan w:val="3"/>
            <w:vMerge/>
            <w:tcBorders>
              <w:left w:val="single" w:sz="4" w:space="0" w:color="000000"/>
              <w:right w:val="single" w:sz="4" w:space="0" w:color="000000"/>
            </w:tcBorders>
            <w:shd w:val="clear" w:color="auto" w:fill="D2D2D2"/>
          </w:tcPr>
          <w:p>
            <w:pPr/>
          </w:p>
        </w:tc>
        <w:tc>
          <w:tcPr>
            <w:tcW w:w="1103" w:type="dxa"/>
            <w:gridSpan w:val="2"/>
            <w:vMerge/>
            <w:tcBorders>
              <w:left w:val="single" w:sz="9" w:space="0" w:color="D2D2D2"/>
              <w:right w:val="single" w:sz="13" w:space="0" w:color="D2D2D2"/>
            </w:tcBorders>
          </w:tcPr>
          <w:p>
            <w:pPr/>
          </w:p>
        </w:tc>
        <w:tc>
          <w:tcPr>
            <w:tcW w:w="1448" w:type="dxa"/>
            <w:gridSpan w:val="3"/>
            <w:vMerge/>
            <w:tcBorders>
              <w:left w:val="single" w:sz="4" w:space="0" w:color="000000"/>
              <w:right w:val="single" w:sz="4" w:space="0" w:color="000000"/>
            </w:tcBorders>
            <w:shd w:val="clear" w:color="auto" w:fill="D2D2D2"/>
          </w:tcPr>
          <w:p>
            <w:pPr/>
          </w:p>
        </w:tc>
        <w:tc>
          <w:tcPr>
            <w:tcW w:w="932"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414" w:type="dxa"/>
            <w:gridSpan w:val="2"/>
            <w:vMerge/>
            <w:tcBorders>
              <w:left w:val="single" w:sz="4" w:space="0" w:color="000000"/>
              <w:right w:val="single" w:sz="4" w:space="0" w:color="000000"/>
            </w:tcBorders>
            <w:shd w:val="clear" w:color="auto" w:fill="D2D2D2"/>
          </w:tcPr>
          <w:p>
            <w:pPr/>
          </w:p>
        </w:tc>
        <w:tc>
          <w:tcPr>
            <w:tcW w:w="978" w:type="dxa"/>
            <w:gridSpan w:val="2"/>
            <w:vMerge/>
            <w:tcBorders>
              <w:left w:val="single" w:sz="9" w:space="0" w:color="D2D2D2"/>
              <w:right w:val="single" w:sz="9" w:space="0" w:color="D2D2D2"/>
            </w:tcBorders>
          </w:tcPr>
          <w:p>
            <w:pPr/>
          </w:p>
        </w:tc>
        <w:tc>
          <w:tcPr>
            <w:tcW w:w="1290" w:type="dxa"/>
            <w:gridSpan w:val="3"/>
            <w:vMerge/>
            <w:tcBorders>
              <w:left w:val="single" w:sz="4" w:space="0" w:color="000000"/>
              <w:right w:val="single" w:sz="4" w:space="0" w:color="000000"/>
            </w:tcBorders>
            <w:shd w:val="clear" w:color="auto" w:fill="D2D2D2"/>
          </w:tcPr>
          <w:p>
            <w:pPr/>
          </w:p>
        </w:tc>
        <w:tc>
          <w:tcPr>
            <w:tcW w:w="1103" w:type="dxa"/>
            <w:gridSpan w:val="2"/>
            <w:vMerge/>
            <w:tcBorders>
              <w:left w:val="single" w:sz="9" w:space="0" w:color="D2D2D2"/>
              <w:right w:val="single" w:sz="13" w:space="0" w:color="D2D2D2"/>
            </w:tcBorders>
          </w:tcPr>
          <w:p>
            <w:pPr/>
          </w:p>
        </w:tc>
        <w:tc>
          <w:tcPr>
            <w:tcW w:w="1448" w:type="dxa"/>
            <w:gridSpan w:val="3"/>
            <w:vMerge/>
            <w:tcBorders>
              <w:left w:val="single" w:sz="4" w:space="0" w:color="000000"/>
              <w:right w:val="single" w:sz="4" w:space="0" w:color="000000"/>
            </w:tcBorders>
            <w:shd w:val="clear" w:color="auto" w:fill="D2D2D2"/>
          </w:tcPr>
          <w:p>
            <w:pPr/>
          </w:p>
        </w:tc>
        <w:tc>
          <w:tcPr>
            <w:tcW w:w="932" w:type="dxa"/>
            <w:vMerge/>
            <w:tcBorders>
              <w:left w:val="single" w:sz="13" w:space="0" w:color="D2D2D2"/>
              <w:right w:val="single" w:sz="4" w:space="0" w:color="000000"/>
            </w:tcBorders>
          </w:tcPr>
          <w:p>
            <w:pP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414" w:type="dxa"/>
            <w:gridSpan w:val="2"/>
            <w:vMerge/>
            <w:tcBorders>
              <w:left w:val="single" w:sz="4" w:space="0" w:color="000000"/>
              <w:bottom w:val="nil" w:sz="6" w:space="0" w:color="auto"/>
              <w:right w:val="single" w:sz="4" w:space="0" w:color="000000"/>
            </w:tcBorders>
            <w:shd w:val="clear" w:color="auto" w:fill="D2D2D2"/>
          </w:tcPr>
          <w:p>
            <w:pPr/>
          </w:p>
        </w:tc>
        <w:tc>
          <w:tcPr>
            <w:tcW w:w="978" w:type="dxa"/>
            <w:gridSpan w:val="2"/>
            <w:vMerge/>
            <w:tcBorders>
              <w:left w:val="single" w:sz="9" w:space="0" w:color="D2D2D2"/>
              <w:right w:val="single" w:sz="9" w:space="0" w:color="D2D2D2"/>
            </w:tcBorders>
          </w:tcPr>
          <w:p>
            <w:pPr/>
          </w:p>
        </w:tc>
        <w:tc>
          <w:tcPr>
            <w:tcW w:w="1290" w:type="dxa"/>
            <w:gridSpan w:val="3"/>
            <w:vMerge/>
            <w:tcBorders>
              <w:left w:val="single" w:sz="4" w:space="0" w:color="000000"/>
              <w:right w:val="single" w:sz="4" w:space="0" w:color="000000"/>
            </w:tcBorders>
            <w:shd w:val="clear" w:color="auto" w:fill="D2D2D2"/>
          </w:tcPr>
          <w:p>
            <w:pPr/>
          </w:p>
        </w:tc>
        <w:tc>
          <w:tcPr>
            <w:tcW w:w="1103" w:type="dxa"/>
            <w:gridSpan w:val="2"/>
            <w:vMerge/>
            <w:tcBorders>
              <w:left w:val="single" w:sz="9" w:space="0" w:color="D2D2D2"/>
              <w:right w:val="single" w:sz="13" w:space="0" w:color="D2D2D2"/>
            </w:tcBorders>
          </w:tcPr>
          <w:p>
            <w:pPr/>
          </w:p>
        </w:tc>
        <w:tc>
          <w:tcPr>
            <w:tcW w:w="1448" w:type="dxa"/>
            <w:gridSpan w:val="3"/>
            <w:vMerge/>
            <w:tcBorders>
              <w:left w:val="single" w:sz="4" w:space="0" w:color="000000"/>
              <w:right w:val="single" w:sz="4" w:space="0" w:color="000000"/>
            </w:tcBorders>
            <w:shd w:val="clear" w:color="auto" w:fill="D2D2D2"/>
          </w:tcPr>
          <w:p>
            <w:pPr/>
          </w:p>
        </w:tc>
        <w:tc>
          <w:tcPr>
            <w:tcW w:w="932"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414" w:type="dxa"/>
            <w:gridSpan w:val="2"/>
            <w:vMerge w:val="restart"/>
            <w:tcBorders>
              <w:top w:val="nil" w:sz="6" w:space="0" w:color="auto"/>
              <w:left w:val="single" w:sz="4" w:space="0" w:color="000000"/>
              <w:right w:val="single" w:sz="4" w:space="0" w:color="000000"/>
            </w:tcBorders>
            <w:shd w:val="clear" w:color="auto" w:fill="D2D2D2"/>
          </w:tcPr>
          <w:p>
            <w:pPr/>
          </w:p>
        </w:tc>
        <w:tc>
          <w:tcPr>
            <w:tcW w:w="978" w:type="dxa"/>
            <w:gridSpan w:val="2"/>
            <w:vMerge/>
            <w:tcBorders>
              <w:left w:val="single" w:sz="9" w:space="0" w:color="D2D2D2"/>
              <w:right w:val="single" w:sz="9" w:space="0" w:color="D2D2D2"/>
            </w:tcBorders>
          </w:tcPr>
          <w:p>
            <w:pPr/>
          </w:p>
        </w:tc>
        <w:tc>
          <w:tcPr>
            <w:tcW w:w="1290" w:type="dxa"/>
            <w:gridSpan w:val="3"/>
            <w:vMerge/>
            <w:tcBorders>
              <w:left w:val="single" w:sz="4" w:space="0" w:color="000000"/>
              <w:bottom w:val="nil" w:sz="6" w:space="0" w:color="auto"/>
              <w:right w:val="single" w:sz="4" w:space="0" w:color="000000"/>
            </w:tcBorders>
            <w:shd w:val="clear" w:color="auto" w:fill="D2D2D2"/>
          </w:tcPr>
          <w:p>
            <w:pPr/>
          </w:p>
        </w:tc>
        <w:tc>
          <w:tcPr>
            <w:tcW w:w="1103" w:type="dxa"/>
            <w:gridSpan w:val="2"/>
            <w:vMerge/>
            <w:tcBorders>
              <w:left w:val="single" w:sz="9" w:space="0" w:color="D2D2D2"/>
              <w:right w:val="single" w:sz="13" w:space="0" w:color="D2D2D2"/>
            </w:tcBorders>
          </w:tcPr>
          <w:p>
            <w:pPr/>
          </w:p>
        </w:tc>
        <w:tc>
          <w:tcPr>
            <w:tcW w:w="1448" w:type="dxa"/>
            <w:gridSpan w:val="3"/>
            <w:vMerge/>
            <w:tcBorders>
              <w:left w:val="single" w:sz="4" w:space="0" w:color="000000"/>
              <w:right w:val="single" w:sz="4" w:space="0" w:color="000000"/>
            </w:tcBorders>
            <w:shd w:val="clear" w:color="auto" w:fill="D2D2D2"/>
          </w:tcPr>
          <w:p>
            <w:pPr/>
          </w:p>
        </w:tc>
        <w:tc>
          <w:tcPr>
            <w:tcW w:w="932"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414" w:type="dxa"/>
            <w:gridSpan w:val="2"/>
            <w:vMerge/>
            <w:tcBorders>
              <w:left w:val="single" w:sz="4" w:space="0" w:color="000000"/>
              <w:bottom w:val="single" w:sz="4" w:space="0" w:color="000000"/>
              <w:right w:val="single" w:sz="4" w:space="0" w:color="000000"/>
            </w:tcBorders>
            <w:shd w:val="clear" w:color="auto" w:fill="D2D2D2"/>
          </w:tcPr>
          <w:p>
            <w:pPr/>
          </w:p>
        </w:tc>
        <w:tc>
          <w:tcPr>
            <w:tcW w:w="978" w:type="dxa"/>
            <w:gridSpan w:val="2"/>
            <w:vMerge/>
            <w:tcBorders>
              <w:left w:val="single" w:sz="9" w:space="0" w:color="D2D2D2"/>
              <w:bottom w:val="single" w:sz="4" w:space="0" w:color="000000"/>
              <w:right w:val="single" w:sz="9" w:space="0" w:color="D2D2D2"/>
            </w:tcBorders>
          </w:tcPr>
          <w:p>
            <w:pPr/>
          </w:p>
        </w:tc>
        <w:tc>
          <w:tcPr>
            <w:tcW w:w="129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103" w:type="dxa"/>
            <w:gridSpan w:val="2"/>
            <w:vMerge/>
            <w:tcBorders>
              <w:left w:val="single" w:sz="9" w:space="0" w:color="D2D2D2"/>
              <w:bottom w:val="single" w:sz="4" w:space="0" w:color="000000"/>
              <w:right w:val="single" w:sz="13" w:space="0" w:color="D2D2D2"/>
            </w:tcBorders>
          </w:tcPr>
          <w:p>
            <w:pPr/>
          </w:p>
        </w:tc>
        <w:tc>
          <w:tcPr>
            <w:tcW w:w="1448" w:type="dxa"/>
            <w:gridSpan w:val="3"/>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702" w:type="dxa"/>
            <w:gridSpan w:val="2"/>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59"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42"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6" w:hRule="exact"/>
        </w:trPr>
        <w:tc>
          <w:tcPr>
            <w:tcW w:w="1702" w:type="dxa"/>
            <w:gridSpan w:val="2"/>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0"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630" w:type="dxa"/>
            <w:gridSpan w:val="3"/>
            <w:vMerge/>
            <w:tcBorders>
              <w:left w:val="single" w:sz="4" w:space="0" w:color="000000"/>
              <w:bottom w:val="single" w:sz="4" w:space="0" w:color="000000"/>
              <w:right w:val="single" w:sz="4" w:space="0" w:color="000000"/>
            </w:tcBorders>
            <w:shd w:val="clear" w:color="auto" w:fill="D2D2D2"/>
          </w:tcPr>
          <w:p>
            <w:pPr/>
          </w:p>
        </w:tc>
      </w:tr>
      <w:tr>
        <w:trPr>
          <w:trHeight w:val="181" w:hRule="exact"/>
        </w:trPr>
        <w:tc>
          <w:tcPr>
            <w:tcW w:w="17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4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2"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98" w:right="97"/>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702" w:type="dxa"/>
            <w:gridSpan w:val="2"/>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06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702" w:type="dxa"/>
            <w:gridSpan w:val="2"/>
            <w:vMerge w:val="restart"/>
            <w:tcBorders>
              <w:top w:val="nil" w:sz="6" w:space="0" w:color="auto"/>
              <w:left w:val="single" w:sz="4" w:space="0" w:color="000000"/>
              <w:right w:val="single" w:sz="4" w:space="0" w:color="000000"/>
            </w:tcBorders>
            <w:shd w:val="clear" w:color="auto" w:fill="D2D2D2"/>
          </w:tcPr>
          <w:p>
            <w:pPr/>
          </w:p>
        </w:tc>
        <w:tc>
          <w:tcPr>
            <w:tcW w:w="1417" w:type="dxa"/>
            <w:gridSpan w:val="2"/>
            <w:vMerge w:val="restart"/>
            <w:tcBorders>
              <w:top w:val="nil" w:sz="6" w:space="0" w:color="auto"/>
              <w:left w:val="single" w:sz="4" w:space="0" w:color="000000"/>
              <w:right w:val="single" w:sz="4" w:space="0" w:color="000000"/>
            </w:tcBorders>
            <w:shd w:val="clear" w:color="auto" w:fill="D2D2D2"/>
          </w:tcPr>
          <w:p>
            <w:pPr/>
          </w:p>
        </w:tc>
        <w:tc>
          <w:tcPr>
            <w:tcW w:w="851" w:type="dxa"/>
            <w:gridSpan w:val="2"/>
            <w:vMerge w:val="restart"/>
            <w:tcBorders>
              <w:top w:val="nil" w:sz="6" w:space="0" w:color="auto"/>
              <w:left w:val="single" w:sz="4" w:space="0" w:color="000000"/>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062" w:type="dxa"/>
            <w:gridSpan w:val="2"/>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06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北京东华诚信电脑科 技发展有限公司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20.26%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635,970,080</w:t>
            </w:r>
          </w:p>
        </w:tc>
        <w:tc>
          <w:tcPr>
            <w:tcW w:w="850"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635,970,080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2" w:right="0"/>
              <w:jc w:val="left"/>
              <w:rPr>
                <w:rFonts w:ascii="Times New Roman" w:hAnsi="Times New Roman" w:cs="Times New Roman" w:eastAsia="Times New Roman" w:hint="default"/>
                <w:sz w:val="18"/>
                <w:szCs w:val="18"/>
              </w:rPr>
            </w:pPr>
            <w:r>
              <w:rPr>
                <w:rFonts w:ascii="Times New Roman"/>
                <w:sz w:val="18"/>
              </w:rPr>
              <w:t>12.31%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386,506,584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4,053,200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289,879,936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96,626,648</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览海医疗产业投资股 份有限公司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4.99%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156,989,278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156,989,278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156,989,000</w:t>
            </w:r>
          </w:p>
        </w:tc>
      </w:tr>
      <w:tr>
        <w:trPr>
          <w:trHeight w:val="71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北京合创电商投资顾 问中心（有限合伙）</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4.49%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140,952,852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140,952,852</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北京东华诚信投资管 理中心（有限合伙）</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4.37%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137,063,046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137,063,046</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爱尔医疗投资集团有 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1.91%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60,000,000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章云芳</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1.24%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38,852,098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38,852,098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38,852,098</w:t>
            </w:r>
          </w:p>
        </w:tc>
      </w:tr>
      <w:tr>
        <w:trPr>
          <w:trHeight w:val="71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中国证券金融股份有 限公司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0.74%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23,178,075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23,178,07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23,178,075</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中央汇金资产管理有 限责任公司</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0.73%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22,882,800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22,882,80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22,882,800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柏红</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0.66%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20,720,000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20,720,000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12.899994pt;margin-top:79.709984pt;width:322pt;height:28pt;mso-position-horizontal-relative:page;mso-position-vertical-relative:page;z-index:-1041640" coordorigin="4258,1594" coordsize="6440,560">
            <v:group style="position:absolute;left:4269;top:1606;width:2;height:393" coordorigin="4269,1606" coordsize="2,393">
              <v:shape style="position:absolute;left:4269;top:1606;width:2;height:393" coordorigin="4269,1606" coordsize="0,393" path="m4269,1606l4269,1998e" filled="false" stroked="true" strokeweight="1.140pt" strokecolor="#ffffff">
                <v:path arrowok="t"/>
              </v:shape>
            </v:group>
            <v:group style="position:absolute;left:4258;top:1998;width:6440;height:156" coordorigin="4258,1998" coordsize="6440,156">
              <v:shape style="position:absolute;left:4258;top:1998;width:6440;height:156" coordorigin="4258,1998" coordsize="6440,156" path="m4258,2154l10698,2154,10698,1998,4258,1998,4258,2154xe" filled="true" fillcolor="#ffffff" stroked="false">
                <v:path arrowok="t"/>
                <v:fill type="solid"/>
              </v:shape>
            </v:group>
            <v:group style="position:absolute;left:4281;top:1606;width:6395;height:393" coordorigin="4281,1606" coordsize="6395,393">
              <v:shape style="position:absolute;left:4281;top:1606;width:6395;height:393" coordorigin="4281,1606" coordsize="6395,393" path="m4281,1998l10675,1998,10675,1606,4281,1606,4281,199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13"/>
        <w:gridCol w:w="1448"/>
        <w:gridCol w:w="2310"/>
        <w:gridCol w:w="1349"/>
        <w:gridCol w:w="1348"/>
      </w:tblGrid>
      <w:tr>
        <w:trPr>
          <w:trHeight w:val="714" w:hRule="exact"/>
        </w:trPr>
        <w:tc>
          <w:tcPr>
            <w:tcW w:w="3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名股东的情况（如有）（参见注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c>
          <w:tcPr>
            <w:tcW w:w="1448"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21"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2310" w:type="dxa"/>
            <w:tcBorders>
              <w:top w:val="single" w:sz="4" w:space="0" w:color="000000"/>
              <w:left w:val="nil" w:sz="6" w:space="0" w:color="auto"/>
              <w:bottom w:val="single" w:sz="4" w:space="0" w:color="000000"/>
              <w:right w:val="nil" w:sz="6" w:space="0" w:color="auto"/>
            </w:tcBorders>
          </w:tcPr>
          <w:p>
            <w:pPr/>
          </w:p>
        </w:tc>
        <w:tc>
          <w:tcPr>
            <w:tcW w:w="1349" w:type="dxa"/>
            <w:tcBorders>
              <w:top w:val="single" w:sz="4" w:space="0" w:color="000000"/>
              <w:left w:val="nil" w:sz="6" w:space="0" w:color="auto"/>
              <w:bottom w:val="single" w:sz="4" w:space="0" w:color="000000"/>
              <w:right w:val="nil" w:sz="6" w:space="0" w:color="auto"/>
            </w:tcBorders>
          </w:tcPr>
          <w:p>
            <w:pPr/>
          </w:p>
        </w:tc>
        <w:tc>
          <w:tcPr>
            <w:tcW w:w="1348" w:type="dxa"/>
            <w:tcBorders>
              <w:top w:val="single" w:sz="4" w:space="0" w:color="000000"/>
              <w:left w:val="nil" w:sz="6" w:space="0" w:color="auto"/>
              <w:bottom w:val="single" w:sz="4" w:space="0" w:color="000000"/>
              <w:right w:val="single" w:sz="4" w:space="0" w:color="000000"/>
            </w:tcBorders>
          </w:tcPr>
          <w:p>
            <w:pPr/>
          </w:p>
        </w:tc>
      </w:tr>
      <w:tr>
        <w:trPr>
          <w:trHeight w:val="161" w:hRule="exact"/>
        </w:trPr>
        <w:tc>
          <w:tcPr>
            <w:tcW w:w="311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55" w:type="dxa"/>
            <w:gridSpan w:val="4"/>
            <w:vMerge w:val="restart"/>
            <w:tcBorders>
              <w:top w:val="single" w:sz="4" w:space="0" w:color="000000"/>
              <w:left w:val="single" w:sz="9" w:space="0" w:color="D2D2D2"/>
              <w:right w:val="single" w:sz="4" w:space="0" w:color="000000"/>
            </w:tcBorders>
          </w:tcPr>
          <w:p>
            <w:pPr>
              <w:pStyle w:val="TableParagraph"/>
              <w:spacing w:line="319" w:lineRule="auto" w:before="51"/>
              <w:ind w:left="21" w:right="21"/>
              <w:jc w:val="left"/>
              <w:rPr>
                <w:rFonts w:ascii="宋体" w:hAnsi="宋体" w:cs="宋体" w:eastAsia="宋体" w:hint="default"/>
                <w:sz w:val="18"/>
                <w:szCs w:val="18"/>
              </w:rPr>
            </w:pPr>
            <w:r>
              <w:rPr>
                <w:rFonts w:ascii="宋体" w:hAnsi="宋体" w:cs="宋体" w:eastAsia="宋体" w:hint="default"/>
                <w:spacing w:val="-3"/>
                <w:sz w:val="18"/>
                <w:szCs w:val="18"/>
              </w:rPr>
              <w:t>北京东华诚信电脑科技发展有限公司和薛向东、北京东华诚信投资管理中心（有限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合伙）、北京合创电商投资顾问中心（有限合伙）存在关联关系。</w:t>
            </w:r>
          </w:p>
        </w:tc>
      </w:tr>
      <w:tr>
        <w:trPr>
          <w:trHeight w:val="392" w:hRule="exact"/>
        </w:trPr>
        <w:tc>
          <w:tcPr>
            <w:tcW w:w="31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55" w:type="dxa"/>
            <w:gridSpan w:val="4"/>
            <w:vMerge/>
            <w:tcBorders>
              <w:left w:val="single" w:sz="9" w:space="0" w:color="D2D2D2"/>
              <w:right w:val="single" w:sz="4" w:space="0" w:color="000000"/>
            </w:tcBorders>
          </w:tcPr>
          <w:p>
            <w:pPr/>
          </w:p>
        </w:tc>
      </w:tr>
      <w:tr>
        <w:trPr>
          <w:trHeight w:val="161" w:hRule="exact"/>
        </w:trPr>
        <w:tc>
          <w:tcPr>
            <w:tcW w:w="311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55" w:type="dxa"/>
            <w:gridSpan w:val="4"/>
            <w:vMerge/>
            <w:tcBorders>
              <w:left w:val="single" w:sz="9" w:space="0" w:color="D2D2D2"/>
              <w:bottom w:val="single" w:sz="4" w:space="0" w:color="000000"/>
              <w:right w:val="single" w:sz="4" w:space="0" w:color="000000"/>
            </w:tcBorders>
          </w:tcPr>
          <w:p>
            <w:pP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31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31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75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113" w:type="dxa"/>
            <w:vMerge/>
            <w:tcBorders>
              <w:left w:val="single" w:sz="4" w:space="0" w:color="000000"/>
              <w:bottom w:val="nil" w:sz="6" w:space="0" w:color="auto"/>
              <w:right w:val="single" w:sz="4" w:space="0" w:color="000000"/>
            </w:tcBorders>
            <w:shd w:val="clear" w:color="auto" w:fill="D2D2D2"/>
          </w:tcPr>
          <w:p>
            <w:pPr/>
          </w:p>
        </w:tc>
        <w:tc>
          <w:tcPr>
            <w:tcW w:w="3759" w:type="dxa"/>
            <w:gridSpan w:val="2"/>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113" w:type="dxa"/>
            <w:tcBorders>
              <w:top w:val="nil" w:sz="6" w:space="0" w:color="auto"/>
              <w:left w:val="single" w:sz="4" w:space="0" w:color="000000"/>
              <w:bottom w:val="single" w:sz="4" w:space="0" w:color="000000"/>
              <w:right w:val="single" w:sz="4" w:space="0" w:color="000000"/>
            </w:tcBorders>
            <w:shd w:val="clear" w:color="auto" w:fill="D2D2D2"/>
          </w:tcPr>
          <w:p>
            <w:pPr/>
          </w:p>
        </w:tc>
        <w:tc>
          <w:tcPr>
            <w:tcW w:w="375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3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635,970,080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635,970,080</w:t>
            </w:r>
          </w:p>
        </w:tc>
      </w:tr>
      <w:tr>
        <w:trPr>
          <w:trHeight w:val="402"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览海医疗产业投资股份有限公司</w:t>
            </w:r>
          </w:p>
        </w:tc>
        <w:tc>
          <w:tcPr>
            <w:tcW w:w="3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156,989,278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156,989,278</w:t>
            </w:r>
          </w:p>
        </w:tc>
      </w:tr>
      <w:tr>
        <w:trPr>
          <w:trHeight w:val="402"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北京合创电商投资顾问中</w:t>
            </w:r>
            <w:r>
              <w:rPr>
                <w:rFonts w:ascii="宋体" w:hAnsi="宋体" w:cs="宋体" w:eastAsia="宋体" w:hint="default"/>
                <w:spacing w:val="-87"/>
                <w:sz w:val="18"/>
                <w:szCs w:val="18"/>
              </w:rPr>
              <w:t>心</w:t>
            </w:r>
            <w:r>
              <w:rPr>
                <w:rFonts w:ascii="宋体" w:hAnsi="宋体" w:cs="宋体" w:eastAsia="宋体" w:hint="default"/>
                <w:spacing w:val="-2"/>
                <w:sz w:val="18"/>
                <w:szCs w:val="18"/>
              </w:rPr>
              <w:t>（</w:t>
            </w:r>
            <w:r>
              <w:rPr>
                <w:rFonts w:ascii="宋体" w:hAnsi="宋体" w:cs="宋体" w:eastAsia="宋体" w:hint="default"/>
                <w:sz w:val="18"/>
                <w:szCs w:val="18"/>
              </w:rPr>
              <w:t>有限合伙</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140,952,852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140,952,852</w:t>
            </w:r>
          </w:p>
        </w:tc>
      </w:tr>
      <w:tr>
        <w:trPr>
          <w:trHeight w:val="402"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北京东华诚信投资管理中</w:t>
            </w:r>
            <w:r>
              <w:rPr>
                <w:rFonts w:ascii="宋体" w:hAnsi="宋体" w:cs="宋体" w:eastAsia="宋体" w:hint="default"/>
                <w:spacing w:val="-87"/>
                <w:sz w:val="18"/>
                <w:szCs w:val="18"/>
              </w:rPr>
              <w:t>心</w:t>
            </w:r>
            <w:r>
              <w:rPr>
                <w:rFonts w:ascii="宋体" w:hAnsi="宋体" w:cs="宋体" w:eastAsia="宋体" w:hint="default"/>
                <w:spacing w:val="-2"/>
                <w:sz w:val="18"/>
                <w:szCs w:val="18"/>
              </w:rPr>
              <w:t>（</w:t>
            </w:r>
            <w:r>
              <w:rPr>
                <w:rFonts w:ascii="宋体" w:hAnsi="宋体" w:cs="宋体" w:eastAsia="宋体" w:hint="default"/>
                <w:sz w:val="18"/>
                <w:szCs w:val="18"/>
              </w:rPr>
              <w:t>有限合伙</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137,063,046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137,063,046</w:t>
            </w:r>
          </w:p>
        </w:tc>
      </w:tr>
      <w:tr>
        <w:trPr>
          <w:trHeight w:val="402"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96,626,648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96,626,648</w:t>
            </w:r>
          </w:p>
        </w:tc>
      </w:tr>
      <w:tr>
        <w:trPr>
          <w:trHeight w:val="402"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爱尔医疗投资集团有限公司</w:t>
            </w:r>
          </w:p>
        </w:tc>
        <w:tc>
          <w:tcPr>
            <w:tcW w:w="3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3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23,178,075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23,178,075</w:t>
            </w:r>
          </w:p>
        </w:tc>
      </w:tr>
      <w:tr>
        <w:trPr>
          <w:trHeight w:val="402"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22,882,800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22,882,800</w:t>
            </w:r>
          </w:p>
        </w:tc>
      </w:tr>
      <w:tr>
        <w:trPr>
          <w:trHeight w:val="402"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柏红</w:t>
            </w:r>
          </w:p>
        </w:tc>
        <w:tc>
          <w:tcPr>
            <w:tcW w:w="3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20,720,000</w:t>
            </w:r>
          </w:p>
        </w:tc>
      </w:tr>
      <w:tr>
        <w:trPr>
          <w:trHeight w:val="71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中国银行股份有限公司－华夏新经济灵 活配置混合型发起式证券投资基金</w:t>
            </w:r>
          </w:p>
        </w:tc>
        <w:tc>
          <w:tcPr>
            <w:tcW w:w="3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19,005,116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19,005,116</w:t>
            </w:r>
          </w:p>
        </w:tc>
      </w:tr>
      <w:tr>
        <w:trPr>
          <w:trHeight w:val="1338" w:hRule="exact"/>
        </w:trPr>
        <w:tc>
          <w:tcPr>
            <w:tcW w:w="3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w:t>
            </w:r>
            <w:r>
              <w:rPr>
                <w:rFonts w:ascii="宋体" w:hAnsi="宋体" w:cs="宋体" w:eastAsia="宋体" w:hint="default"/>
                <w:spacing w:val="1"/>
                <w:sz w:val="18"/>
                <w:szCs w:val="18"/>
              </w:rPr>
              <w:t>售</w:t>
            </w:r>
            <w:r>
              <w:rPr>
                <w:rFonts w:ascii="宋体" w:hAnsi="宋体" w:cs="宋体" w:eastAsia="宋体" w:hint="default"/>
                <w:sz w:val="18"/>
                <w:szCs w:val="18"/>
              </w:rPr>
              <w:t>流通股股东之间</w:t>
            </w:r>
            <w:r>
              <w:rPr>
                <w:rFonts w:ascii="宋体" w:hAnsi="宋体" w:cs="宋体" w:eastAsia="宋体" w:hint="default"/>
                <w:spacing w:val="-87"/>
                <w:sz w:val="18"/>
                <w:szCs w:val="18"/>
              </w:rPr>
              <w:t>，</w:t>
            </w:r>
            <w:r>
              <w:rPr>
                <w:rFonts w:ascii="宋体" w:hAnsi="宋体" w:cs="宋体" w:eastAsia="宋体" w:hint="default"/>
                <w:sz w:val="18"/>
                <w:szCs w:val="18"/>
              </w:rPr>
              <w:t>以及前</w:t>
            </w:r>
          </w:p>
          <w:p>
            <w:pPr>
              <w:pStyle w:val="TableParagraph"/>
              <w:spacing w:line="302" w:lineRule="auto" w:before="63"/>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 之间关联关系或一致行动的说明</w:t>
            </w:r>
          </w:p>
        </w:tc>
        <w:tc>
          <w:tcPr>
            <w:tcW w:w="6455"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21"/>
              <w:jc w:val="both"/>
              <w:rPr>
                <w:rFonts w:ascii="宋体" w:hAnsi="宋体" w:cs="宋体" w:eastAsia="宋体" w:hint="default"/>
                <w:sz w:val="18"/>
                <w:szCs w:val="18"/>
              </w:rPr>
            </w:pPr>
            <w:r>
              <w:rPr>
                <w:rFonts w:ascii="宋体" w:hAnsi="宋体" w:cs="宋体" w:eastAsia="宋体" w:hint="default"/>
                <w:spacing w:val="-3"/>
                <w:sz w:val="18"/>
                <w:szCs w:val="18"/>
              </w:rPr>
              <w:t>公司前十名股东中，北京东华诚信电脑科技发展有限公司、薛向东、北京东华诚信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投资管理中心（有限合伙）和北京合创电商投资顾问中心（有限合伙）存在关联关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系；前十名无限售条件股东中，未知其他股东之间是否存在关联关系，也未知是否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属于一致行动人。</w:t>
            </w:r>
          </w:p>
        </w:tc>
      </w:tr>
      <w:tr>
        <w:trPr>
          <w:trHeight w:val="1026" w:hRule="exact"/>
        </w:trPr>
        <w:tc>
          <w:tcPr>
            <w:tcW w:w="3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0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 </w:t>
            </w:r>
            <w:r>
              <w:rPr>
                <w:rFonts w:ascii="宋体" w:hAnsi="宋体" w:cs="宋体" w:eastAsia="宋体" w:hint="default"/>
                <w:spacing w:val="-8"/>
                <w:sz w:val="18"/>
                <w:szCs w:val="18"/>
              </w:rPr>
              <w:t>情况说明（如有）（参见注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4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公司股东爱尔医疗投资集团有限公司通过普通证券账户持有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7"/>
                <w:sz w:val="18"/>
                <w:szCs w:val="18"/>
              </w:rPr>
              <w:t>，</w:t>
            </w:r>
            <w:r>
              <w:rPr>
                <w:rFonts w:ascii="宋体" w:hAnsi="宋体" w:cs="宋体" w:eastAsia="宋体" w:hint="default"/>
                <w:sz w:val="18"/>
                <w:szCs w:val="18"/>
              </w:rPr>
              <w:t>还通过中信证券</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股份有限公司客户信用交易担保证券账户持有 </w:t>
            </w:r>
            <w:r>
              <w:rPr>
                <w:rFonts w:ascii="Times New Roman" w:hAnsi="Times New Roman" w:cs="Times New Roman" w:eastAsia="Times New Roman" w:hint="default"/>
                <w:sz w:val="18"/>
                <w:szCs w:val="18"/>
              </w:rPr>
              <w:t>60,000,000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p>
          <w:p>
            <w:pPr>
              <w:pStyle w:val="TableParagraph"/>
              <w:spacing w:line="240" w:lineRule="auto" w:before="6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60,000,000 </w:t>
            </w:r>
            <w:r>
              <w:rPr>
                <w:rFonts w:ascii="宋体" w:hAnsi="宋体" w:cs="宋体" w:eastAsia="宋体" w:hint="default"/>
                <w:sz w:val="18"/>
                <w:szCs w:val="18"/>
              </w:rPr>
              <w:t>股。</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560"/>
        <w:gridCol w:w="1276"/>
        <w:gridCol w:w="993"/>
        <w:gridCol w:w="1842"/>
        <w:gridCol w:w="3898"/>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72" w:right="66"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7"/>
              <w:jc w:val="left"/>
              <w:rPr>
                <w:rFonts w:ascii="宋体" w:hAnsi="宋体" w:cs="宋体" w:eastAsia="宋体" w:hint="default"/>
                <w:sz w:val="18"/>
                <w:szCs w:val="18"/>
              </w:rPr>
            </w:pPr>
            <w:r>
              <w:rPr>
                <w:rFonts w:ascii="宋体" w:hAnsi="宋体" w:cs="宋体" w:eastAsia="宋体" w:hint="default"/>
                <w:sz w:val="18"/>
                <w:szCs w:val="18"/>
              </w:rPr>
              <w:t>北京东华诚信电脑 科技发展有限公司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郭玉梅</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91110108102047790H</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技术开发、技术推广、技术转让、技术咨询、技 术服务；开发、销售计算机软硬件及外围设备； 计算机系统集成；货物进出口、代理进出口。</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控股股东报告期内变更</w:t>
      </w:r>
    </w:p>
    <w:p>
      <w:pPr>
        <w:pStyle w:val="BodyText"/>
        <w:spacing w:line="340" w:lineRule="auto" w:before="11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情况" w:id="118"/>
      <w:bookmarkEnd w:id="118"/>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94" w:right="0"/>
              <w:jc w:val="left"/>
              <w:rPr>
                <w:rFonts w:ascii="宋体" w:hAnsi="宋体" w:cs="宋体" w:eastAsia="宋体" w:hint="default"/>
                <w:sz w:val="18"/>
                <w:szCs w:val="18"/>
              </w:rPr>
            </w:pPr>
            <w:r>
              <w:rPr>
                <w:rFonts w:ascii="宋体" w:hAnsi="宋体" w:cs="宋体" w:eastAsia="宋体" w:hint="default"/>
                <w:sz w:val="18"/>
                <w:szCs w:val="18"/>
              </w:rPr>
              <w:t>薛向东及其家族成员</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5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
              <w:jc w:val="left"/>
              <w:rPr>
                <w:rFonts w:ascii="宋体" w:hAnsi="宋体" w:cs="宋体" w:eastAsia="宋体" w:hint="default"/>
                <w:sz w:val="18"/>
                <w:szCs w:val="18"/>
              </w:rPr>
            </w:pPr>
            <w:r>
              <w:rPr>
                <w:rFonts w:ascii="宋体" w:hAnsi="宋体" w:cs="宋体" w:eastAsia="宋体" w:hint="default"/>
                <w:spacing w:val="-1"/>
                <w:sz w:val="18"/>
                <w:szCs w:val="18"/>
              </w:rPr>
              <w:t>薛向东先生最近五年一直担任本公司董事长，此外，现任本公司控股股东北京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东华诚信电脑科技发展有限公司董事，本公司全资子公司北京东华合创科技有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限公司、北京东华合创香港有限公司、广州东华合创数码科技有限公司、北京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联银通科技有限公司、东华合创软件有限公司、北京东华信息技术有限公司、 东华星联科技有限公司董事长，本公司全资子公司北京东华易时科技有限公 司、泰安东华合创软件有限公司、北京厚盾科技有限公司、合力东华（北京） </w:t>
            </w:r>
            <w:r>
              <w:rPr>
                <w:rFonts w:ascii="宋体" w:hAnsi="宋体" w:cs="宋体" w:eastAsia="宋体" w:hint="default"/>
                <w:spacing w:val="-1"/>
                <w:sz w:val="18"/>
                <w:szCs w:val="18"/>
              </w:rPr>
              <w:t>科技有限公司、东华合创科技有限公司、东华软件工程有限公司、北京东华厚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盾软件有限公司、山西东华软件有限公司、大同东华软件有限公司执行董事， 本公司全资子公司即墨东华软件有限公司、郑州东华诚信软件有限公司监事， </w:t>
            </w:r>
            <w:r>
              <w:rPr>
                <w:rFonts w:ascii="宋体" w:hAnsi="宋体" w:cs="宋体" w:eastAsia="宋体" w:hint="default"/>
                <w:spacing w:val="-1"/>
                <w:sz w:val="18"/>
                <w:szCs w:val="18"/>
              </w:rPr>
              <w:t>本公司控股子公司东华互联宜家数据服务有限公司、东华博雅软件股份有限公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司、北京光明数据信息技术有限公司董事长，本公司控股子公司北京东华福蝉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信息技术有限公司副董事长，本公司控股子公司北京东华万兴软件有限公司、 </w:t>
            </w:r>
            <w:r>
              <w:rPr>
                <w:rFonts w:ascii="宋体" w:hAnsi="宋体" w:cs="宋体" w:eastAsia="宋体" w:hint="default"/>
                <w:spacing w:val="-1"/>
                <w:sz w:val="18"/>
                <w:szCs w:val="18"/>
              </w:rPr>
              <w:t>北京东华智中能源互联网科技有限公司、华金在线股份公司、北京中能博泰科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技有限公司董事，北京东方通科技股份有限公司董事。</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left="154" w:right="0"/>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25"/>
          <w:szCs w:val="25"/>
        </w:rPr>
      </w:pPr>
    </w:p>
    <w:p>
      <w:pPr>
        <w:spacing w:line="3750" w:lineRule="exact"/>
        <w:ind w:left="1356"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591141" cy="23812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7" cstate="print"/>
                    <a:stretch>
                      <a:fillRect/>
                    </a:stretch>
                  </pic:blipFill>
                  <pic:spPr>
                    <a:xfrm>
                      <a:off x="0" y="0"/>
                      <a:ext cx="4591141" cy="2381250"/>
                    </a:xfrm>
                    <a:prstGeom prst="rect">
                      <a:avLst/>
                    </a:prstGeom>
                  </pic:spPr>
                </pic:pic>
              </a:graphicData>
            </a:graphic>
          </wp:inline>
        </w:drawing>
      </w:r>
      <w:r>
        <w:rPr>
          <w:rFonts w:ascii="宋体" w:hAnsi="宋体" w:cs="宋体" w:eastAsia="宋体" w:hint="default"/>
          <w:position w:val="-74"/>
          <w:sz w:val="20"/>
          <w:szCs w:val="20"/>
        </w:rPr>
      </w:r>
    </w:p>
    <w:p>
      <w:pPr>
        <w:spacing w:after="0" w:line="375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21"/>
      <w:bookmarkStart w:name="第七节 优先股相关情况" w:id="122"/>
      <w:r>
        <w:rPr>
          <w:b w:val="0"/>
          <w:bCs w:val="0"/>
        </w:rPr>
      </w:r>
      <w:r>
        <w:rPr/>
        <w:t>第七节</w:t>
      </w:r>
      <w:r>
        <w:rPr>
          <w:spacing w:val="-8"/>
        </w:rPr>
        <w:t> </w:t>
      </w:r>
      <w:r>
        <w:rPr/>
        <w:t>优先股相关情况</w:t>
      </w:r>
      <w:bookmarkEnd w:id="121"/>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23"/>
      <w:bookmarkStart w:name="第八节 董事、监事、高级管理人员和员工情况" w:id="124"/>
      <w:r>
        <w:rPr>
          <w:b w:val="0"/>
          <w:bCs w:val="0"/>
        </w:rPr>
      </w:r>
      <w:r>
        <w:rPr/>
        <w:t>第八节</w:t>
      </w:r>
      <w:r>
        <w:rPr>
          <w:spacing w:val="-16"/>
        </w:rPr>
        <w:t> </w:t>
      </w:r>
      <w:r>
        <w:rPr/>
        <w:t>董事、监事、高级管理人员和员工情况</w:t>
      </w:r>
      <w:bookmarkEnd w:id="123"/>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BodyText"/>
        <w:spacing w:line="240" w:lineRule="auto" w:before="45"/>
        <w:ind w:left="4920" w:right="1701"/>
        <w:jc w:val="center"/>
      </w:pPr>
      <w:r>
        <w:rPr/>
        <w:pict>
          <v:shape style="position:absolute;margin-left:56.459999pt;margin-top:-32.028297pt;width:482.8pt;height:582.8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8"/>
                    <w:gridCol w:w="904"/>
                    <w:gridCol w:w="566"/>
                    <w:gridCol w:w="568"/>
                    <w:gridCol w:w="566"/>
                    <w:gridCol w:w="851"/>
                    <w:gridCol w:w="709"/>
                    <w:gridCol w:w="992"/>
                    <w:gridCol w:w="991"/>
                    <w:gridCol w:w="74"/>
                    <w:gridCol w:w="636"/>
                    <w:gridCol w:w="992"/>
                    <w:gridCol w:w="992"/>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3"/>
                          <w:jc w:val="right"/>
                          <w:rPr>
                            <w:rFonts w:ascii="宋体" w:hAnsi="宋体" w:cs="宋体" w:eastAsia="宋体" w:hint="default"/>
                            <w:sz w:val="18"/>
                            <w:szCs w:val="18"/>
                          </w:rPr>
                        </w:pPr>
                        <w:r>
                          <w:rPr>
                            <w:rFonts w:ascii="宋体" w:hAnsi="宋体" w:cs="宋体" w:eastAsia="宋体" w:hint="default"/>
                            <w:sz w:val="18"/>
                            <w:szCs w:val="18"/>
                          </w:rPr>
                          <w:t>姓名</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8"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1"/>
                            <w:sz w:val="18"/>
                            <w:szCs w:val="18"/>
                          </w:rPr>
                          <w:t>份数量（股</w:t>
                        </w:r>
                      </w:p>
                    </w:tc>
                    <w:tc>
                      <w:tcPr>
                        <w:tcW w:w="74" w:type="dxa"/>
                        <w:tcBorders>
                          <w:top w:val="single" w:sz="4" w:space="0" w:color="000000"/>
                          <w:left w:val="single" w:sz="4" w:space="0" w:color="000000"/>
                          <w:bottom w:val="single" w:sz="4" w:space="0" w:color="000000"/>
                          <w:right w:val="nil" w:sz="6" w:space="0" w:color="auto"/>
                        </w:tcBorders>
                        <w:shd w:val="clear" w:color="auto" w:fill="D2D2D2"/>
                      </w:tcPr>
                      <w:p>
                        <w:pPr/>
                      </w:p>
                    </w:tc>
                    <w:tc>
                      <w:tcPr>
                        <w:tcW w:w="6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2"/>
                          <w:ind w:left="11" w:right="77"/>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30" w:right="4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薛向东</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191,226,692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4,053,200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191,226,692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386,506,584</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吕  波</w:t>
                        </w:r>
                      </w:p>
                    </w:tc>
                    <w:tc>
                      <w:tcPr>
                        <w:tcW w:w="90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36"/>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56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3,038,360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3,038,360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6,076,720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李建国</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1"/>
                            <w:sz w:val="18"/>
                            <w:szCs w:val="18"/>
                          </w:rPr>
                          <w:t>董事、副总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1,314,286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1,314,286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2,628,572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5"/>
                          <w:jc w:val="right"/>
                          <w:rPr>
                            <w:rFonts w:ascii="宋体" w:hAnsi="宋体" w:cs="宋体" w:eastAsia="宋体" w:hint="default"/>
                            <w:sz w:val="18"/>
                            <w:szCs w:val="18"/>
                          </w:rPr>
                        </w:pPr>
                        <w:r>
                          <w:rPr>
                            <w:rFonts w:ascii="宋体" w:hAnsi="宋体" w:cs="宋体" w:eastAsia="宋体" w:hint="default"/>
                            <w:sz w:val="18"/>
                            <w:szCs w:val="18"/>
                          </w:rPr>
                          <w:t>杨  健</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11"/>
                            <w:sz w:val="18"/>
                            <w:szCs w:val="18"/>
                          </w:rPr>
                          <w:t>董事、副总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经理、董事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406,662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203,300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406,662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610,024</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郑晓清</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62,550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187,650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徐德力</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1"/>
                            <w:sz w:val="18"/>
                            <w:szCs w:val="18"/>
                          </w:rPr>
                          <w:t>董事、副总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491,800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郭玉杰</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23,500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苏根继</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蒋恕慧</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金  伟</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319,076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319,076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638,152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夏金崇</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1,449,806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1,449,806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2,899,612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林文平</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刘志华</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48,100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288,600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王  佺</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790,884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790,884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1,581,768</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line="156" w:lineRule="exact"/>
        <w:ind w:left="1860" w:right="0" w:firstLine="0"/>
        <w:rPr>
          <w:rFonts w:ascii="宋体" w:hAnsi="宋体" w:cs="宋体" w:eastAsia="宋体" w:hint="default"/>
          <w:sz w:val="15"/>
          <w:szCs w:val="15"/>
        </w:rPr>
      </w:pPr>
      <w:r>
        <w:rPr>
          <w:rFonts w:ascii="宋体" w:hAnsi="宋体" w:cs="宋体" w:eastAsia="宋体" w:hint="default"/>
          <w:position w:val="-2"/>
          <w:sz w:val="15"/>
          <w:szCs w:val="15"/>
        </w:rPr>
        <w:pict>
          <v:group style="width:27.85pt;height:7.8pt;mso-position-horizontal-relative:char;mso-position-vertical-relative:line" coordorigin="0,0" coordsize="557,156">
            <v:group style="position:absolute;left:0;top:0;width:557;height:156" coordorigin="0,0" coordsize="557,156">
              <v:shape style="position:absolute;left:0;top:0;width:557;height:156" coordorigin="0,0" coordsize="557,156" path="m0,156l557,156,557,0,0,0,0,156xe" filled="true" fillcolor="#ffffff" stroked="false">
                <v:path arrowok="t"/>
                <v:fill type="solid"/>
              </v:shape>
            </v:group>
          </v:group>
        </w:pict>
      </w:r>
      <w:r>
        <w:rPr>
          <w:rFonts w:ascii="宋体" w:hAnsi="宋体" w:cs="宋体" w:eastAsia="宋体" w:hint="default"/>
          <w:position w:val="-2"/>
          <w:sz w:val="15"/>
          <w:szCs w:val="15"/>
        </w:rPr>
      </w:r>
    </w:p>
    <w:p>
      <w:pPr>
        <w:spacing w:after="0" w:line="156" w:lineRule="exact"/>
        <w:rPr>
          <w:rFonts w:ascii="宋体" w:hAnsi="宋体" w:cs="宋体" w:eastAsia="宋体" w:hint="default"/>
          <w:sz w:val="15"/>
          <w:szCs w:val="15"/>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904"/>
        <w:gridCol w:w="566"/>
        <w:gridCol w:w="568"/>
        <w:gridCol w:w="566"/>
        <w:gridCol w:w="851"/>
        <w:gridCol w:w="709"/>
        <w:gridCol w:w="992"/>
        <w:gridCol w:w="991"/>
        <w:gridCol w:w="710"/>
        <w:gridCol w:w="992"/>
        <w:gridCol w:w="992"/>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350,800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203,400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阮  晋</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293,400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侯志国</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173,600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任安彪</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尹继南</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  莉</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271,800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  中</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  燕</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栾大龙</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200,031,666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4,053,200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619,550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199,970,866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403,785,882</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168"/>
        <w:gridCol w:w="1492"/>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年第一次临时股东大会选举其为公司第六届董事 会非独立董事。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侯志国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东华软件股份公司第六届董事会第一次会议聘任为公 司副总经理。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任安彪</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东华软件股份公司第六届董事会第一次会议聘任为公 司副总经理。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尹继南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东华软件股份公司第六届董事会第一次会议聘任为公 司副总经理。</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430" w:lineRule="atLeast" w:before="14"/>
        <w:ind w:left="514" w:right="1032" w:firstLine="1"/>
        <w:jc w:val="left"/>
      </w:pPr>
      <w:r>
        <w:rPr>
          <w:rFonts w:ascii="Times New Roman" w:hAnsi="Times New Roman" w:cs="Times New Roman" w:eastAsia="Times New Roman" w:hint="default"/>
          <w:b/>
          <w:bCs/>
        </w:rPr>
        <w:t>1</w:t>
      </w:r>
      <w:r>
        <w:rPr>
          <w:rFonts w:ascii="宋体" w:hAnsi="宋体" w:cs="宋体" w:eastAsia="宋体" w:hint="default"/>
          <w:b/>
          <w:bCs/>
        </w:rPr>
        <w:t>、董事简介</w:t>
      </w:r>
      <w:r>
        <w:rPr>
          <w:rFonts w:ascii="宋体" w:hAnsi="宋体" w:cs="宋体" w:eastAsia="宋体" w:hint="default"/>
          <w:b/>
          <w:bCs/>
          <w:w w:val="99"/>
        </w:rPr>
        <w:t> </w:t>
      </w:r>
      <w:r>
        <w:rPr/>
        <w:t>薛向东先生：中国国籍，现年</w:t>
      </w:r>
      <w:r>
        <w:rPr>
          <w:rFonts w:ascii="Times New Roman" w:hAnsi="Times New Roman" w:cs="Times New Roman" w:eastAsia="Times New Roman" w:hint="default"/>
        </w:rPr>
        <w:t>59</w:t>
      </w:r>
      <w:r>
        <w:rPr/>
        <w:t>岁，大学本科，高级工程师，长期从事行业应用软件开发及计算机信息系统集成工作，</w:t>
      </w:r>
    </w:p>
    <w:p>
      <w:pPr>
        <w:pStyle w:val="BodyText"/>
        <w:spacing w:line="240" w:lineRule="auto" w:before="63"/>
        <w:ind w:right="0"/>
        <w:jc w:val="left"/>
      </w:pPr>
      <w:r>
        <w:rPr/>
        <w:t>公司实际控制人，最近</w:t>
      </w:r>
      <w:r>
        <w:rPr>
          <w:rFonts w:ascii="Times New Roman" w:hAnsi="Times New Roman" w:cs="Times New Roman" w:eastAsia="Times New Roman" w:hint="default"/>
        </w:rPr>
        <w:t>5</w:t>
      </w:r>
      <w:r>
        <w:rPr/>
        <w:t>年一直担任本公司董事长。</w:t>
      </w:r>
    </w:p>
    <w:p>
      <w:pPr>
        <w:spacing w:line="240" w:lineRule="auto" w:before="0"/>
        <w:rPr>
          <w:rFonts w:ascii="宋体" w:hAnsi="宋体" w:cs="宋体" w:eastAsia="宋体" w:hint="default"/>
          <w:sz w:val="18"/>
          <w:szCs w:val="18"/>
        </w:rPr>
      </w:pPr>
    </w:p>
    <w:p>
      <w:pPr>
        <w:pStyle w:val="BodyText"/>
        <w:spacing w:line="300" w:lineRule="auto" w:before="139"/>
        <w:ind w:right="1123" w:firstLine="360"/>
        <w:jc w:val="left"/>
      </w:pPr>
      <w:r>
        <w:rPr/>
        <w:t>吕波先生：中国国籍，现年</w:t>
      </w:r>
      <w:r>
        <w:rPr>
          <w:rFonts w:ascii="Times New Roman" w:hAnsi="Times New Roman" w:cs="Times New Roman" w:eastAsia="Times New Roman" w:hint="default"/>
        </w:rPr>
        <w:t>55</w:t>
      </w:r>
      <w:r>
        <w:rPr/>
        <w:t>岁，硕士研究生，讲师，长期从事行业应用软件开发及计算机信息系统集成工作，最近</w:t>
      </w:r>
      <w:r>
        <w:rPr>
          <w:rFonts w:ascii="Times New Roman" w:hAnsi="Times New Roman" w:cs="Times New Roman" w:eastAsia="Times New Roman" w:hint="default"/>
        </w:rPr>
        <w:t>5 </w:t>
      </w:r>
      <w:r>
        <w:rPr/>
        <w:t>年一直担任本公司副董事长、总经理。</w:t>
      </w:r>
    </w:p>
    <w:p>
      <w:pPr>
        <w:spacing w:line="240" w:lineRule="auto" w:before="3"/>
        <w:rPr>
          <w:rFonts w:ascii="宋体" w:hAnsi="宋体" w:cs="宋体" w:eastAsia="宋体" w:hint="default"/>
          <w:sz w:val="26"/>
          <w:szCs w:val="26"/>
        </w:rPr>
      </w:pPr>
    </w:p>
    <w:p>
      <w:pPr>
        <w:pStyle w:val="BodyText"/>
        <w:spacing w:line="300" w:lineRule="auto"/>
        <w:ind w:right="1123" w:firstLine="360"/>
        <w:jc w:val="left"/>
      </w:pPr>
      <w:r>
        <w:rPr/>
        <w:t>李建国先生：中国国籍，现年</w:t>
      </w:r>
      <w:r>
        <w:rPr>
          <w:rFonts w:ascii="Times New Roman" w:hAnsi="Times New Roman" w:cs="Times New Roman" w:eastAsia="Times New Roman" w:hint="default"/>
        </w:rPr>
        <w:t>49</w:t>
      </w:r>
      <w:r>
        <w:rPr/>
        <w:t>岁，硕士研究生，长期从事行业应用软件开发及计算机信息系统集成工作，最近</w:t>
      </w:r>
      <w:r>
        <w:rPr>
          <w:rFonts w:ascii="Times New Roman" w:hAnsi="Times New Roman" w:cs="Times New Roman" w:eastAsia="Times New Roman" w:hint="default"/>
        </w:rPr>
        <w:t>5</w:t>
      </w:r>
      <w:r>
        <w:rPr/>
        <w:t>年一 直担任本公司董事、副总经理。</w:t>
      </w:r>
    </w:p>
    <w:p>
      <w:pPr>
        <w:pStyle w:val="BodyText"/>
        <w:spacing w:line="624" w:lineRule="exact" w:before="54"/>
        <w:ind w:left="513" w:right="1123"/>
        <w:jc w:val="left"/>
      </w:pPr>
      <w:r>
        <w:rPr/>
        <w:t>杨健先生：中国国籍，现年</w:t>
      </w:r>
      <w:r>
        <w:rPr>
          <w:rFonts w:ascii="Times New Roman" w:hAnsi="Times New Roman" w:cs="Times New Roman" w:eastAsia="Times New Roman" w:hint="default"/>
        </w:rPr>
        <w:t>50</w:t>
      </w:r>
      <w:r>
        <w:rPr/>
        <w:t>岁，硕士研究生，会计师，最近</w:t>
      </w:r>
      <w:r>
        <w:rPr>
          <w:rFonts w:ascii="Times New Roman" w:hAnsi="Times New Roman" w:cs="Times New Roman" w:eastAsia="Times New Roman" w:hint="default"/>
        </w:rPr>
        <w:t>5</w:t>
      </w:r>
      <w:r>
        <w:rPr/>
        <w:t>年一直担任本公司董事、副总经理、董事会秘书。 郑晓清女士：中国国籍，现年</w:t>
      </w:r>
      <w:r>
        <w:rPr>
          <w:rFonts w:ascii="Times New Roman" w:hAnsi="Times New Roman" w:cs="Times New Roman" w:eastAsia="Times New Roman" w:hint="default"/>
        </w:rPr>
        <w:t>47</w:t>
      </w:r>
      <w:r>
        <w:rPr/>
        <w:t>岁，硕士研究生，最近</w:t>
      </w:r>
      <w:r>
        <w:rPr>
          <w:rFonts w:ascii="Times New Roman" w:hAnsi="Times New Roman" w:cs="Times New Roman" w:eastAsia="Times New Roman" w:hint="default"/>
        </w:rPr>
        <w:t>5</w:t>
      </w:r>
      <w:r>
        <w:rPr/>
        <w:t>年一直担任本公司董事、市场部经理。 徐德力先生：中国国籍，现年</w:t>
      </w:r>
      <w:r>
        <w:rPr>
          <w:rFonts w:ascii="Times New Roman" w:hAnsi="Times New Roman" w:cs="Times New Roman" w:eastAsia="Times New Roman" w:hint="default"/>
        </w:rPr>
        <w:t>44</w:t>
      </w:r>
      <w:r>
        <w:rPr/>
        <w:t>岁，硕士研究生，最近</w:t>
      </w:r>
      <w:r>
        <w:rPr>
          <w:rFonts w:ascii="Times New Roman" w:hAnsi="Times New Roman" w:cs="Times New Roman" w:eastAsia="Times New Roman" w:hint="default"/>
        </w:rPr>
        <w:t>5</w:t>
      </w:r>
      <w:r>
        <w:rPr/>
        <w:t>年一直在本公司工作，现任本公司董事、副总经理。 林中先生：中国国籍，现年</w:t>
      </w:r>
      <w:r>
        <w:rPr>
          <w:rFonts w:ascii="Times New Roman" w:hAnsi="Times New Roman" w:cs="Times New Roman" w:eastAsia="Times New Roman" w:hint="default"/>
        </w:rPr>
        <w:t>57</w:t>
      </w:r>
      <w:r>
        <w:rPr/>
        <w:t>岁，硕士研究生，最近</w:t>
      </w:r>
      <w:r>
        <w:rPr>
          <w:rFonts w:ascii="Times New Roman" w:hAnsi="Times New Roman" w:cs="Times New Roman" w:eastAsia="Times New Roman" w:hint="default"/>
        </w:rPr>
        <w:t>5</w:t>
      </w:r>
      <w:r>
        <w:rPr/>
        <w:t>年一直担任华北计算技术研究所科技委学位委员会副主席，全国</w:t>
      </w:r>
    </w:p>
    <w:p>
      <w:pPr>
        <w:pStyle w:val="BodyText"/>
        <w:spacing w:line="213" w:lineRule="exact"/>
        <w:ind w:left="154" w:right="0"/>
        <w:jc w:val="left"/>
      </w:pPr>
      <w:r>
        <w:rPr/>
        <w:t>信息安全标准化技术委员会委员，北京汉邦高科数字技</w:t>
      </w:r>
    </w:p>
    <w:p>
      <w:pPr>
        <w:pStyle w:val="BodyText"/>
        <w:spacing w:line="240" w:lineRule="auto" w:before="77"/>
        <w:ind w:left="514" w:right="0"/>
        <w:jc w:val="left"/>
      </w:pPr>
      <w:r>
        <w:rPr/>
        <w:t>术股份有限公司独立董事。</w:t>
      </w:r>
    </w:p>
    <w:p>
      <w:pPr>
        <w:spacing w:line="240" w:lineRule="auto" w:before="0"/>
        <w:rPr>
          <w:rFonts w:ascii="宋体" w:hAnsi="宋体" w:cs="宋体" w:eastAsia="宋体" w:hint="default"/>
          <w:sz w:val="18"/>
          <w:szCs w:val="18"/>
        </w:rPr>
      </w:pPr>
    </w:p>
    <w:p>
      <w:pPr>
        <w:pStyle w:val="BodyText"/>
        <w:spacing w:line="300" w:lineRule="auto" w:before="153"/>
        <w:ind w:right="1123" w:firstLine="360"/>
        <w:jc w:val="left"/>
      </w:pPr>
      <w:r>
        <w:rPr/>
        <w:t>范玉顺先生：中国国籍，现年</w:t>
      </w:r>
      <w:r>
        <w:rPr>
          <w:rFonts w:ascii="Times New Roman" w:hAnsi="Times New Roman" w:cs="Times New Roman" w:eastAsia="Times New Roman" w:hint="default"/>
        </w:rPr>
        <w:t>56</w:t>
      </w:r>
      <w:r>
        <w:rPr/>
        <w:t>岁，博士学历，客座科学家。最近</w:t>
      </w:r>
      <w:r>
        <w:rPr>
          <w:rFonts w:ascii="Times New Roman" w:hAnsi="Times New Roman" w:cs="Times New Roman" w:eastAsia="Times New Roman" w:hint="default"/>
        </w:rPr>
        <w:t>5</w:t>
      </w:r>
      <w:r>
        <w:rPr/>
        <w:t>年一直担任清华大学自动化系教授，北京立思辰科 技股份有限公司独立董事，京北方信息技术股份有限公司独立董事。</w:t>
      </w:r>
    </w:p>
    <w:p>
      <w:pPr>
        <w:spacing w:line="240" w:lineRule="auto" w:before="3"/>
        <w:rPr>
          <w:rFonts w:ascii="宋体" w:hAnsi="宋体" w:cs="宋体" w:eastAsia="宋体" w:hint="default"/>
          <w:sz w:val="26"/>
          <w:szCs w:val="26"/>
        </w:rPr>
      </w:pPr>
    </w:p>
    <w:p>
      <w:pPr>
        <w:pStyle w:val="BodyText"/>
        <w:spacing w:line="300" w:lineRule="auto"/>
        <w:ind w:right="1130" w:firstLine="360"/>
        <w:jc w:val="both"/>
      </w:pPr>
      <w:r>
        <w:rPr/>
        <w:t>李燕女士：中国国籍，现年</w:t>
      </w:r>
      <w:r>
        <w:rPr>
          <w:rFonts w:ascii="Times New Roman" w:hAnsi="Times New Roman" w:cs="Times New Roman" w:eastAsia="Times New Roman" w:hint="default"/>
        </w:rPr>
        <w:t>61</w:t>
      </w:r>
      <w:r>
        <w:rPr/>
        <w:t>岁，大学本科，注册会计师，最近</w:t>
      </w:r>
      <w:r>
        <w:rPr>
          <w:rFonts w:ascii="Times New Roman" w:hAnsi="Times New Roman" w:cs="Times New Roman" w:eastAsia="Times New Roman" w:hint="default"/>
        </w:rPr>
        <w:t>5</w:t>
      </w:r>
      <w:r>
        <w:rPr/>
        <w:t>年一直担任中央财经大学教授，中国财政学会理事， </w:t>
      </w:r>
      <w:r>
        <w:rPr>
          <w:spacing w:val="-3"/>
        </w:rPr>
        <w:t>中国财税法学会理事，全国政府预算研究会副会长，中国电影股份有限公司独立董事，安徽荃银高科股份有限公司独立董事</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6"/>
        </w:rPr>
        <w:t> </w:t>
      </w:r>
      <w:r>
        <w:rPr/>
        <w:t>江西富祥药业股份有限公司独立董事，全国高校财政学教学研究会常务理事，北京市东城区、顺义区人大常委会顾问。</w:t>
      </w:r>
    </w:p>
    <w:p>
      <w:pPr>
        <w:spacing w:line="240" w:lineRule="auto" w:before="3"/>
        <w:rPr>
          <w:rFonts w:ascii="宋体" w:hAnsi="宋体" w:cs="宋体" w:eastAsia="宋体" w:hint="default"/>
          <w:sz w:val="26"/>
          <w:szCs w:val="26"/>
        </w:rPr>
      </w:pPr>
    </w:p>
    <w:p>
      <w:pPr>
        <w:pStyle w:val="BodyText"/>
        <w:spacing w:line="300" w:lineRule="auto"/>
        <w:ind w:right="1118" w:firstLine="360"/>
        <w:jc w:val="left"/>
      </w:pPr>
      <w:r>
        <w:rPr>
          <w:spacing w:val="-2"/>
        </w:rPr>
        <w:t>栾大龙先生：中国国籍，现年</w:t>
      </w:r>
      <w:r>
        <w:rPr>
          <w:rFonts w:ascii="Times New Roman" w:hAnsi="Times New Roman" w:cs="Times New Roman" w:eastAsia="Times New Roman" w:hint="default"/>
          <w:spacing w:val="-2"/>
        </w:rPr>
        <w:t>53</w:t>
      </w:r>
      <w:r>
        <w:rPr>
          <w:spacing w:val="-2"/>
        </w:rPr>
        <w:t>岁，博士学位，曾就任军事科学院研究员，在航天科技控股集团股份有限公司担任独立</w:t>
      </w:r>
      <w:r>
        <w:rPr/>
        <w:t> 董事职务。</w:t>
      </w:r>
    </w:p>
    <w:p>
      <w:pPr>
        <w:pStyle w:val="BodyText"/>
        <w:spacing w:line="415" w:lineRule="auto" w:before="151"/>
        <w:ind w:left="513" w:right="1843" w:firstLine="1"/>
        <w:jc w:val="left"/>
      </w:pPr>
      <w:r>
        <w:rPr>
          <w:rFonts w:ascii="Times New Roman" w:hAnsi="Times New Roman" w:cs="Times New Roman" w:eastAsia="Times New Roman" w:hint="default"/>
          <w:b/>
          <w:bCs/>
        </w:rPr>
        <w:t>2</w:t>
      </w:r>
      <w:r>
        <w:rPr>
          <w:rFonts w:ascii="宋体" w:hAnsi="宋体" w:cs="宋体" w:eastAsia="宋体" w:hint="default"/>
          <w:b/>
          <w:bCs/>
        </w:rPr>
        <w:t>、监事简介</w:t>
      </w:r>
      <w:r>
        <w:rPr>
          <w:rFonts w:ascii="宋体" w:hAnsi="宋体" w:cs="宋体" w:eastAsia="宋体" w:hint="default"/>
          <w:b/>
          <w:bCs/>
          <w:w w:val="99"/>
        </w:rPr>
        <w:t> </w:t>
      </w:r>
      <w:r>
        <w:rPr/>
        <w:t>苏根继先生：中国国籍，现年</w:t>
      </w:r>
      <w:r>
        <w:rPr>
          <w:rFonts w:ascii="Times New Roman" w:hAnsi="Times New Roman" w:cs="Times New Roman" w:eastAsia="Times New Roman" w:hint="default"/>
        </w:rPr>
        <w:t>54</w:t>
      </w:r>
      <w:r>
        <w:rPr/>
        <w:t>岁，大学本科，讲师，最近</w:t>
      </w:r>
      <w:r>
        <w:rPr>
          <w:rFonts w:ascii="Times New Roman" w:hAnsi="Times New Roman" w:cs="Times New Roman" w:eastAsia="Times New Roman" w:hint="default"/>
        </w:rPr>
        <w:t>5</w:t>
      </w:r>
      <w:r>
        <w:rPr/>
        <w:t>年一直担任本公司监事会主席、法律部负责人。</w:t>
      </w:r>
    </w:p>
    <w:p>
      <w:pPr>
        <w:spacing w:line="240" w:lineRule="auto" w:before="7"/>
        <w:rPr>
          <w:rFonts w:ascii="宋体" w:hAnsi="宋体" w:cs="宋体" w:eastAsia="宋体" w:hint="default"/>
          <w:sz w:val="17"/>
          <w:szCs w:val="17"/>
        </w:rPr>
      </w:pPr>
    </w:p>
    <w:p>
      <w:pPr>
        <w:pStyle w:val="BodyText"/>
        <w:spacing w:line="240" w:lineRule="auto"/>
        <w:ind w:left="513" w:right="0"/>
        <w:jc w:val="left"/>
      </w:pPr>
      <w:r>
        <w:rPr/>
        <w:t>蒋恕慧女士：中国国籍，现年</w:t>
      </w:r>
      <w:r>
        <w:rPr>
          <w:rFonts w:ascii="Times New Roman" w:hAnsi="Times New Roman" w:cs="Times New Roman" w:eastAsia="Times New Roman" w:hint="default"/>
        </w:rPr>
        <w:t>54</w:t>
      </w:r>
      <w:r>
        <w:rPr/>
        <w:t>岁，大学本科，工程师，最近</w:t>
      </w:r>
      <w:r>
        <w:rPr>
          <w:rFonts w:ascii="Times New Roman" w:hAnsi="Times New Roman" w:cs="Times New Roman" w:eastAsia="Times New Roman" w:hint="default"/>
        </w:rPr>
        <w:t>5</w:t>
      </w:r>
      <w:r>
        <w:rPr/>
        <w:t>年一直担任本公司监事、商务部经理。</w:t>
      </w:r>
    </w:p>
    <w:p>
      <w:pPr>
        <w:spacing w:line="240" w:lineRule="auto" w:before="0"/>
        <w:rPr>
          <w:rFonts w:ascii="宋体" w:hAnsi="宋体" w:cs="宋体" w:eastAsia="宋体" w:hint="default"/>
          <w:sz w:val="18"/>
          <w:szCs w:val="18"/>
        </w:rPr>
      </w:pPr>
    </w:p>
    <w:p>
      <w:pPr>
        <w:pStyle w:val="BodyText"/>
        <w:spacing w:line="415" w:lineRule="auto" w:before="139"/>
        <w:ind w:left="513" w:right="3103"/>
        <w:jc w:val="left"/>
      </w:pPr>
      <w:r>
        <w:rPr/>
        <w:t>郭玉杰先生：中国国籍，现年</w:t>
      </w:r>
      <w:r>
        <w:rPr>
          <w:rFonts w:ascii="Times New Roman" w:hAnsi="Times New Roman" w:cs="Times New Roman" w:eastAsia="Times New Roman" w:hint="default"/>
        </w:rPr>
        <w:t>54</w:t>
      </w:r>
      <w:r>
        <w:rPr/>
        <w:t>岁，大学专科，最近</w:t>
      </w:r>
      <w:r>
        <w:rPr>
          <w:rFonts w:ascii="Times New Roman" w:hAnsi="Times New Roman" w:cs="Times New Roman" w:eastAsia="Times New Roman" w:hint="default"/>
        </w:rPr>
        <w:t>5</w:t>
      </w:r>
      <w:r>
        <w:rPr/>
        <w:t>年一直担任本公司监事。 </w:t>
      </w:r>
      <w:r>
        <w:rPr>
          <w:rFonts w:ascii="Times New Roman" w:hAnsi="Times New Roman" w:cs="Times New Roman" w:eastAsia="Times New Roman" w:hint="default"/>
          <w:b/>
          <w:bCs/>
        </w:rPr>
        <w:t>3</w:t>
      </w:r>
      <w:r>
        <w:rPr>
          <w:rFonts w:ascii="宋体" w:hAnsi="宋体" w:cs="宋体" w:eastAsia="宋体" w:hint="default"/>
          <w:b/>
          <w:bCs/>
        </w:rPr>
        <w:t>、高级管理人员简介</w:t>
      </w:r>
      <w:r>
        <w:rPr>
          <w:rFonts w:ascii="宋体" w:hAnsi="宋体" w:cs="宋体" w:eastAsia="宋体" w:hint="default"/>
          <w:b/>
          <w:bCs/>
          <w:w w:val="99"/>
        </w:rPr>
        <w:t> </w:t>
      </w:r>
      <w:r>
        <w:rPr/>
        <w:t>金伟先生：中国国籍，现年</w:t>
      </w:r>
      <w:r>
        <w:rPr>
          <w:rFonts w:ascii="Times New Roman" w:hAnsi="Times New Roman" w:cs="Times New Roman" w:eastAsia="Times New Roman" w:hint="default"/>
        </w:rPr>
        <w:t>61</w:t>
      </w:r>
      <w:r>
        <w:rPr/>
        <w:t>岁，硕士研究生，工程师，最近</w:t>
      </w:r>
      <w:r>
        <w:rPr>
          <w:rFonts w:ascii="Times New Roman" w:hAnsi="Times New Roman" w:cs="Times New Roman" w:eastAsia="Times New Roman" w:hint="default"/>
        </w:rPr>
        <w:t>5</w:t>
      </w:r>
      <w:r>
        <w:rPr/>
        <w:t>年一直担任本公司副总经理。</w:t>
      </w:r>
    </w:p>
    <w:p>
      <w:pPr>
        <w:pStyle w:val="BodyText"/>
        <w:spacing w:line="240" w:lineRule="auto" w:before="37"/>
        <w:ind w:left="513" w:right="0"/>
        <w:jc w:val="left"/>
      </w:pPr>
      <w:r>
        <w:rPr/>
        <w:t>夏金崇先生：中国国籍，现年</w:t>
      </w:r>
      <w:r>
        <w:rPr>
          <w:rFonts w:ascii="Times New Roman" w:hAnsi="Times New Roman" w:cs="Times New Roman" w:eastAsia="Times New Roman" w:hint="default"/>
        </w:rPr>
        <w:t>54</w:t>
      </w:r>
      <w:r>
        <w:rPr/>
        <w:t>岁，大学本科，工程师，长期从事行业应用软件开发及计算机信息系统集成工作，最近</w:t>
      </w:r>
    </w:p>
    <w:p>
      <w:pPr>
        <w:pStyle w:val="BodyText"/>
        <w:spacing w:line="240" w:lineRule="auto" w:before="63"/>
        <w:ind w:left="154" w:right="0"/>
        <w:jc w:val="left"/>
      </w:pPr>
      <w:r>
        <w:rPr>
          <w:rFonts w:ascii="Times New Roman" w:hAnsi="Times New Roman" w:cs="Times New Roman" w:eastAsia="Times New Roman" w:hint="default"/>
        </w:rPr>
        <w:t>5</w:t>
      </w:r>
      <w:r>
        <w:rPr/>
        <w:t>年一直担任本公司副总经理，已于报告期内辞去董事一职。</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415" w:lineRule="auto" w:before="44"/>
        <w:ind w:left="513" w:right="0"/>
        <w:jc w:val="left"/>
      </w:pPr>
      <w:r>
        <w:rPr/>
        <w:t>林文平先生：中国国籍，现年</w:t>
      </w:r>
      <w:r>
        <w:rPr>
          <w:rFonts w:ascii="Times New Roman" w:hAnsi="Times New Roman" w:cs="Times New Roman" w:eastAsia="Times New Roman" w:hint="default"/>
        </w:rPr>
        <w:t>52</w:t>
      </w:r>
      <w:r>
        <w:rPr/>
        <w:t>岁，硕士研究生，工程师，最近</w:t>
      </w:r>
      <w:r>
        <w:rPr>
          <w:rFonts w:ascii="Times New Roman" w:hAnsi="Times New Roman" w:cs="Times New Roman" w:eastAsia="Times New Roman" w:hint="default"/>
        </w:rPr>
        <w:t>5</w:t>
      </w:r>
      <w:r>
        <w:rPr/>
        <w:t>年一直在本公司工作，现任公司副总经理。 刘志华先生：中国国籍，现年</w:t>
      </w:r>
      <w:r>
        <w:rPr>
          <w:rFonts w:ascii="Times New Roman" w:hAnsi="Times New Roman" w:cs="Times New Roman" w:eastAsia="Times New Roman" w:hint="default"/>
        </w:rPr>
        <w:t>48</w:t>
      </w:r>
      <w:r>
        <w:rPr/>
        <w:t>岁，硕士研究生，工程师，最近</w:t>
      </w:r>
      <w:r>
        <w:rPr>
          <w:rFonts w:ascii="Times New Roman" w:hAnsi="Times New Roman" w:cs="Times New Roman" w:eastAsia="Times New Roman" w:hint="default"/>
        </w:rPr>
        <w:t>5</w:t>
      </w:r>
      <w:r>
        <w:rPr/>
        <w:t>年一直在本公司工作，现任本公司副总经理。</w:t>
      </w:r>
    </w:p>
    <w:p>
      <w:pPr>
        <w:pStyle w:val="BodyText"/>
        <w:spacing w:line="300" w:lineRule="auto" w:before="37"/>
        <w:ind w:left="154" w:right="1142" w:firstLine="360"/>
        <w:jc w:val="left"/>
      </w:pPr>
      <w:r>
        <w:rPr/>
        <w:t>王佺先生：中国国籍，现年</w:t>
      </w:r>
      <w:r>
        <w:rPr>
          <w:rFonts w:ascii="Times New Roman" w:hAnsi="Times New Roman" w:cs="Times New Roman" w:eastAsia="Times New Roman" w:hint="default"/>
        </w:rPr>
        <w:t>44</w:t>
      </w:r>
      <w:r>
        <w:rPr/>
        <w:t>岁，</w:t>
      </w:r>
      <w:r>
        <w:rPr>
          <w:rFonts w:ascii="Times New Roman" w:hAnsi="Times New Roman" w:cs="Times New Roman" w:eastAsia="Times New Roman" w:hint="default"/>
        </w:rPr>
        <w:t>EMBA</w:t>
      </w:r>
      <w:r>
        <w:rPr/>
        <w:t>学位，最近</w:t>
      </w:r>
      <w:r>
        <w:rPr>
          <w:rFonts w:ascii="Times New Roman" w:hAnsi="Times New Roman" w:cs="Times New Roman" w:eastAsia="Times New Roman" w:hint="default"/>
        </w:rPr>
        <w:t>5</w:t>
      </w:r>
      <w:r>
        <w:rPr/>
        <w:t>年一直担任北京神州新桥科技有限公司副总裁，现任本公司副总 经理。</w:t>
      </w:r>
    </w:p>
    <w:p>
      <w:pPr>
        <w:pStyle w:val="BodyText"/>
        <w:spacing w:line="300" w:lineRule="auto" w:before="151"/>
        <w:ind w:right="1123" w:firstLine="360"/>
        <w:jc w:val="left"/>
      </w:pPr>
      <w:r>
        <w:rPr/>
        <w:t>韩士斌先生：中国国籍，现年</w:t>
      </w:r>
      <w:r>
        <w:rPr>
          <w:rFonts w:ascii="Times New Roman" w:hAnsi="Times New Roman" w:cs="Times New Roman" w:eastAsia="Times New Roman" w:hint="default"/>
        </w:rPr>
        <w:t>52</w:t>
      </w:r>
      <w:r>
        <w:rPr/>
        <w:t>岁，硕士研究生，工程师，最近</w:t>
      </w:r>
      <w:r>
        <w:rPr>
          <w:rFonts w:ascii="Times New Roman" w:hAnsi="Times New Roman" w:cs="Times New Roman" w:eastAsia="Times New Roman" w:hint="default"/>
        </w:rPr>
        <w:t>5</w:t>
      </w:r>
      <w:r>
        <w:rPr/>
        <w:t>年一直在本公司工作，现任本公司副总经理、医疗卫 生事业部总经理。</w:t>
      </w:r>
    </w:p>
    <w:p>
      <w:pPr>
        <w:pStyle w:val="BodyText"/>
        <w:spacing w:line="415" w:lineRule="auto" w:before="151"/>
        <w:ind w:left="513" w:right="0"/>
        <w:jc w:val="left"/>
      </w:pPr>
      <w:r>
        <w:rPr>
          <w:spacing w:val="-2"/>
        </w:rPr>
        <w:t>董国勇先生：中国国籍，现年</w:t>
      </w:r>
      <w:r>
        <w:rPr>
          <w:rFonts w:ascii="Times New Roman" w:hAnsi="Times New Roman" w:cs="Times New Roman" w:eastAsia="Times New Roman" w:hint="default"/>
          <w:spacing w:val="-2"/>
        </w:rPr>
        <w:t>45</w:t>
      </w:r>
      <w:r>
        <w:rPr>
          <w:spacing w:val="-2"/>
        </w:rPr>
        <w:t>岁，大学本科，最近</w:t>
      </w:r>
      <w:r>
        <w:rPr>
          <w:rFonts w:ascii="Times New Roman" w:hAnsi="Times New Roman" w:cs="Times New Roman" w:eastAsia="Times New Roman" w:hint="default"/>
          <w:spacing w:val="-2"/>
        </w:rPr>
        <w:t>5</w:t>
      </w:r>
      <w:r>
        <w:rPr>
          <w:spacing w:val="-2"/>
        </w:rPr>
        <w:t>年一直在本公司工作，现任本公司副总经理、金融事业部总经理。</w:t>
      </w:r>
      <w:r>
        <w:rPr>
          <w:spacing w:val="-68"/>
        </w:rPr>
        <w:t> </w:t>
      </w:r>
      <w:r>
        <w:rPr>
          <w:spacing w:val="-68"/>
        </w:rPr>
      </w:r>
      <w:r>
        <w:rPr/>
        <w:t>阮晋先生：中国国籍，现年</w:t>
      </w:r>
      <w:r>
        <w:rPr>
          <w:rFonts w:ascii="Times New Roman" w:hAnsi="Times New Roman" w:cs="Times New Roman" w:eastAsia="Times New Roman" w:hint="default"/>
        </w:rPr>
        <w:t>45</w:t>
      </w:r>
      <w:r>
        <w:rPr/>
        <w:t>岁，</w:t>
      </w:r>
      <w:r>
        <w:rPr>
          <w:rFonts w:ascii="Times New Roman" w:hAnsi="Times New Roman" w:cs="Times New Roman" w:eastAsia="Times New Roman" w:hint="default"/>
        </w:rPr>
        <w:t>EMBA</w:t>
      </w:r>
      <w:r>
        <w:rPr/>
        <w:t>学位，最近</w:t>
      </w:r>
      <w:r>
        <w:rPr>
          <w:rFonts w:ascii="Times New Roman" w:hAnsi="Times New Roman" w:cs="Times New Roman" w:eastAsia="Times New Roman" w:hint="default"/>
        </w:rPr>
        <w:t>5</w:t>
      </w:r>
      <w:r>
        <w:rPr/>
        <w:t>年一直在本公司工作，现任本公司副总经理。 叶莉女士：中国国籍，现年</w:t>
      </w:r>
      <w:r>
        <w:rPr>
          <w:rFonts w:ascii="Times New Roman" w:hAnsi="Times New Roman" w:cs="Times New Roman" w:eastAsia="Times New Roman" w:hint="default"/>
        </w:rPr>
        <w:t>45</w:t>
      </w:r>
      <w:r>
        <w:rPr/>
        <w:t>岁，硕士研究生，最近</w:t>
      </w:r>
      <w:r>
        <w:rPr>
          <w:rFonts w:ascii="Times New Roman" w:hAnsi="Times New Roman" w:cs="Times New Roman" w:eastAsia="Times New Roman" w:hint="default"/>
        </w:rPr>
        <w:t>5</w:t>
      </w:r>
      <w:r>
        <w:rPr/>
        <w:t>年一直在本公司工作，现任本公司财务总监。 侯志国先生：中国国籍，现年</w:t>
      </w:r>
      <w:r>
        <w:rPr>
          <w:rFonts w:ascii="Times New Roman" w:hAnsi="Times New Roman" w:cs="Times New Roman" w:eastAsia="Times New Roman" w:hint="default"/>
        </w:rPr>
        <w:t>40</w:t>
      </w:r>
      <w:r>
        <w:rPr/>
        <w:t>岁，本科，最近</w:t>
      </w:r>
      <w:r>
        <w:rPr>
          <w:rFonts w:ascii="Times New Roman" w:hAnsi="Times New Roman" w:cs="Times New Roman" w:eastAsia="Times New Roman" w:hint="default"/>
        </w:rPr>
        <w:t>5</w:t>
      </w:r>
      <w:r>
        <w:rPr/>
        <w:t>年一直在本公司工作，现任本公司副总经理。 尹继南先生：中国国籍，现年</w:t>
      </w:r>
      <w:r>
        <w:rPr>
          <w:rFonts w:ascii="Times New Roman" w:hAnsi="Times New Roman" w:cs="Times New Roman" w:eastAsia="Times New Roman" w:hint="default"/>
        </w:rPr>
        <w:t>42</w:t>
      </w:r>
      <w:r>
        <w:rPr/>
        <w:t>岁，本科，最近</w:t>
      </w:r>
      <w:r>
        <w:rPr>
          <w:rFonts w:ascii="Times New Roman" w:hAnsi="Times New Roman" w:cs="Times New Roman" w:eastAsia="Times New Roman" w:hint="default"/>
        </w:rPr>
        <w:t>5</w:t>
      </w:r>
      <w:r>
        <w:rPr/>
        <w:t>年一直在本公司工作，现任本公司副总经理。 任安彪先生：中国国籍，现年</w:t>
      </w:r>
      <w:r>
        <w:rPr>
          <w:rFonts w:ascii="Times New Roman" w:hAnsi="Times New Roman" w:cs="Times New Roman" w:eastAsia="Times New Roman" w:hint="default"/>
        </w:rPr>
        <w:t>44</w:t>
      </w:r>
      <w:r>
        <w:rPr/>
        <w:t>岁，本科，最近</w:t>
      </w:r>
      <w:r>
        <w:rPr>
          <w:rFonts w:ascii="Times New Roman" w:hAnsi="Times New Roman" w:cs="Times New Roman" w:eastAsia="Times New Roman" w:hint="default"/>
        </w:rPr>
        <w:t>5</w:t>
      </w:r>
      <w:r>
        <w:rPr/>
        <w:t>年一直在本公司工作，现任本公司副总经理。</w:t>
      </w:r>
    </w:p>
    <w:p>
      <w:pPr>
        <w:pStyle w:val="BodyText"/>
        <w:spacing w:line="240" w:lineRule="auto" w:before="38"/>
        <w:ind w:right="0"/>
        <w:jc w:val="left"/>
      </w:pPr>
      <w:r>
        <w:rPr/>
        <w:t>在股东单位任职情况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848"/>
        <w:gridCol w:w="712"/>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7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薛向东先生最近五年一直担任本公司董事长，除此之外现任本公司控股股东北京东华诚信电脑科技发展有 限公司董事。</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3118"/>
        <w:gridCol w:w="1559"/>
        <w:gridCol w:w="1276"/>
        <w:gridCol w:w="1246"/>
        <w:gridCol w:w="1376"/>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3" w:right="53"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泰安东华合创软件有限公司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北京厚盾科技有限公司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北京东华厚盾软件有限公司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东华合创科技有限公司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3118"/>
        <w:gridCol w:w="1559"/>
        <w:gridCol w:w="1276"/>
        <w:gridCol w:w="1246"/>
        <w:gridCol w:w="1376"/>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东华博雅软件股份有限公司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北京光明数据信息技术有限公司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合力东华（北京）科技有限公司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北京东华诚信电脑科技发展有限公司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北京智中能源互联网科技有限公司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华金在线股份公司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即墨东华软件有限公司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北京东华福蝉信息技术有限公司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郑州东华诚信软件有限公司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大同东华软件有限公司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哈尔滨东华软件有限公司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内蒙古东华软件有限公司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北京东华福蝉信息技术有限公司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  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西安东华软件有限公司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东华医为科技有限公司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东华互联宜家数据服务有限公司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东华云计算有限公司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瑞客东华转化医学研究中心有限公司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东华金云网络股份公司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华金在线股份公司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苏州东华软件科技有限公司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3118"/>
        <w:gridCol w:w="1559"/>
        <w:gridCol w:w="1276"/>
        <w:gridCol w:w="1246"/>
        <w:gridCol w:w="1376"/>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尹继南</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广西东华云数据信息技术有限公司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北京东华智中能源互联网科技有限公司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吉林省东华软件信息工程有限公司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北京东华福蝉信息技术有限公司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北京中能博泰科技有限公司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董事兼经理</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广州东华合创数码科技有限公司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北京东华易时科技有限公司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沈阳普林科技有限公司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南昌东华软件有限公司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山西东华软件有限公司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东华医为科技有限公司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东华星联科技有限公司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东华云计算有限公司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兰州东华软件有限公司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北京东华万兴软件有限公司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东华软件智能科技有限公司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东华软件威海有限公司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内蒙古合创信息技术有限公司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东华博雅软件股份有限公司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贵州东华云数据科技有限责任公司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东华软件智能科技有限公司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  中</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华北计算技术研究所科技委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学位委员会副主席</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  中</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北京汉邦高科数字技术股份有限公司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中国财经学会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中国财税法学会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全国政府预算研究会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全国高效财政学教学研究会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北京市东城区、顺义区人大常委会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安徽荃银高科股份有限公司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3.759995pt;margin-top:559.119995pt;width:67.9pt;height:27.95pt;mso-position-horizontal-relative:page;mso-position-vertical-relative:page;z-index:-1041568" coordorigin="3875,11182" coordsize="1358,559">
            <v:group style="position:absolute;left:3875;top:11182;width:1358;height:156" coordorigin="3875,11182" coordsize="1358,156">
              <v:shape style="position:absolute;left:3875;top:11182;width:1358;height:156" coordorigin="3875,11182" coordsize="1358,156" path="m3875,11338l5233,11338,5233,11182,3875,11182,3875,11338xe" filled="true" fillcolor="#ffffff" stroked="false">
                <v:path arrowok="t"/>
                <v:fill type="solid"/>
              </v:shape>
            </v:group>
            <v:group style="position:absolute;left:3887;top:11338;width:2;height:392" coordorigin="3887,11338" coordsize="2,392">
              <v:shape style="position:absolute;left:3887;top:11338;width:2;height:392" coordorigin="3887,11338" coordsize="0,392" path="m3887,11338l3887,11730e" filled="false" stroked="true" strokeweight="1.140pt" strokecolor="#ffffff">
                <v:path arrowok="t"/>
              </v:shape>
            </v:group>
            <v:group style="position:absolute;left:3898;top:11338;width:1312;height:392" coordorigin="3898,11338" coordsize="1312,392">
              <v:shape style="position:absolute;left:3898;top:11338;width:1312;height:392" coordorigin="3898,11338" coordsize="1312,392" path="m3898,11730l5210,11730,5210,11338,3898,11338,3898,1173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3118"/>
        <w:gridCol w:w="1559"/>
        <w:gridCol w:w="1276"/>
        <w:gridCol w:w="1246"/>
        <w:gridCol w:w="1376"/>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江西富祥药业股份有限公司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青岛啤酒股份有限公司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燕</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中国电影股份有限公司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北京立思辰科技股份有限公司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京北方信息技术股份有限公司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清华大学自动化系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栾大龙</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苏州瑞可达连接系统股份有限公司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栾大龙</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航天科技控股集团股份有限公司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0" w:lineRule="auto" w:before="115"/>
        <w:ind w:left="154" w:right="1122" w:firstLine="360"/>
        <w:jc w:val="left"/>
      </w:pPr>
      <w:r>
        <w:rPr>
          <w:rFonts w:ascii="Times New Roman" w:hAnsi="Times New Roman" w:cs="Times New Roman" w:eastAsia="Times New Roman" w:hint="default"/>
        </w:rPr>
        <w:t>1</w:t>
      </w:r>
      <w:r>
        <w:rPr/>
        <w:t>、董事、监事、高级管理人员报酬的决策程序：董事、监事的津贴根据股东大会决议确定。薪酬与考核委员会是董事 会按照股东大会决议设立的专门工作机构，负责对董事会与高级管理人员的考核和薪酬进行审查，并提出意见和建议。</w:t>
      </w:r>
    </w:p>
    <w:p>
      <w:pPr>
        <w:pStyle w:val="BodyText"/>
        <w:spacing w:line="300" w:lineRule="auto" w:before="31"/>
        <w:ind w:left="154" w:right="1122" w:firstLine="360"/>
        <w:jc w:val="left"/>
      </w:pPr>
      <w:r>
        <w:rPr>
          <w:rFonts w:ascii="Times New Roman" w:hAnsi="Times New Roman" w:cs="Times New Roman" w:eastAsia="Times New Roman" w:hint="default"/>
        </w:rPr>
        <w:t>2</w:t>
      </w:r>
      <w:r>
        <w:rPr/>
        <w:t>、董事、监事、高级管理人员报酬确定依据：在公司任职的董事、监事、高级管理人员按照其行政职务根据公司现行 的工资制度领取报酬，年底根据经营业绩，按照绩效考核体系对高级管理人员进行考评，根据考评结果确定其年终奖金。</w:t>
      </w:r>
    </w:p>
    <w:p>
      <w:pPr>
        <w:pStyle w:val="BodyText"/>
        <w:spacing w:line="300" w:lineRule="auto" w:before="31"/>
        <w:ind w:left="154" w:right="1122" w:firstLine="360"/>
        <w:jc w:val="left"/>
      </w:pPr>
      <w:r>
        <w:rPr>
          <w:rFonts w:ascii="Times New Roman" w:hAnsi="Times New Roman" w:cs="Times New Roman" w:eastAsia="Times New Roman" w:hint="default"/>
        </w:rPr>
        <w:t>3</w:t>
      </w:r>
      <w:r>
        <w:rPr/>
        <w:t>、董事、监事、高级管理人员报酬的实际支付情况：公司严格按照董事、监事、高级管理人员薪酬的决策程序与确定 依据按月支付薪酬。</w:t>
      </w:r>
    </w:p>
    <w:p>
      <w:pPr>
        <w:pStyle w:val="BodyText"/>
        <w:spacing w:line="240" w:lineRule="auto" w:before="72"/>
        <w:ind w:left="154"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1" w:right="0"/>
              <w:jc w:val="left"/>
              <w:rPr>
                <w:rFonts w:ascii="Times New Roman" w:hAnsi="Times New Roman" w:cs="Times New Roman" w:eastAsia="Times New Roman" w:hint="default"/>
                <w:sz w:val="18"/>
                <w:szCs w:val="18"/>
              </w:rPr>
            </w:pPr>
            <w:r>
              <w:rPr>
                <w:rFonts w:ascii="Times New Roman"/>
                <w:sz w:val="18"/>
              </w:rPr>
              <w:t>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1" w:right="0"/>
              <w:jc w:val="left"/>
              <w:rPr>
                <w:rFonts w:ascii="Times New Roman" w:hAnsi="Times New Roman" w:cs="Times New Roman" w:eastAsia="Times New Roman" w:hint="default"/>
                <w:sz w:val="18"/>
                <w:szCs w:val="18"/>
              </w:rPr>
            </w:pPr>
            <w:r>
              <w:rPr>
                <w:rFonts w:ascii="Times New Roman"/>
                <w:sz w:val="18"/>
              </w:rPr>
              <w:t>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1" w:right="0"/>
              <w:jc w:val="left"/>
              <w:rPr>
                <w:rFonts w:ascii="Times New Roman" w:hAnsi="Times New Roman" w:cs="Times New Roman" w:eastAsia="Times New Roman" w:hint="default"/>
                <w:sz w:val="18"/>
                <w:szCs w:val="18"/>
              </w:rPr>
            </w:pPr>
            <w:r>
              <w:rPr>
                <w:rFonts w:ascii="Times New Roman"/>
                <w:sz w:val="18"/>
              </w:rPr>
              <w:t>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郑晓清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1" w:right="0"/>
              <w:jc w:val="left"/>
              <w:rPr>
                <w:rFonts w:ascii="Times New Roman" w:hAnsi="Times New Roman" w:cs="Times New Roman" w:eastAsia="Times New Roman" w:hint="default"/>
                <w:sz w:val="18"/>
                <w:szCs w:val="18"/>
              </w:rPr>
            </w:pPr>
            <w:r>
              <w:rPr>
                <w:rFonts w:ascii="Times New Roman"/>
                <w:sz w:val="18"/>
              </w:rPr>
              <w:t>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徐德力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1" w:right="0"/>
              <w:jc w:val="left"/>
              <w:rPr>
                <w:rFonts w:ascii="Times New Roman" w:hAnsi="Times New Roman" w:cs="Times New Roman" w:eastAsia="Times New Roman" w:hint="default"/>
                <w:sz w:val="18"/>
                <w:szCs w:val="18"/>
              </w:rPr>
            </w:pPr>
            <w:r>
              <w:rPr>
                <w:rFonts w:ascii="Times New Roman"/>
                <w:sz w:val="18"/>
              </w:rPr>
              <w:t>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  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6" w:right="0"/>
              <w:jc w:val="lef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  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6" w:right="0"/>
              <w:jc w:val="lef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6" w:right="0"/>
              <w:jc w:val="lef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栾大龙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6" w:right="0"/>
              <w:jc w:val="lef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苏根继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6" w:right="0"/>
              <w:jc w:val="left"/>
              <w:rPr>
                <w:rFonts w:ascii="Times New Roman" w:hAnsi="Times New Roman" w:cs="Times New Roman" w:eastAsia="Times New Roman" w:hint="default"/>
                <w:sz w:val="18"/>
                <w:szCs w:val="18"/>
              </w:rPr>
            </w:pPr>
            <w:r>
              <w:rPr>
                <w:rFonts w:ascii="Times New Roman"/>
                <w:sz w:val="18"/>
              </w:rPr>
              <w:t>27.95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蒋恕慧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1" w:right="0"/>
              <w:jc w:val="left"/>
              <w:rPr>
                <w:rFonts w:ascii="Times New Roman" w:hAnsi="Times New Roman" w:cs="Times New Roman" w:eastAsia="Times New Roman" w:hint="default"/>
                <w:sz w:val="18"/>
                <w:szCs w:val="18"/>
              </w:rPr>
            </w:pPr>
            <w:r>
              <w:rPr>
                <w:rFonts w:ascii="Times New Roman"/>
                <w:sz w:val="18"/>
              </w:rPr>
              <w:t>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郭玉杰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  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林文平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韩士斌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董国勇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阮  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  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侯志国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尹继南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任安彪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7"/>
              <w:jc w:val="righ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970.45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8,559</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大学本科学历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111</w:t>
            </w:r>
            <w:r>
              <w:rPr>
                <w:rFonts w:ascii="Times New Roman"/>
                <w:sz w:val="18"/>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8,559</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spacing w:val="-2"/>
        </w:rPr>
        <w:t>公司严格按照《中华人民共和国劳动合同法》和相关法律法规的规定，公司根据行业薪酬状况以及公司薪酬在市场中的</w:t>
      </w:r>
      <w:r>
        <w:rPr/>
        <w:t> 定位，与员工签订劳动合同，按照国家规定为员工缴纳医疗保险金、养老保险、失业保险、工伤保险、生育保险、公积金。 </w:t>
      </w:r>
      <w:r>
        <w:rPr>
          <w:spacing w:val="-2"/>
        </w:rPr>
        <w:t>同时，公司通过员工持股计划的实施，进一步调动管理者和核心员工的工作积极性，对吸引和保留优秀管理人才和核心员工</w:t>
      </w:r>
      <w:r>
        <w:rPr>
          <w:spacing w:val="-66"/>
        </w:rPr>
        <w:t> </w:t>
      </w:r>
      <w:r>
        <w:rPr>
          <w:spacing w:val="-66"/>
        </w:rPr>
      </w:r>
      <w:r>
        <w:rPr/>
        <w:t>起到积极的促进作用。通过激励机制的不断完善，有效的促进了公司持续健康发展、完善了公司法人治理结构。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公司十分注重人才的培养和储备，积极寻求各种培训资源和渠道，搭建完善的培训体系，结合发展状况、岗位要求、企</w:t>
      </w:r>
      <w:r>
        <w:rPr/>
        <w:t> </w:t>
      </w:r>
      <w:r>
        <w:rPr>
          <w:spacing w:val="-2"/>
        </w:rPr>
        <w:t>业文化及个人职业发展建立了分级培训计划，采取现场培训和网络培训相结合的方式，进行定期或不定期的培训，有效地提</w:t>
      </w:r>
      <w:r>
        <w:rPr>
          <w:spacing w:val="-66"/>
        </w:rPr>
        <w:t> </w:t>
      </w:r>
      <w:r>
        <w:rPr>
          <w:spacing w:val="-66"/>
        </w:rPr>
      </w:r>
      <w:r>
        <w:rPr/>
        <w:t>高了员工的整体素质和企业的经营管理水平，为公司发展储备人力资源。</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_TOC_250003" w:id="134"/>
      <w:bookmarkStart w:name="第九节 公司治理" w:id="135"/>
      <w:r>
        <w:rPr>
          <w:b w:val="0"/>
          <w:bCs w:val="0"/>
        </w:rPr>
      </w:r>
      <w:r>
        <w:rPr/>
        <w:t>第九节</w:t>
      </w:r>
      <w:r>
        <w:rPr>
          <w:spacing w:val="-5"/>
        </w:rPr>
        <w:t> </w:t>
      </w:r>
      <w:r>
        <w:rPr/>
        <w:t>公司治理</w:t>
      </w:r>
      <w:bookmarkEnd w:id="13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131"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圳证券交易所中小企业板上市公司规范运作指引》及中国证监会有关法律法规的要求，不断完善公司治理结构，建立健全内</w:t>
      </w:r>
      <w:r>
        <w:rPr>
          <w:spacing w:val="-66"/>
        </w:rPr>
        <w:t> </w:t>
      </w:r>
      <w:r>
        <w:rPr>
          <w:spacing w:val="-66"/>
        </w:rPr>
      </w:r>
      <w:r>
        <w:rPr>
          <w:spacing w:val="-2"/>
        </w:rPr>
        <w:t>部管理和控制制度，持续深入开展公司治理活动，规范公司运作，提高公司治理水平。公司在实际运作中没有违反相关规定</w:t>
      </w:r>
      <w:r>
        <w:rPr>
          <w:spacing w:val="-66"/>
        </w:rPr>
        <w:t> </w:t>
      </w:r>
      <w:r>
        <w:rPr>
          <w:spacing w:val="-66"/>
        </w:rPr>
      </w:r>
      <w:r>
        <w:rPr>
          <w:spacing w:val="-5"/>
        </w:rPr>
        <w:t>或与相关规定不一致的情况，公司治理基本符合相关法律法规和规范性文件的要求。报告期内，公司严格按照《章程》、《董</w:t>
      </w:r>
      <w:r>
        <w:rPr>
          <w:spacing w:val="-80"/>
        </w:rPr>
        <w:t> </w:t>
      </w:r>
      <w:r>
        <w:rPr>
          <w:spacing w:val="-80"/>
        </w:rPr>
      </w:r>
      <w:r>
        <w:rPr>
          <w:spacing w:val="-2"/>
        </w:rPr>
        <w:t>事会议事规则》、《监事会议事规则》规定，召开了</w:t>
      </w:r>
      <w:r>
        <w:rPr>
          <w:rFonts w:ascii="Times New Roman" w:hAnsi="Times New Roman" w:cs="Times New Roman" w:eastAsia="Times New Roman" w:hint="default"/>
          <w:spacing w:val="-2"/>
        </w:rPr>
        <w:t>4</w:t>
      </w:r>
      <w:r>
        <w:rPr>
          <w:spacing w:val="-2"/>
        </w:rPr>
        <w:t>次股东大会，</w:t>
      </w:r>
      <w:r>
        <w:rPr>
          <w:rFonts w:ascii="Times New Roman" w:hAnsi="Times New Roman" w:cs="Times New Roman" w:eastAsia="Times New Roman" w:hint="default"/>
          <w:spacing w:val="-2"/>
        </w:rPr>
        <w:t>13</w:t>
      </w:r>
      <w:r>
        <w:rPr>
          <w:spacing w:val="-2"/>
        </w:rPr>
        <w:t>次董事会会议，</w:t>
      </w:r>
      <w:r>
        <w:rPr>
          <w:rFonts w:ascii="Times New Roman" w:hAnsi="Times New Roman" w:cs="Times New Roman" w:eastAsia="Times New Roman" w:hint="default"/>
          <w:spacing w:val="-2"/>
        </w:rPr>
        <w:t>5</w:t>
      </w:r>
      <w:r>
        <w:rPr>
          <w:spacing w:val="-2"/>
        </w:rPr>
        <w:t>次监事会会议，各会议召开运行合法</w:t>
      </w:r>
      <w:r>
        <w:rPr>
          <w:spacing w:val="-63"/>
        </w:rPr>
        <w:t> </w:t>
      </w:r>
      <w:r>
        <w:rPr>
          <w:spacing w:val="-63"/>
        </w:rPr>
      </w:r>
      <w:r>
        <w:rPr/>
        <w:t>有效。截止报告期末，公司治理实际情况基本符合中国证监会、深交所发布的有关上市公司治理的规范性文件的要求。</w:t>
      </w:r>
    </w:p>
    <w:p>
      <w:pPr>
        <w:spacing w:line="300" w:lineRule="auto" w:before="2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、公司治理制度的建立情况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报告期内，公司不断建立、健全各项公司治理制度，目前已涵盖经营管理、财务、信息披露、内部审计、对外投资等各</w:t>
      </w:r>
    </w:p>
    <w:p>
      <w:pPr>
        <w:pStyle w:val="BodyText"/>
        <w:spacing w:line="240" w:lineRule="auto" w:before="31"/>
        <w:ind w:right="0"/>
        <w:jc w:val="both"/>
      </w:pPr>
      <w:r>
        <w:rPr/>
        <w:t>个方面，为公司的规范运作与健康发展提供了良好的制度保障。</w:t>
      </w:r>
    </w:p>
    <w:p>
      <w:pPr>
        <w:pStyle w:val="BodyText"/>
        <w:spacing w:line="300" w:lineRule="auto" w:before="76"/>
        <w:ind w:left="513" w:right="0" w:firstLine="1"/>
        <w:jc w:val="left"/>
      </w:pPr>
      <w:r>
        <w:rPr>
          <w:rFonts w:ascii="Times New Roman" w:hAnsi="Times New Roman" w:cs="Times New Roman" w:eastAsia="Times New Roman" w:hint="default"/>
          <w:b/>
          <w:bCs/>
        </w:rPr>
        <w:t>2</w:t>
      </w:r>
      <w:r>
        <w:rPr>
          <w:rFonts w:ascii="宋体" w:hAnsi="宋体" w:cs="宋体" w:eastAsia="宋体" w:hint="default"/>
          <w:b/>
          <w:bCs/>
        </w:rPr>
        <w:t>、关于股东与股东大会</w:t>
      </w:r>
      <w:r>
        <w:rPr>
          <w:rFonts w:ascii="宋体" w:hAnsi="宋体" w:cs="宋体" w:eastAsia="宋体" w:hint="default"/>
          <w:b/>
          <w:bCs/>
          <w:w w:val="99"/>
        </w:rPr>
        <w:t> </w:t>
      </w:r>
      <w:r>
        <w:rPr>
          <w:spacing w:val="-2"/>
        </w:rPr>
        <w:t>公司严格按照《公司法》、《上市公司股东大会规范意见》、《公司章程》、《股东大会议事规则》的规定和要求，召</w:t>
      </w:r>
    </w:p>
    <w:p>
      <w:pPr>
        <w:pStyle w:val="BodyText"/>
        <w:spacing w:line="316" w:lineRule="auto" w:before="31"/>
        <w:ind w:right="1132"/>
        <w:jc w:val="both"/>
      </w:pPr>
      <w:r>
        <w:rPr>
          <w:spacing w:val="-2"/>
        </w:rPr>
        <w:t>集、召开股东大会，规范表决程序，并通过聘请律师见证，保证会议的合法性。确保全体股东特别是中小股东享有平等地位</w:t>
      </w:r>
      <w:r>
        <w:rPr>
          <w:spacing w:val="-66"/>
        </w:rPr>
        <w:t> </w:t>
      </w:r>
      <w:r>
        <w:rPr>
          <w:spacing w:val="-66"/>
        </w:rPr>
      </w:r>
      <w:r>
        <w:rPr/>
        <w:t>和权利，并承担相应的义务，充分保护股东的合法权益，充分行使自己的权利。</w:t>
      </w:r>
    </w:p>
    <w:p>
      <w:pPr>
        <w:pStyle w:val="BodyText"/>
        <w:spacing w:line="300" w:lineRule="auto" w:before="19"/>
        <w:ind w:left="513" w:right="0" w:firstLine="1"/>
        <w:jc w:val="left"/>
      </w:pPr>
      <w:r>
        <w:rPr>
          <w:rFonts w:ascii="Times New Roman" w:hAnsi="Times New Roman" w:cs="Times New Roman" w:eastAsia="Times New Roman" w:hint="default"/>
          <w:b/>
          <w:bCs/>
        </w:rPr>
        <w:t>3</w:t>
      </w:r>
      <w:r>
        <w:rPr>
          <w:rFonts w:ascii="宋体" w:hAnsi="宋体" w:cs="宋体" w:eastAsia="宋体" w:hint="default"/>
          <w:b/>
          <w:bCs/>
        </w:rPr>
        <w:t>、关于公司与控股股东</w:t>
      </w:r>
      <w:r>
        <w:rPr>
          <w:rFonts w:ascii="宋体" w:hAnsi="宋体" w:cs="宋体" w:eastAsia="宋体" w:hint="default"/>
          <w:b/>
          <w:bCs/>
          <w:w w:val="99"/>
        </w:rPr>
        <w:t> </w:t>
      </w:r>
      <w:r>
        <w:rPr>
          <w:spacing w:val="-2"/>
        </w:rPr>
        <w:t>本公司按照《公司法》、《证券法》、《公司章程》及证券监管部门的有关规定正确处理与控股股东的关系。本公司控</w:t>
      </w:r>
    </w:p>
    <w:p>
      <w:pPr>
        <w:pStyle w:val="BodyText"/>
        <w:spacing w:line="319" w:lineRule="auto" w:before="31"/>
        <w:ind w:right="1133"/>
        <w:jc w:val="both"/>
      </w:pPr>
      <w:r>
        <w:rPr>
          <w:spacing w:val="-2"/>
        </w:rPr>
        <w:t>股股东依法行使其权利并承担相应义务，无占用公司资金、超越股东大会授权范围行使职权、直接或间接干预本公司的决策</w:t>
      </w:r>
      <w:r>
        <w:rPr>
          <w:spacing w:val="-66"/>
        </w:rPr>
        <w:t> </w:t>
      </w:r>
      <w:r>
        <w:rPr>
          <w:spacing w:val="-66"/>
        </w:rPr>
      </w:r>
      <w:r>
        <w:rPr>
          <w:spacing w:val="-2"/>
        </w:rPr>
        <w:t>和生产经营活动的情形。本公司具有自主经营能力，在业务、人员、资金、财务等方面均独立于控股股东，公司董事会、监</w:t>
      </w:r>
      <w:r>
        <w:rPr>
          <w:spacing w:val="-71"/>
        </w:rPr>
        <w:t> </w:t>
      </w:r>
      <w:r>
        <w:rPr>
          <w:spacing w:val="-71"/>
        </w:rPr>
      </w:r>
      <w:r>
        <w:rPr/>
        <w:t>事会和内部机构能够按照各自的议事规则和规章制度独立运作，各司其职。</w:t>
      </w:r>
    </w:p>
    <w:p>
      <w:pPr>
        <w:pStyle w:val="BodyText"/>
        <w:spacing w:line="300" w:lineRule="auto" w:before="17"/>
        <w:ind w:left="514" w:right="0" w:firstLine="1"/>
        <w:jc w:val="left"/>
      </w:pPr>
      <w:r>
        <w:rPr>
          <w:rFonts w:ascii="Times New Roman" w:hAnsi="Times New Roman" w:cs="Times New Roman" w:eastAsia="Times New Roman" w:hint="default"/>
          <w:b/>
          <w:bCs/>
        </w:rPr>
        <w:t>4</w:t>
      </w:r>
      <w:r>
        <w:rPr>
          <w:rFonts w:ascii="宋体" w:hAnsi="宋体" w:cs="宋体" w:eastAsia="宋体" w:hint="default"/>
          <w:b/>
          <w:bCs/>
        </w:rPr>
        <w:t>、关于董事与董事会</w:t>
      </w:r>
      <w:r>
        <w:rPr>
          <w:rFonts w:ascii="宋体" w:hAnsi="宋体" w:cs="宋体" w:eastAsia="宋体" w:hint="default"/>
          <w:b/>
          <w:bCs/>
          <w:spacing w:val="1"/>
          <w:w w:val="99"/>
        </w:rPr>
        <w:t> </w:t>
      </w:r>
      <w:r>
        <w:rPr>
          <w:spacing w:val="-2"/>
        </w:rPr>
        <w:t>公司董事能够依据《中小企业板块上市公司董事行为指引》、《董事会议事规则》开展工作，认真出席相关会议，积极</w:t>
      </w:r>
    </w:p>
    <w:p>
      <w:pPr>
        <w:pStyle w:val="BodyText"/>
        <w:spacing w:line="300" w:lineRule="auto" w:before="31"/>
        <w:ind w:right="1129"/>
        <w:jc w:val="both"/>
      </w:pPr>
      <w:r>
        <w:rPr>
          <w:spacing w:val="-2"/>
        </w:rPr>
        <w:t>参加培训，熟悉有关法律法规。公司严格按照《公司章程》规定的选聘程序选举董事，公司目前有董事</w:t>
      </w:r>
      <w:r>
        <w:rPr>
          <w:rFonts w:ascii="Times New Roman" w:hAnsi="Times New Roman" w:cs="Times New Roman" w:eastAsia="Times New Roman" w:hint="default"/>
          <w:spacing w:val="-2"/>
        </w:rPr>
        <w:t>10</w:t>
      </w:r>
      <w:r>
        <w:rPr>
          <w:spacing w:val="-2"/>
        </w:rPr>
        <w:t>名，其中独立董事</w:t>
      </w:r>
      <w:r>
        <w:rPr>
          <w:spacing w:val="-66"/>
        </w:rPr>
        <w:t> </w:t>
      </w:r>
      <w:r>
        <w:rPr>
          <w:spacing w:val="-66"/>
        </w:rPr>
      </w:r>
      <w:r>
        <w:rPr>
          <w:rFonts w:ascii="Times New Roman" w:hAnsi="Times New Roman" w:cs="Times New Roman" w:eastAsia="Times New Roman" w:hint="default"/>
        </w:rPr>
        <w:t>4</w:t>
      </w:r>
      <w:r>
        <w:rPr/>
        <w:t>名，董事会的人员构成符合法律法规和《公司章程》的要求。独立董事按照《独立董事工作细则》等制度规定独立履行职 责，出席公司董事会、股东大会，对公司重大事项发表独立意见，保证了公司的规范运作。</w:t>
      </w:r>
    </w:p>
    <w:p>
      <w:pPr>
        <w:pStyle w:val="BodyText"/>
        <w:spacing w:line="300" w:lineRule="auto" w:before="31"/>
        <w:ind w:left="514" w:right="0" w:firstLine="1"/>
        <w:jc w:val="left"/>
      </w:pPr>
      <w:r>
        <w:rPr>
          <w:rFonts w:ascii="Times New Roman" w:hAnsi="Times New Roman" w:cs="Times New Roman" w:eastAsia="Times New Roman" w:hint="default"/>
          <w:b/>
          <w:bCs/>
        </w:rPr>
        <w:t>5</w:t>
      </w:r>
      <w:r>
        <w:rPr>
          <w:rFonts w:ascii="宋体" w:hAnsi="宋体" w:cs="宋体" w:eastAsia="宋体" w:hint="default"/>
          <w:b/>
          <w:bCs/>
        </w:rPr>
        <w:t>、监事和监事会</w:t>
      </w:r>
      <w:r>
        <w:rPr>
          <w:rFonts w:ascii="宋体" w:hAnsi="宋体" w:cs="宋体" w:eastAsia="宋体" w:hint="default"/>
          <w:b/>
          <w:bCs/>
          <w:w w:val="99"/>
        </w:rPr>
        <w:t> </w:t>
      </w:r>
      <w:r>
        <w:rPr>
          <w:spacing w:val="-2"/>
        </w:rPr>
        <w:t>公司监事会严格按照《公司法》、《公司章程》和《监事会议事规则》的有关规定开展工作，监事的推荐、选举和产生</w:t>
      </w:r>
    </w:p>
    <w:p>
      <w:pPr>
        <w:pStyle w:val="BodyText"/>
        <w:spacing w:line="316" w:lineRule="auto" w:before="31"/>
        <w:ind w:left="154" w:right="1130"/>
        <w:jc w:val="both"/>
      </w:pPr>
      <w:r>
        <w:rPr>
          <w:spacing w:val="-2"/>
        </w:rPr>
        <w:t>程序符合相关法律、法规要求。公司监事认真履行职责，对公司财务状况、重大事项的合法、合规性进行监督，维护公司及</w:t>
      </w:r>
      <w:r>
        <w:rPr>
          <w:spacing w:val="-68"/>
        </w:rPr>
        <w:t> </w:t>
      </w:r>
      <w:r>
        <w:rPr>
          <w:spacing w:val="-68"/>
        </w:rPr>
      </w:r>
      <w:r>
        <w:rPr/>
        <w:t>股东的合法权益。</w:t>
      </w:r>
    </w:p>
    <w:p>
      <w:pPr>
        <w:pStyle w:val="BodyText"/>
        <w:spacing w:line="300" w:lineRule="auto" w:before="19"/>
        <w:ind w:left="513" w:right="1033" w:firstLine="1"/>
        <w:jc w:val="left"/>
      </w:pPr>
      <w:r>
        <w:rPr>
          <w:rFonts w:ascii="Times New Roman" w:hAnsi="Times New Roman" w:cs="Times New Roman" w:eastAsia="Times New Roman" w:hint="default"/>
          <w:b/>
          <w:bCs/>
        </w:rPr>
        <w:t>6</w:t>
      </w:r>
      <w:r>
        <w:rPr>
          <w:rFonts w:ascii="宋体" w:hAnsi="宋体" w:cs="宋体" w:eastAsia="宋体" w:hint="default"/>
          <w:b/>
          <w:bCs/>
        </w:rPr>
        <w:t>、关于信息披露与透明度</w:t>
      </w:r>
      <w:r>
        <w:rPr>
          <w:rFonts w:ascii="宋体" w:hAnsi="宋体" w:cs="宋体" w:eastAsia="宋体" w:hint="default"/>
          <w:b/>
          <w:bCs/>
          <w:w w:val="99"/>
        </w:rPr>
        <w:t> </w:t>
      </w:r>
      <w:r>
        <w:rPr/>
        <w:t>公司根据《信息披露事务管理办法》和《投资者关系管理制度》，认真履行信息披露义务。公司指定《中国证券报》、</w:t>
      </w:r>
    </w:p>
    <w:p>
      <w:pPr>
        <w:pStyle w:val="BodyText"/>
        <w:spacing w:line="309" w:lineRule="auto" w:before="31"/>
        <w:ind w:right="0"/>
        <w:jc w:val="left"/>
      </w:pPr>
      <w:r>
        <w:rPr/>
        <w:t>《证券日报》、《证券时报》以及巨潮资讯网（</w:t>
      </w:r>
      <w:hyperlink r:id="rId16">
        <w:r>
          <w:rPr>
            <w:rFonts w:ascii="Times New Roman" w:hAnsi="Times New Roman" w:cs="Times New Roman" w:eastAsia="Times New Roman" w:hint="default"/>
          </w:rPr>
          <w:t>www.cninfo.com.cn</w:t>
        </w:r>
      </w:hyperlink>
      <w:r>
        <w:rPr/>
        <w:t>）作为公司信息披露的报纸和网站。保证公司信息披露</w:t>
      </w:r>
      <w:r>
        <w:rPr>
          <w:w w:val="99"/>
        </w:rPr>
        <w:t> </w:t>
      </w:r>
      <w:r>
        <w:rPr>
          <w:spacing w:val="-2"/>
        </w:rPr>
        <w:t>的真实、准确、完整、及时，并确保所有股东有平等的机会获得信息。本公司指定董事会秘书负责信息披露工作，证券事务</w:t>
      </w:r>
      <w:r>
        <w:rPr>
          <w:spacing w:val="-67"/>
        </w:rPr>
        <w:t> </w:t>
      </w:r>
      <w:r>
        <w:rPr>
          <w:spacing w:val="-67"/>
        </w:rPr>
      </w:r>
      <w:r>
        <w:rPr/>
        <w:t>代表协助董事会秘书开展工作。</w:t>
      </w:r>
    </w:p>
    <w:p>
      <w:pPr>
        <w:pStyle w:val="BodyText"/>
        <w:spacing w:line="300" w:lineRule="auto" w:before="24"/>
        <w:ind w:left="514" w:right="0" w:firstLine="1"/>
        <w:jc w:val="left"/>
      </w:pPr>
      <w:r>
        <w:rPr>
          <w:rFonts w:ascii="Times New Roman" w:hAnsi="Times New Roman" w:cs="Times New Roman" w:eastAsia="Times New Roman" w:hint="default"/>
          <w:b/>
          <w:bCs/>
        </w:rPr>
        <w:t>7</w:t>
      </w:r>
      <w:r>
        <w:rPr>
          <w:rFonts w:ascii="宋体" w:hAnsi="宋体" w:cs="宋体" w:eastAsia="宋体" w:hint="default"/>
          <w:b/>
          <w:bCs/>
        </w:rPr>
        <w:t>、关于相关利益者</w:t>
      </w:r>
      <w:r>
        <w:rPr>
          <w:rFonts w:ascii="宋体" w:hAnsi="宋体" w:cs="宋体" w:eastAsia="宋体" w:hint="default"/>
          <w:b/>
          <w:bCs/>
          <w:w w:val="99"/>
        </w:rPr>
        <w:t> </w:t>
      </w:r>
      <w:r>
        <w:rPr>
          <w:spacing w:val="-2"/>
        </w:rPr>
        <w:t>本公司能够充分尊重和维护相关利益者的合法权益，积极与相关利益者合作，加强与各方的沟通和交流，实现股东、员</w:t>
      </w:r>
    </w:p>
    <w:p>
      <w:pPr>
        <w:pStyle w:val="BodyText"/>
        <w:spacing w:line="240" w:lineRule="auto" w:before="32"/>
        <w:ind w:left="154" w:right="0"/>
        <w:jc w:val="both"/>
      </w:pPr>
      <w:r>
        <w:rPr/>
        <w:t>工、社会等各方利益的协调平衡，共同推动公司持续、健康的发展。</w:t>
      </w:r>
    </w:p>
    <w:p>
      <w:pPr>
        <w:spacing w:line="300" w:lineRule="auto" w:before="76"/>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公司建立了完善的绩效评价、激励与约束机制，公司高级管理人员均由董事会聘任，董事会薪酬与考核委员会负责对公</w:t>
      </w:r>
    </w:p>
    <w:p>
      <w:pPr>
        <w:pStyle w:val="BodyText"/>
        <w:spacing w:line="240" w:lineRule="auto" w:before="31"/>
        <w:ind w:right="0"/>
        <w:jc w:val="both"/>
      </w:pPr>
      <w:r>
        <w:rPr/>
        <w:t>司高级管理人员的工作能力、履行情况、责任目标完成情况进行严格考评。同时，公司通过员工持股计划的实施，进一步调</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4"/>
        </w:rPr>
        <w:t>动管理者和核心员工的工作积极性，对吸引和保留优秀管理人才和核心员工起到积极的促进作用。通过激励机制的不断完善，</w:t>
      </w:r>
      <w:r>
        <w:rPr>
          <w:spacing w:val="-44"/>
        </w:rPr>
        <w:t> </w:t>
      </w:r>
      <w:r>
        <w:rPr>
          <w:spacing w:val="-44"/>
        </w:rPr>
      </w:r>
      <w:r>
        <w:rPr/>
        <w:t>有效的促进了公司持续健康发展、完善了公司法人治理结构。</w:t>
      </w:r>
    </w:p>
    <w:p>
      <w:pPr>
        <w:spacing w:line="300" w:lineRule="auto" w:before="19"/>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、内部审计制度的建立和执行情况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公司建立了《内部审计制度》，对内审工作作出明确的规定和要求。公司内部审计部门直接对董事会负责，在审计委员</w:t>
      </w:r>
    </w:p>
    <w:p>
      <w:pPr>
        <w:pStyle w:val="BodyText"/>
        <w:spacing w:line="316" w:lineRule="auto" w:before="32"/>
        <w:ind w:right="0"/>
        <w:jc w:val="left"/>
      </w:pPr>
      <w:r>
        <w:rPr>
          <w:spacing w:val="-4"/>
        </w:rPr>
        <w:t>会的指导下，独立行使审计职权，不受其他部门和个人的干涉。内部审计部门对公司及下属子公司所有经营管理、财务状况、</w:t>
      </w:r>
      <w:r>
        <w:rPr>
          <w:spacing w:val="-46"/>
        </w:rPr>
        <w:t> </w:t>
      </w:r>
      <w:r>
        <w:rPr>
          <w:spacing w:val="-46"/>
        </w:rPr>
      </w:r>
      <w:r>
        <w:rPr>
          <w:spacing w:val="-2"/>
        </w:rPr>
        <w:t>内控执行等情况进行内部审计，对其经济效益的真实性、合理性、合法性做出合理评价，提升内部控制管理的有效性，进一</w:t>
      </w:r>
      <w:r>
        <w:rPr>
          <w:spacing w:val="-66"/>
        </w:rPr>
        <w:t> </w:t>
      </w:r>
      <w:r>
        <w:rPr>
          <w:spacing w:val="-66"/>
        </w:rPr>
      </w:r>
      <w:r>
        <w:rPr/>
        <w:t>步防范经营风险和财务风险。</w:t>
      </w:r>
    </w:p>
    <w:p>
      <w:pPr>
        <w:pStyle w:val="BodyText"/>
        <w:spacing w:line="240" w:lineRule="auto" w:before="59"/>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公司与控股股东在业务、人员、资产、机构、财务等方面完全分开，具有独立完整的业务及自主经营能力。</w:t>
      </w:r>
    </w:p>
    <w:p>
      <w:pPr>
        <w:pStyle w:val="BodyText"/>
        <w:spacing w:line="309" w:lineRule="auto" w:before="76"/>
        <w:ind w:right="1033" w:firstLine="360"/>
        <w:jc w:val="left"/>
      </w:pPr>
      <w:r>
        <w:rPr>
          <w:rFonts w:ascii="Times New Roman" w:hAnsi="Times New Roman" w:cs="Times New Roman" w:eastAsia="Times New Roman" w:hint="default"/>
          <w:spacing w:val="-2"/>
        </w:rPr>
        <w:t>1</w:t>
      </w:r>
      <w:r>
        <w:rPr>
          <w:spacing w:val="-2"/>
        </w:rPr>
        <w:t>、业务独立情况公司主要从事行业应用软件开发、计算机信息系统集成及相关服务业务，拥有独立的采购和销售系统，</w:t>
      </w:r>
      <w:r>
        <w:rPr/>
        <w:t> 独立的进行原材料和产品的采购和销售，并建立了符合现代企业制度要求和公司实际情况的法人治理结构和内部组织结构， </w:t>
      </w:r>
      <w:r>
        <w:rPr>
          <w:spacing w:val="-2"/>
        </w:rPr>
        <w:t>在生产经营及管理上独立运作。本公司的实际控制人薛向东及其家族成员以及所控制的诚信电脑、诚信投资、合创电商分别</w:t>
      </w:r>
      <w:r>
        <w:rPr>
          <w:spacing w:val="-66"/>
        </w:rPr>
        <w:t> </w:t>
      </w:r>
      <w:r>
        <w:rPr>
          <w:spacing w:val="-66"/>
        </w:rPr>
      </w:r>
      <w:r>
        <w:rPr/>
        <w:t>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日向本公司出具了《不竞争承诺函》以及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日签订的《避免同业竞争承诺》，本公司与任何股东 及其他关联方之间不存在同业竞争。</w:t>
      </w:r>
    </w:p>
    <w:p>
      <w:pPr>
        <w:pStyle w:val="BodyText"/>
        <w:spacing w:line="314" w:lineRule="auto" w:before="24"/>
        <w:ind w:left="154" w:right="1131" w:firstLine="360"/>
        <w:jc w:val="both"/>
      </w:pPr>
      <w:r>
        <w:rPr>
          <w:rFonts w:ascii="Times New Roman" w:hAnsi="Times New Roman" w:cs="Times New Roman" w:eastAsia="Times New Roman" w:hint="default"/>
        </w:rPr>
        <w:t>2</w:t>
      </w:r>
      <w:r>
        <w:rPr/>
        <w:t>、人员独立情况公司逐步建立健全法人治理结构，董事、监事及高级管理人员均严格按照《公司法》、《公司章程》 </w:t>
      </w:r>
      <w:r>
        <w:rPr>
          <w:spacing w:val="-2"/>
        </w:rPr>
        <w:t>规定的条件和程序产生。目前，除董事长薛向东担任控股股东诚信电脑的董事外，公司其余董事、监事均未在公司股东单位</w:t>
      </w:r>
      <w:r>
        <w:rPr>
          <w:spacing w:val="-66"/>
        </w:rPr>
        <w:t> </w:t>
      </w:r>
      <w:r>
        <w:rPr>
          <w:spacing w:val="-66"/>
        </w:rPr>
      </w:r>
      <w:r>
        <w:rPr>
          <w:spacing w:val="-2"/>
        </w:rPr>
        <w:t>任职。公司总经理、副总经理、财务负责人和董事会秘书等高级管理人员专职在公司工作并领取薪酬，其中公司副总经理王</w:t>
      </w:r>
      <w:r>
        <w:rPr>
          <w:spacing w:val="-66"/>
        </w:rPr>
        <w:t> </w:t>
      </w:r>
      <w:r>
        <w:rPr>
          <w:spacing w:val="-66"/>
        </w:rPr>
      </w:r>
      <w:r>
        <w:rPr>
          <w:spacing w:val="-2"/>
        </w:rPr>
        <w:t>佺在控股子公司北京神州新桥科技有限公司担任副总经理，并在控股子公司领取工资。其余公司高级管理人员未在公司股东</w:t>
      </w:r>
      <w:r>
        <w:rPr>
          <w:spacing w:val="-64"/>
        </w:rPr>
        <w:t> </w:t>
      </w:r>
      <w:r>
        <w:rPr>
          <w:spacing w:val="-64"/>
        </w:rPr>
      </w:r>
      <w:r>
        <w:rPr/>
        <w:t>单位任职，也未在与公司业务相同或相似、或存在其他利益冲突的企业任职。</w:t>
      </w:r>
    </w:p>
    <w:p>
      <w:pPr>
        <w:pStyle w:val="BodyText"/>
        <w:spacing w:line="309" w:lineRule="auto" w:before="20"/>
        <w:ind w:left="154" w:right="1043" w:firstLine="360"/>
        <w:jc w:val="both"/>
      </w:pPr>
      <w:r>
        <w:rPr>
          <w:rFonts w:ascii="Times New Roman" w:hAnsi="Times New Roman" w:cs="Times New Roman" w:eastAsia="Times New Roman" w:hint="default"/>
          <w:spacing w:val="-2"/>
        </w:rPr>
        <w:t>3</w:t>
      </w:r>
      <w:r>
        <w:rPr>
          <w:spacing w:val="-2"/>
        </w:rPr>
        <w:t>、资产独立情况公司拥有独立的生产经营场所，对全部资产拥有完全的控制支配权，拥有独立的经营系统和配套设施、</w:t>
      </w:r>
      <w:r>
        <w:rPr/>
        <w:t> </w:t>
      </w:r>
      <w:r>
        <w:rPr>
          <w:spacing w:val="-4"/>
        </w:rPr>
        <w:t>专有技术、计算机软件著作权等资产。公司和控股股东产权关系明确，公司资产完整并由公司实际控制和使用，不存在资产、</w:t>
      </w:r>
      <w:r>
        <w:rPr>
          <w:spacing w:val="-46"/>
        </w:rPr>
        <w:t> </w:t>
      </w:r>
      <w:r>
        <w:rPr>
          <w:spacing w:val="-46"/>
        </w:rPr>
      </w:r>
      <w:r>
        <w:rPr/>
        <w:t>资金被控股股东、实际控制人及其控制的企业违规占用而损害公司利益的情况。</w:t>
      </w:r>
    </w:p>
    <w:p>
      <w:pPr>
        <w:pStyle w:val="BodyText"/>
        <w:spacing w:line="300" w:lineRule="auto" w:before="24"/>
        <w:ind w:left="154" w:right="1140" w:firstLine="360"/>
        <w:jc w:val="both"/>
      </w:pPr>
      <w:r>
        <w:rPr>
          <w:rFonts w:ascii="Times New Roman" w:hAnsi="Times New Roman" w:cs="Times New Roman" w:eastAsia="Times New Roman" w:hint="default"/>
        </w:rPr>
        <w:t>4</w:t>
      </w:r>
      <w:r>
        <w:rPr/>
        <w:t>、机构独立情况公司根据《公司法》、《证券法》及《公司章程》的相关规定，设立了健全的组织结构体系，独立运 作，不存在与控股股东或其职能部门之间的从属关系。</w:t>
      </w:r>
    </w:p>
    <w:p>
      <w:pPr>
        <w:pStyle w:val="BodyText"/>
        <w:spacing w:line="312" w:lineRule="auto" w:before="31"/>
        <w:ind w:left="154" w:right="1130" w:firstLine="360"/>
        <w:jc w:val="both"/>
      </w:pPr>
      <w:r>
        <w:rPr>
          <w:rFonts w:ascii="Times New Roman" w:hAnsi="Times New Roman" w:cs="Times New Roman" w:eastAsia="Times New Roman" w:hint="default"/>
        </w:rPr>
        <w:t>5</w:t>
      </w:r>
      <w:r>
        <w:rPr/>
        <w:t>、财务独立情况公司已依照相关法律、法规成立了独立的财务部门，建立了独立的会计核算体系和财务管理制度，并 </w:t>
      </w:r>
      <w:r>
        <w:rPr>
          <w:spacing w:val="-2"/>
        </w:rPr>
        <w:t>实施严格的内部审计制度，不存在本公司股东或其他关联方干预本公司资金使用的情况；公司拥有独立的银行账户，独立进</w:t>
      </w:r>
      <w:r>
        <w:rPr>
          <w:spacing w:val="-66"/>
        </w:rPr>
        <w:t> </w:t>
      </w:r>
      <w:r>
        <w:rPr>
          <w:spacing w:val="-66"/>
        </w:rPr>
      </w:r>
      <w:r>
        <w:rPr>
          <w:spacing w:val="-2"/>
        </w:rPr>
        <w:t>行纳税申报并履行纳税义务，本公司股东及其他关联方未以任何形式占用公司资金、资产和其他资源。截止目前，本公司没</w:t>
      </w:r>
      <w:r>
        <w:rPr>
          <w:spacing w:val="-65"/>
        </w:rPr>
        <w:t> </w:t>
      </w:r>
      <w:r>
        <w:rPr>
          <w:spacing w:val="-65"/>
        </w:rPr>
      </w:r>
      <w:r>
        <w:rPr/>
        <w:t>有以资产、权益或信誉为股东、股东的控股子公司或附属企业、个人提供担保的行为。</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1559"/>
        <w:gridCol w:w="1559"/>
        <w:gridCol w:w="1560"/>
        <w:gridCol w:w="2336"/>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4"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240" w:lineRule="auto" w:before="44"/>
        <w:ind w:left="0" w:right="1142"/>
        <w:jc w:val="right"/>
      </w:pPr>
      <w:r>
        <w:rPr/>
        <w:pict>
          <v:shape style="position:absolute;margin-left:56.459999pt;margin-top:-177.02829pt;width:479.1pt;height:392.9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277"/>
                    <w:gridCol w:w="1559"/>
                    <w:gridCol w:w="1559"/>
                    <w:gridCol w:w="1560"/>
                    <w:gridCol w:w="2336"/>
                  </w:tblGrid>
                  <w:tr>
                    <w:trPr>
                      <w:trHeight w:val="19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 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41.79%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pacing w:val="-18"/>
                            <w:sz w:val="18"/>
                            <w:szCs w:val="18"/>
                          </w:rPr>
                          <w:t>刊登在《中国证券报》、《证券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8"/>
                            <w:sz w:val="18"/>
                            <w:szCs w:val="18"/>
                          </w:rPr>
                          <w:t>日报》、《证券时报》及巨潮资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w:t>
                        </w: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上 的《东华软件股份公司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年年度股东大会决议公告》</w:t>
                        </w:r>
                      </w:p>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2017-039</w:t>
                        </w:r>
                        <w:r>
                          <w:rPr>
                            <w:rFonts w:ascii="宋体" w:hAnsi="宋体" w:cs="宋体" w:eastAsia="宋体" w:hint="default"/>
                            <w:sz w:val="18"/>
                            <w:szCs w:val="18"/>
                          </w:rPr>
                          <w:t>）</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41.98%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刊登在《中国证券报》、《证券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8"/>
                            <w:sz w:val="18"/>
                            <w:szCs w:val="18"/>
                          </w:rPr>
                          <w:t>日报》、《证券时报》及巨潮资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w:t>
                        </w: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上 的《东华软件股份公司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年第一次临时股东大会决议 </w:t>
                        </w:r>
                        <w:r>
                          <w:rPr>
                            <w:rFonts w:ascii="宋体" w:hAnsi="宋体" w:cs="宋体" w:eastAsia="宋体" w:hint="default"/>
                            <w:spacing w:val="-8"/>
                            <w:sz w:val="18"/>
                            <w:szCs w:val="18"/>
                          </w:rPr>
                          <w:t>公告》（公告编号：</w:t>
                        </w:r>
                        <w:r>
                          <w:rPr>
                            <w:rFonts w:ascii="Times New Roman" w:hAnsi="Times New Roman" w:cs="Times New Roman" w:eastAsia="Times New Roman" w:hint="default"/>
                            <w:spacing w:val="-8"/>
                            <w:sz w:val="18"/>
                            <w:szCs w:val="18"/>
                          </w:rPr>
                          <w:t>2017-011</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41.88%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刊登在《中国证券报》、《证券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8"/>
                            <w:sz w:val="18"/>
                            <w:szCs w:val="18"/>
                          </w:rPr>
                          <w:t>日报》、《证券时报》及巨潮资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w:t>
                        </w: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上 的《东华软件股份公司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年第二次临时股东大会决议 </w:t>
                        </w:r>
                        <w:r>
                          <w:rPr>
                            <w:rFonts w:ascii="宋体" w:hAnsi="宋体" w:cs="宋体" w:eastAsia="宋体" w:hint="default"/>
                            <w:spacing w:val="-8"/>
                            <w:sz w:val="18"/>
                            <w:szCs w:val="18"/>
                          </w:rPr>
                          <w:t>公告》（公告编号：</w:t>
                        </w:r>
                        <w:r>
                          <w:rPr>
                            <w:rFonts w:ascii="Times New Roman" w:hAnsi="Times New Roman" w:cs="Times New Roman" w:eastAsia="Times New Roman" w:hint="default"/>
                            <w:spacing w:val="-8"/>
                            <w:sz w:val="18"/>
                            <w:szCs w:val="18"/>
                          </w:rPr>
                          <w:t>2017-069</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41.78%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刊登在《中国证券报》、《证券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8"/>
                            <w:sz w:val="18"/>
                            <w:szCs w:val="18"/>
                          </w:rPr>
                          <w:t>日报》、《证券时报》及巨潮资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w:t>
                        </w: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上 的《东华软件股份公司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年第三次临时股东大会决议 </w:t>
                        </w:r>
                        <w:r>
                          <w:rPr>
                            <w:rFonts w:ascii="宋体" w:hAnsi="宋体" w:cs="宋体" w:eastAsia="宋体" w:hint="default"/>
                            <w:spacing w:val="-8"/>
                            <w:sz w:val="18"/>
                            <w:szCs w:val="18"/>
                          </w:rPr>
                          <w:t>公告》（公告编号：</w:t>
                        </w:r>
                        <w:r>
                          <w:rPr>
                            <w:rFonts w:ascii="Times New Roman" w:hAnsi="Times New Roman" w:cs="Times New Roman" w:eastAsia="Times New Roman" w:hint="default"/>
                            <w:spacing w:val="-8"/>
                            <w:sz w:val="18"/>
                            <w:szCs w:val="18"/>
                          </w:rPr>
                          <w:t>2017-087</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0" w:right="1141"/>
        <w:jc w:val="right"/>
      </w:pPr>
      <w:r>
        <w:rPr/>
        <w:t>）</w:t>
      </w:r>
    </w:p>
    <w:p>
      <w:pPr>
        <w:spacing w:line="240" w:lineRule="auto" w:before="12"/>
        <w:rPr>
          <w:rFonts w:ascii="宋体" w:hAnsi="宋体" w:cs="宋体" w:eastAsia="宋体" w:hint="default"/>
          <w:sz w:val="27"/>
          <w:szCs w:val="27"/>
        </w:rPr>
      </w:pPr>
    </w:p>
    <w:p>
      <w:pPr>
        <w:pStyle w:val="Heading3"/>
        <w:spacing w:line="240" w:lineRule="auto" w:before="35"/>
        <w:ind w:left="154"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范玉顺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林中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栾大龙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29" w:firstLine="360"/>
        <w:jc w:val="both"/>
      </w:pPr>
      <w:r>
        <w:rPr>
          <w:spacing w:val="-2"/>
        </w:rPr>
        <w:t>报告期内，公司独立董事勤勉尽责、有效地履行独立董事职务，对公司进行了多次实地现场考察，详细了解公司日常经</w:t>
      </w:r>
      <w:r>
        <w:rPr/>
        <w:t> </w:t>
      </w:r>
      <w:r>
        <w:rPr>
          <w:spacing w:val="-2"/>
        </w:rPr>
        <w:t>营和公司财务状况。报告期内，公司四名独立董事全部出席公司历次董事会，并在会议中提出对公司发展的建议与意见。在</w:t>
      </w:r>
      <w:r>
        <w:rPr>
          <w:spacing w:val="-66"/>
        </w:rPr>
        <w:t> </w:t>
      </w:r>
      <w:r>
        <w:rPr>
          <w:spacing w:val="-66"/>
        </w:rPr>
      </w:r>
      <w:r>
        <w:rPr>
          <w:spacing w:val="-2"/>
        </w:rPr>
        <w:t>公司定期报告前后，独立董事与公司董事、高级管理人员、内审部门及会计师进行沟通，对公司内部控制、公司治理、经营</w:t>
      </w:r>
      <w:r>
        <w:rPr>
          <w:spacing w:val="-68"/>
        </w:rPr>
        <w:t> </w:t>
      </w:r>
      <w:r>
        <w:rPr>
          <w:spacing w:val="-68"/>
        </w:rPr>
      </w:r>
      <w:r>
        <w:rPr>
          <w:spacing w:val="-2"/>
        </w:rPr>
        <w:t>策略、发展方向、公司战略等诸多方面提出指导性意见；同时，及时获悉公司各大重大事项的进展情况，并对公司重大事项</w:t>
      </w:r>
      <w:r>
        <w:rPr>
          <w:spacing w:val="-66"/>
        </w:rPr>
        <w:t> </w:t>
      </w:r>
      <w:r>
        <w:rPr>
          <w:spacing w:val="-66"/>
        </w:rPr>
      </w:r>
      <w:r>
        <w:rPr/>
        <w:t>发表独立意见，为公司董事会各项议案的审议表决提供了有力的支持，保护了公司和广大投资者的利益。</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00" w:lineRule="auto" w:before="0"/>
        <w:ind w:left="513" w:right="1123" w:firstLine="7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、审计委员会的履行职责情况</w:t>
      </w:r>
      <w:r>
        <w:rPr>
          <w:rFonts w:ascii="宋体" w:hAnsi="宋体" w:cs="宋体" w:eastAsia="宋体" w:hint="default"/>
          <w:b/>
          <w:bCs/>
          <w:w w:val="99"/>
          <w:sz w:val="18"/>
          <w:szCs w:val="18"/>
        </w:rPr>
        <w:t> </w:t>
      </w:r>
      <w:r>
        <w:rPr>
          <w:rFonts w:ascii="宋体" w:hAnsi="宋体" w:cs="宋体" w:eastAsia="宋体" w:hint="default"/>
          <w:sz w:val="18"/>
          <w:szCs w:val="18"/>
        </w:rPr>
        <w:t>报告期内，公司董事会审计委员会认真履行职责，共召开</w:t>
      </w:r>
      <w:r>
        <w:rPr>
          <w:rFonts w:ascii="Times New Roman" w:hAnsi="Times New Roman" w:cs="Times New Roman" w:eastAsia="Times New Roman" w:hint="default"/>
          <w:sz w:val="18"/>
          <w:szCs w:val="18"/>
        </w:rPr>
        <w:t>5</w:t>
      </w:r>
      <w:r>
        <w:rPr>
          <w:rFonts w:ascii="宋体" w:hAnsi="宋体" w:cs="宋体" w:eastAsia="宋体" w:hint="default"/>
          <w:sz w:val="18"/>
          <w:szCs w:val="18"/>
        </w:rPr>
        <w:t>次审计委员会工作会议，听取了审计公司年度工作总结和工</w:t>
      </w:r>
    </w:p>
    <w:p>
      <w:pPr>
        <w:pStyle w:val="BodyText"/>
        <w:spacing w:line="319" w:lineRule="auto" w:before="13"/>
        <w:ind w:left="154" w:right="1130"/>
        <w:jc w:val="both"/>
      </w:pPr>
      <w:r>
        <w:rPr>
          <w:spacing w:val="-2"/>
        </w:rPr>
        <w:t>作计划安排，与公司内部审计部门积极沟通配合，指导审计部门开展各项相关工作；提议续聘外部审计机构；积极监督公司</w:t>
      </w:r>
      <w:r>
        <w:rPr>
          <w:spacing w:val="-66"/>
        </w:rPr>
        <w:t> </w:t>
      </w:r>
      <w:r>
        <w:rPr>
          <w:spacing w:val="-66"/>
        </w:rPr>
      </w:r>
      <w:r>
        <w:rPr>
          <w:spacing w:val="-2"/>
        </w:rPr>
        <w:t>的内部审计制度及其实施情况，对公司的内控制度的健全和完善提出意见和建议；对公司定期财务报告等需要披露的重要财</w:t>
      </w:r>
      <w:r>
        <w:rPr>
          <w:spacing w:val="-64"/>
        </w:rPr>
        <w:t> </w:t>
      </w:r>
      <w:r>
        <w:rPr>
          <w:spacing w:val="-64"/>
        </w:rPr>
      </w:r>
      <w:r>
        <w:rPr/>
        <w:t>务信息进行严格审核，与审计会计师及时、有效沟通，并对重要事项进行充分讨论。</w:t>
      </w:r>
    </w:p>
    <w:p>
      <w:pPr>
        <w:spacing w:line="300" w:lineRule="auto" w:before="17"/>
        <w:ind w:left="513" w:right="0" w:firstLine="7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、提名委员会的履行职责情况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报告期内，公司董事会提名委员会认真履行职责，共召开</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次提名委员会工作会议，按照《董事会提名委员会工作细则》</w:t>
      </w:r>
    </w:p>
    <w:p>
      <w:pPr>
        <w:pStyle w:val="BodyText"/>
        <w:spacing w:line="240" w:lineRule="auto" w:before="13"/>
        <w:ind w:right="0"/>
        <w:jc w:val="left"/>
      </w:pPr>
      <w:r>
        <w:rPr/>
        <w:t>审查了第六届董事会候选人。</w:t>
      </w:r>
    </w:p>
    <w:p>
      <w:pPr>
        <w:spacing w:line="300" w:lineRule="auto" w:before="76"/>
        <w:ind w:left="513" w:right="0" w:firstLine="7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、薪酬与考核委员会的履行职责情况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报告期内，公司董事会薪酬与考核委员会认真履行职责，共召开</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次薪酬与开合委员会工作会议，出席了</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次薪酬与考核</w:t>
      </w:r>
    </w:p>
    <w:p>
      <w:pPr>
        <w:pStyle w:val="BodyText"/>
        <w:spacing w:line="309" w:lineRule="auto" w:before="13"/>
        <w:ind w:left="513" w:right="1033" w:hanging="360"/>
        <w:jc w:val="left"/>
      </w:pPr>
      <w:r>
        <w:rPr/>
        <w:t>委员会工作会议，年底依据公司《高级管理人员薪酬及考核制度》对公司高级管理人员进行考核，确认薪酬。 </w:t>
      </w:r>
      <w:r>
        <w:rPr>
          <w:rFonts w:ascii="Times New Roman" w:hAnsi="Times New Roman" w:cs="Times New Roman" w:eastAsia="Times New Roman" w:hint="default"/>
          <w:b/>
          <w:bCs/>
        </w:rPr>
        <w:t>4</w:t>
      </w:r>
      <w:r>
        <w:rPr>
          <w:rFonts w:ascii="宋体" w:hAnsi="宋体" w:cs="宋体" w:eastAsia="宋体" w:hint="default"/>
          <w:b/>
          <w:bCs/>
        </w:rPr>
        <w:t>、战略委员会的履行职责情况</w:t>
      </w:r>
      <w:r>
        <w:rPr>
          <w:rFonts w:ascii="宋体" w:hAnsi="宋体" w:cs="宋体" w:eastAsia="宋体" w:hint="default"/>
          <w:b/>
          <w:bCs/>
          <w:w w:val="99"/>
        </w:rPr>
        <w:t> </w:t>
      </w:r>
      <w:r>
        <w:rPr/>
        <w:t>报告期内，公司董事会战略委员会认真履行职责，共召开</w:t>
      </w:r>
      <w:r>
        <w:rPr>
          <w:rFonts w:ascii="Times New Roman" w:hAnsi="Times New Roman" w:cs="Times New Roman" w:eastAsia="Times New Roman" w:hint="default"/>
        </w:rPr>
        <w:t>12</w:t>
      </w:r>
      <w:r>
        <w:rPr/>
        <w:t>次战略委员会工作会议，出席了</w:t>
      </w:r>
      <w:r>
        <w:rPr>
          <w:rFonts w:ascii="Times New Roman" w:hAnsi="Times New Roman" w:cs="Times New Roman" w:eastAsia="Times New Roman" w:hint="default"/>
        </w:rPr>
        <w:t>12</w:t>
      </w:r>
      <w:r>
        <w:rPr/>
        <w:t>次战略委员会工作会议，</w:t>
      </w:r>
    </w:p>
    <w:p>
      <w:pPr>
        <w:pStyle w:val="BodyText"/>
        <w:spacing w:line="316" w:lineRule="auto" w:before="5"/>
        <w:ind w:right="1033"/>
        <w:jc w:val="left"/>
      </w:pPr>
      <w:r>
        <w:rPr>
          <w:spacing w:val="-2"/>
        </w:rPr>
        <w:t>对公司未来发展规划以及影响公司未来发展的重大事项进行了深入探讨研究并提出了建议；提议对外投资成立长银金融租赁</w:t>
      </w:r>
      <w:r>
        <w:rPr>
          <w:spacing w:val="-64"/>
        </w:rPr>
        <w:t> </w:t>
      </w:r>
      <w:r>
        <w:rPr>
          <w:spacing w:val="-64"/>
        </w:rPr>
      </w:r>
      <w:r>
        <w:rPr/>
        <w:t>股份有限公司，投资参股北京中能博泰科技有限公司的相关事项；提议对外投资分别在大同市、安阳市、廊坊市、铜仁市、 </w:t>
      </w:r>
      <w:r>
        <w:rPr>
          <w:spacing w:val="-2"/>
        </w:rPr>
        <w:t>三亚市、雄安新区、云南省滇中新区、重庆两江新区和桂林市设立全资子公司的相关事项；讨论公司对全资子公司增资、减</w:t>
      </w:r>
      <w:r>
        <w:rPr>
          <w:spacing w:val="-66"/>
        </w:rPr>
        <w:t> </w:t>
      </w:r>
      <w:r>
        <w:rPr>
          <w:spacing w:val="-66"/>
        </w:rPr>
      </w:r>
      <w:r>
        <w:rPr>
          <w:spacing w:val="-2"/>
        </w:rPr>
        <w:t>资的相关事项；讨论公司分别与河北省人民政府、廊坊市人民政府、乌鲁木齐市米东区人民政府、北京京东世纪贸易有限公</w:t>
      </w:r>
      <w:r>
        <w:rPr>
          <w:spacing w:val="-66"/>
        </w:rPr>
        <w:t> </w:t>
      </w:r>
      <w:r>
        <w:rPr>
          <w:spacing w:val="-66"/>
        </w:rPr>
      </w:r>
      <w:r>
        <w:rPr/>
        <w:t>司、深圳市腾讯计算机系统有限公司开展战略合作的相关事项。</w:t>
      </w:r>
    </w:p>
    <w:p>
      <w:pPr>
        <w:spacing w:line="240" w:lineRule="auto" w:before="10"/>
        <w:rPr>
          <w:rFonts w:ascii="宋体" w:hAnsi="宋体" w:cs="宋体" w:eastAsia="宋体" w:hint="default"/>
          <w:sz w:val="20"/>
          <w:szCs w:val="20"/>
        </w:rPr>
      </w:pPr>
    </w:p>
    <w:p>
      <w:pPr>
        <w:pStyle w:val="Heading2"/>
        <w:spacing w:line="240" w:lineRule="auto"/>
        <w:ind w:left="154"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2" w:firstLine="360"/>
        <w:jc w:val="both"/>
      </w:pPr>
      <w:r>
        <w:rPr>
          <w:spacing w:val="-2"/>
        </w:rPr>
        <w:t>根据公司《高级管理人员薪酬及考核制度》等相关制度的规定，公司高管人员的薪酬分配与考核以公司经济效益为出发</w:t>
      </w:r>
      <w:r>
        <w:rPr/>
        <w:t> </w:t>
      </w:r>
      <w:r>
        <w:rPr>
          <w:spacing w:val="-2"/>
        </w:rPr>
        <w:t>点，主要由基本薪酬、绩效薪酬和奖励三部分组成，根据考核结果确定高管人员的年度薪酬分配。报告期内，公司进一步完</w:t>
      </w:r>
      <w:r>
        <w:rPr>
          <w:spacing w:val="-66"/>
        </w:rPr>
        <w:t> </w:t>
      </w:r>
      <w:r>
        <w:rPr>
          <w:spacing w:val="-66"/>
        </w:rPr>
      </w:r>
      <w:r>
        <w:rPr/>
        <w:t>善高级管理人员的绩效评价体系和激励机制，于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披露了《关于筹划员工持股计划的提示性公告》，在报告期内 </w:t>
      </w:r>
      <w:r>
        <w:rPr>
          <w:spacing w:val="-2"/>
        </w:rPr>
        <w:t>积极实施面向公司全体员工的员工持股计划。通过员工持股计划，公司将大幅度提高了员工对工作的积极性和对公司的归属</w:t>
      </w:r>
      <w:r>
        <w:rPr>
          <w:spacing w:val="-64"/>
        </w:rPr>
        <w:t> </w:t>
      </w:r>
      <w:r>
        <w:rPr>
          <w:spacing w:val="-64"/>
        </w:rPr>
      </w:r>
      <w:r>
        <w:rPr/>
        <w:t>感，有效地吸引优秀人才，为公司长期稳健发展奠定夯实基础。</w:t>
      </w:r>
    </w:p>
    <w:p>
      <w:pPr>
        <w:spacing w:line="240" w:lineRule="auto" w:before="12"/>
        <w:rPr>
          <w:rFonts w:ascii="宋体" w:hAnsi="宋体" w:cs="宋体" w:eastAsia="宋体" w:hint="default"/>
          <w:sz w:val="20"/>
          <w:szCs w:val="20"/>
        </w:rPr>
      </w:pPr>
    </w:p>
    <w:p>
      <w:pPr>
        <w:pStyle w:val="Heading2"/>
        <w:spacing w:line="240" w:lineRule="auto"/>
        <w:ind w:left="154" w:right="0"/>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2"/>
            <w:vMerge w:val="restart"/>
            <w:tcBorders>
              <w:top w:val="single" w:sz="4" w:space="0" w:color="000000"/>
              <w:left w:val="single" w:sz="9" w:space="0" w:color="D2D2D2"/>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详见刊登在巨潮资讯网（</w:t>
            </w:r>
            <w:hyperlink r:id="rId16">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）上的《东华软件股份公司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年度内部控制自我评价报告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vMerge/>
            <w:tcBorders>
              <w:left w:val="single" w:sz="9" w:space="0" w:color="D2D2D2"/>
              <w:right w:val="single" w:sz="4" w:space="0" w:color="000000"/>
            </w:tcBorders>
          </w:tcPr>
          <w:p>
            <w:pPr/>
          </w:p>
        </w:tc>
      </w:tr>
      <w:tr>
        <w:trPr>
          <w:trHeight w:val="161"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2"/>
            <w:vMerge/>
            <w:tcBorders>
              <w:left w:val="single" w:sz="9" w:space="0" w:color="D2D2D2"/>
              <w:bottom w:val="single" w:sz="4" w:space="0" w:color="000000"/>
              <w:right w:val="single" w:sz="4" w:space="0" w:color="000000"/>
            </w:tcBorders>
          </w:tcPr>
          <w:p>
            <w:pP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4"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2"/>
              <w:ind w:left="22" w:right="48"/>
              <w:jc w:val="both"/>
              <w:rPr>
                <w:rFonts w:ascii="宋体" w:hAnsi="宋体" w:cs="宋体" w:eastAsia="宋体" w:hint="default"/>
                <w:sz w:val="18"/>
                <w:szCs w:val="18"/>
              </w:rPr>
            </w:pPr>
            <w:r>
              <w:rPr>
                <w:rFonts w:ascii="宋体" w:hAnsi="宋体" w:cs="宋体" w:eastAsia="宋体" w:hint="default"/>
                <w:sz w:val="18"/>
                <w:szCs w:val="18"/>
              </w:rPr>
              <w:t>属于财务报告重大缺陷的情形：①公司董 事、监事及高级管理人员的舞弊行为；② 公司更正已发布的财务报告；③注册会计 师发现的却未被公司内部控制识别的当期 财务报告中的重大错报；④审计委员会和 审计内控部门对公司的对外财务报告和财 务报告内部控制监督无效。属于财务报告 重要缺陷的情形：①按照公认会计准则选 择和应用会计政策；②公司内控系统未建 立反舞弊程序和控制措施；③重要的业务 流程或系统存在缺陷；④当期财务报告出 现重要错报。属于财务报告一般缺陷的情 形：未构成重大缺陷、重要缺陷标准的其 他内部控制缺陷。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非财务报告重大缺陷的存在迹象包括：</w:t>
            </w:r>
          </w:p>
          <w:p>
            <w:pPr>
              <w:pStyle w:val="TableParagraph"/>
              <w:spacing w:line="319" w:lineRule="auto" w:before="75"/>
              <w:ind w:left="22" w:right="20"/>
              <w:jc w:val="left"/>
              <w:rPr>
                <w:rFonts w:ascii="宋体" w:hAnsi="宋体" w:cs="宋体" w:eastAsia="宋体" w:hint="default"/>
                <w:sz w:val="18"/>
                <w:szCs w:val="18"/>
              </w:rPr>
            </w:pPr>
            <w:r>
              <w:rPr>
                <w:rFonts w:ascii="宋体" w:hAnsi="宋体" w:cs="宋体" w:eastAsia="宋体" w:hint="default"/>
                <w:spacing w:val="-4"/>
                <w:sz w:val="18"/>
                <w:szCs w:val="18"/>
              </w:rPr>
              <w:t>①严重违反国家法律、法规，并造成重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大损失；②缺乏民主决策程序，决策程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序不科学或出现重大失误，给公司造成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重大财产损失；③重要业务制度性缺失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或制度运行系统性失效；④严重违规并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处以重罚或承担刑事责任。非财务报告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重要缺陷的存在迹象包括：①决策程序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存在缺陷，可能导致一般失误；②违反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企业内部规章，形成损失；③关键岗位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业务人员流失严重；④内部控制重要或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一般缺陷未得到整改；非财务报告一般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缺陷的存在迹象包括：除上述重大缺 陷、重要缺陷之外的其他缺陷。</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033"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298"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定量标准指标 重大缺陷 重要缺陷 一 般缺陷利润总额潜在错报</w:t>
            </w:r>
            <w:r>
              <w:rPr>
                <w:rFonts w:ascii="宋体" w:hAnsi="宋体" w:cs="宋体" w:eastAsia="宋体" w:hint="default"/>
                <w:spacing w:val="-1"/>
                <w:sz w:val="18"/>
                <w:szCs w:val="18"/>
              </w:rPr>
              <w:t> </w:t>
            </w:r>
            <w:r>
              <w:rPr>
                <w:rFonts w:ascii="宋体" w:hAnsi="宋体" w:cs="宋体" w:eastAsia="宋体" w:hint="default"/>
                <w:sz w:val="18"/>
                <w:szCs w:val="18"/>
              </w:rPr>
              <w:t>直接损失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利润 总额的 </w:t>
            </w:r>
            <w:r>
              <w:rPr>
                <w:rFonts w:ascii="Times New Roman" w:hAnsi="Times New Roman" w:cs="Times New Roman" w:eastAsia="Times New Roman" w:hint="default"/>
                <w:sz w:val="18"/>
                <w:szCs w:val="18"/>
              </w:rPr>
              <w:t>5% </w:t>
            </w:r>
            <w:r>
              <w:rPr>
                <w:rFonts w:ascii="宋体" w:hAnsi="宋体" w:cs="宋体" w:eastAsia="宋体" w:hint="default"/>
                <w:sz w:val="18"/>
                <w:szCs w:val="18"/>
              </w:rPr>
              <w:t>利润总额的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定量标准指标 重大缺陷 重要缺陷 一般缺陷利润总额潜在错报 直接损失</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 </w:t>
            </w:r>
            <w:r>
              <w:rPr>
                <w:rFonts w:ascii="宋体" w:hAnsi="宋体" w:cs="宋体" w:eastAsia="宋体" w:hint="default"/>
                <w:sz w:val="18"/>
                <w:szCs w:val="18"/>
              </w:rPr>
              <w:t>利润总额的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96"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161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 潜在错报 直接损失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 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14"/>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错报＜资产总额的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＜利润总额的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错报＜利润总额的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资产总额潜在错报</w:t>
            </w:r>
            <w:r>
              <w:rPr>
                <w:rFonts w:ascii="宋体" w:hAnsi="宋体" w:cs="宋体" w:eastAsia="宋体" w:hint="default"/>
                <w:spacing w:val="-1"/>
                <w:sz w:val="18"/>
                <w:szCs w:val="18"/>
              </w:rPr>
              <w:t> </w:t>
            </w:r>
            <w:r>
              <w:rPr>
                <w:rFonts w:ascii="宋体" w:hAnsi="宋体" w:cs="宋体" w:eastAsia="宋体" w:hint="default"/>
                <w:sz w:val="18"/>
                <w:szCs w:val="18"/>
              </w:rPr>
              <w:t>直接损失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资产 总额的 </w:t>
            </w:r>
            <w:r>
              <w:rPr>
                <w:rFonts w:ascii="Times New Roman" w:hAnsi="Times New Roman" w:cs="Times New Roman" w:eastAsia="Times New Roman" w:hint="default"/>
                <w:sz w:val="18"/>
                <w:szCs w:val="18"/>
              </w:rPr>
              <w:t>0.5% </w:t>
            </w:r>
            <w:r>
              <w:rPr>
                <w:rFonts w:ascii="宋体" w:hAnsi="宋体" w:cs="宋体" w:eastAsia="宋体" w:hint="default"/>
                <w:sz w:val="18"/>
                <w:szCs w:val="18"/>
              </w:rPr>
              <w:t>资产总额的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z w:val="18"/>
                <w:szCs w:val="18"/>
              </w:rPr>
              <w:t>≤</w:t>
            </w:r>
            <w:r>
              <w:rPr>
                <w:rFonts w:ascii="宋体" w:hAnsi="宋体" w:cs="宋体" w:eastAsia="宋体" w:hint="default"/>
                <w:sz w:val="18"/>
                <w:szCs w:val="18"/>
              </w:rPr>
              <w:t>错报＜ 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错报＜资产总额的</w:t>
            </w:r>
          </w:p>
          <w:p>
            <w:pPr>
              <w:pStyle w:val="TableParagraph"/>
              <w:spacing w:line="240" w:lineRule="auto" w:before="54"/>
              <w:ind w:left="22" w:right="0"/>
              <w:jc w:val="both"/>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3"/>
              <w:jc w:val="left"/>
              <w:rPr>
                <w:rFonts w:ascii="宋体" w:hAnsi="宋体" w:cs="宋体" w:eastAsia="宋体" w:hint="default"/>
                <w:sz w:val="18"/>
                <w:szCs w:val="18"/>
              </w:rPr>
            </w:pPr>
            <w:r>
              <w:rPr>
                <w:rFonts w:ascii="宋体" w:hAnsi="宋体" w:cs="宋体" w:eastAsia="宋体" w:hint="default"/>
                <w:spacing w:val="-2"/>
                <w:sz w:val="18"/>
                <w:szCs w:val="18"/>
              </w:rPr>
              <w:t>北京兴华会计师事务所（特殊普通合伙）对公司内部控制的有效性进行了评价，出具了《内部控制鉴证报告》（</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）京</w:t>
            </w:r>
            <w:r>
              <w:rPr>
                <w:rFonts w:ascii="宋体" w:hAnsi="宋体" w:cs="宋体" w:eastAsia="宋体" w:hint="default"/>
                <w:spacing w:val="-69"/>
                <w:sz w:val="18"/>
                <w:szCs w:val="18"/>
              </w:rPr>
              <w:t> </w:t>
            </w:r>
            <w:r>
              <w:rPr>
                <w:rFonts w:ascii="宋体" w:hAnsi="宋体" w:cs="宋体" w:eastAsia="宋体" w:hint="default"/>
                <w:sz w:val="18"/>
                <w:szCs w:val="18"/>
              </w:rPr>
              <w:t>会兴内鉴字第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03010002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号，认为：东华软件股份公司按照财政部等五部委颁发的《企业内部控制基本规范》及相关规定</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0"/>
              <w:jc w:val="left"/>
              <w:rPr>
                <w:rFonts w:ascii="宋体" w:hAnsi="宋体" w:cs="宋体" w:eastAsia="宋体" w:hint="default"/>
                <w:sz w:val="18"/>
                <w:szCs w:val="18"/>
              </w:rPr>
            </w:pPr>
            <w:r>
              <w:rPr>
                <w:rFonts w:ascii="宋体" w:hAnsi="宋体" w:cs="宋体" w:eastAsia="宋体" w:hint="default"/>
                <w:spacing w:val="-2"/>
                <w:sz w:val="18"/>
                <w:szCs w:val="18"/>
              </w:rPr>
              <w:t>刊登在巨潮资讯网上</w:t>
            </w:r>
            <w:hyperlink r:id="rId18">
              <w:r>
                <w:rPr>
                  <w:rFonts w:ascii="Times New Roman" w:hAnsi="Times New Roman" w:cs="Times New Roman" w:eastAsia="Times New Roman" w:hint="default"/>
                  <w:spacing w:val="-2"/>
                  <w:sz w:val="18"/>
                  <w:szCs w:val="18"/>
                </w:rPr>
                <w:t>(http://ww</w:t>
              </w:r>
            </w:hyperlink>
            <w:r>
              <w:rPr>
                <w:rFonts w:ascii="Times New Roman" w:hAnsi="Times New Roman" w:cs="Times New Roman" w:eastAsia="Times New Roman" w:hint="default"/>
                <w:spacing w:val="-2"/>
                <w:sz w:val="18"/>
                <w:szCs w:val="18"/>
              </w:rPr>
              <w:t>w</w:t>
            </w:r>
            <w:hyperlink r:id="rId18">
              <w:r>
                <w:rPr>
                  <w:rFonts w:ascii="Times New Roman" w:hAnsi="Times New Roman" w:cs="Times New Roman" w:eastAsia="Times New Roman" w:hint="default"/>
                  <w:spacing w:val="-2"/>
                  <w:sz w:val="18"/>
                  <w:szCs w:val="18"/>
                </w:rPr>
                <w:t>.cninfo.com.cn/)</w:t>
              </w:r>
              <w:r>
                <w:rPr>
                  <w:rFonts w:ascii="宋体" w:hAnsi="宋体" w:cs="宋体" w:eastAsia="宋体" w:hint="default"/>
                  <w:spacing w:val="-2"/>
                  <w:sz w:val="18"/>
                  <w:szCs w:val="18"/>
                </w:rPr>
                <w:t>上的</w:t>
              </w:r>
            </w:hyperlink>
            <w:r>
              <w:rPr>
                <w:rFonts w:ascii="宋体" w:hAnsi="宋体" w:cs="宋体" w:eastAsia="宋体" w:hint="default"/>
                <w:spacing w:val="-2"/>
                <w:sz w:val="18"/>
                <w:szCs w:val="18"/>
              </w:rPr>
              <w:t>《东华软件股份公司内部控制鉴证报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告》</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东华软件股份公司管理层按照《企业内部控制基本规范》及相关规定对</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日与财务报表相关的内部控制有效性作出的认定。</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53"/>
      <w:bookmarkStart w:name="第十节 公司债券相关情况" w:id="154"/>
      <w:r>
        <w:rPr>
          <w:b w:val="0"/>
          <w:bCs w:val="0"/>
        </w:rPr>
      </w:r>
      <w:r>
        <w:rPr/>
        <w:t>第十节</w:t>
      </w:r>
      <w:r>
        <w:rPr>
          <w:spacing w:val="-9"/>
        </w:rPr>
        <w:t> </w:t>
      </w:r>
      <w:r>
        <w:rPr/>
        <w:t>公司债券相关情况</w:t>
      </w:r>
      <w:bookmarkEnd w:id="153"/>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1" w:id="155"/>
      <w:bookmarkStart w:name="第十一节 财务报告" w:id="156"/>
      <w:r>
        <w:rPr>
          <w:b w:val="0"/>
          <w:bCs w:val="0"/>
        </w:rPr>
      </w:r>
      <w:r>
        <w:rPr/>
        <w:t>第十一节</w:t>
      </w:r>
      <w:r>
        <w:rPr>
          <w:spacing w:val="-6"/>
        </w:rPr>
        <w:t> </w:t>
      </w:r>
      <w:r>
        <w:rPr/>
        <w:t>财务报告</w:t>
      </w:r>
      <w:bookmarkEnd w:id="15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）京会兴审字第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03010060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 民、叶立萍</w:t>
            </w:r>
          </w:p>
        </w:tc>
      </w:tr>
    </w:tbl>
    <w:p>
      <w:pPr>
        <w:spacing w:line="240" w:lineRule="auto" w:before="5"/>
        <w:rPr>
          <w:rFonts w:ascii="宋体" w:hAnsi="宋体" w:cs="宋体" w:eastAsia="宋体" w:hint="default"/>
          <w:b/>
          <w:bCs/>
          <w:sz w:val="27"/>
          <w:szCs w:val="27"/>
        </w:rPr>
      </w:pPr>
    </w:p>
    <w:p>
      <w:pPr>
        <w:pStyle w:val="BodyText"/>
        <w:spacing w:line="240" w:lineRule="auto" w:before="44"/>
        <w:ind w:left="0" w:right="976"/>
        <w:jc w:val="center"/>
      </w:pPr>
      <w:r>
        <w:rPr/>
        <w:t>审计报告正文</w:t>
      </w:r>
    </w:p>
    <w:p>
      <w:pPr>
        <w:spacing w:line="240" w:lineRule="auto" w:before="10"/>
        <w:rPr>
          <w:rFonts w:ascii="宋体" w:hAnsi="宋体" w:cs="宋体" w:eastAsia="宋体" w:hint="default"/>
          <w:sz w:val="20"/>
          <w:szCs w:val="20"/>
        </w:rPr>
      </w:pPr>
    </w:p>
    <w:p>
      <w:pPr>
        <w:pStyle w:val="Heading6"/>
        <w:spacing w:line="240" w:lineRule="auto" w:before="44"/>
        <w:ind w:left="153" w:right="0"/>
        <w:jc w:val="left"/>
        <w:rPr>
          <w:b w:val="0"/>
          <w:bCs w:val="0"/>
        </w:rPr>
      </w:pPr>
      <w:r>
        <w:rPr/>
        <w:t>东华软件股份公司全体股东：</w:t>
      </w:r>
      <w:r>
        <w:rPr>
          <w:b w:val="0"/>
          <w:bCs w:val="0"/>
        </w:rPr>
      </w:r>
    </w:p>
    <w:p>
      <w:pPr>
        <w:spacing w:line="240" w:lineRule="auto" w:before="1"/>
        <w:rPr>
          <w:rFonts w:ascii="宋体" w:hAnsi="宋体" w:cs="宋体" w:eastAsia="宋体" w:hint="default"/>
          <w:b/>
          <w:bCs/>
          <w:sz w:val="24"/>
          <w:szCs w:val="24"/>
        </w:rPr>
      </w:pPr>
    </w:p>
    <w:p>
      <w:pPr>
        <w:pStyle w:val="BodyText"/>
        <w:spacing w:line="316" w:lineRule="auto"/>
        <w:ind w:left="513" w:right="1118" w:firstLine="1"/>
        <w:jc w:val="left"/>
        <w:rPr>
          <w:rFonts w:ascii="Times New Roman" w:hAnsi="Times New Roman" w:cs="Times New Roman" w:eastAsia="Times New Roman" w:hint="default"/>
        </w:rPr>
      </w:pPr>
      <w:r>
        <w:rPr>
          <w:rFonts w:ascii="宋体" w:hAnsi="宋体" w:cs="宋体" w:eastAsia="宋体" w:hint="default"/>
          <w:b/>
          <w:bCs/>
        </w:rPr>
        <w:t>一、审计意见</w:t>
      </w:r>
      <w:r>
        <w:rPr>
          <w:rFonts w:ascii="宋体" w:hAnsi="宋体" w:cs="宋体" w:eastAsia="宋体" w:hint="default"/>
          <w:b/>
          <w:bCs/>
          <w:w w:val="99"/>
        </w:rPr>
        <w:t> </w:t>
      </w:r>
      <w:r>
        <w:rPr>
          <w:spacing w:val="-2"/>
        </w:rPr>
        <w:t>我们审计了东华软件股份公司（以下简称东华软件公司）合并及母公司财务报表（以下简称财务报表），包括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p>
    <w:p>
      <w:pPr>
        <w:pStyle w:val="BodyText"/>
        <w:spacing w:line="300" w:lineRule="auto"/>
        <w:ind w:left="154" w:right="0"/>
        <w:jc w:val="left"/>
      </w:pP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年度的合并及母公司利润表、合并及母公司现金流量表、合并及母公司所有者权益</w:t>
      </w:r>
      <w:r>
        <w:rPr>
          <w:spacing w:val="-60"/>
        </w:rPr>
        <w:t> </w:t>
      </w:r>
      <w:r>
        <w:rPr>
          <w:spacing w:val="-60"/>
        </w:rPr>
      </w:r>
      <w:r>
        <w:rPr/>
        <w:t>变动表以及相关财务报表附注。</w:t>
      </w:r>
    </w:p>
    <w:p>
      <w:pPr>
        <w:pStyle w:val="BodyText"/>
        <w:spacing w:line="300" w:lineRule="auto" w:before="32"/>
        <w:ind w:right="0" w:firstLine="360"/>
        <w:jc w:val="left"/>
      </w:pPr>
      <w:r>
        <w:rPr>
          <w:spacing w:val="-2"/>
        </w:rPr>
        <w:t>我们认为，后附的财务报表在所有重大方面按照企业会计准则的规定编制，公允反映了东华软件公司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合并及母公司财务状况以及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16" w:lineRule="auto" w:before="13"/>
        <w:ind w:left="514" w:right="0" w:firstLine="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left="154" w:right="0"/>
        <w:jc w:val="left"/>
      </w:pPr>
      <w:r>
        <w:rPr>
          <w:spacing w:val="-2"/>
        </w:rPr>
        <w:t>阐述了我们在这些准则下的责任。按照中国注册会计师职业道德守则，我们独立于东华软件公司，并履行了职业道德方面的</w:t>
      </w:r>
      <w:r>
        <w:rPr>
          <w:spacing w:val="-66"/>
        </w:rPr>
        <w:t> </w:t>
      </w:r>
      <w:r>
        <w:rPr>
          <w:spacing w:val="-66"/>
        </w:rPr>
      </w:r>
      <w:r>
        <w:rPr/>
        <w:t>其他责任。我们相信，我们获取的审计证据是充分、适当的，为发表审计意见提供了基础。</w:t>
      </w:r>
    </w:p>
    <w:p>
      <w:pPr>
        <w:pStyle w:val="BodyText"/>
        <w:spacing w:line="316" w:lineRule="auto" w:before="19"/>
        <w:ind w:left="514" w:right="0" w:firstLine="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316" w:lineRule="auto" w:before="19"/>
        <w:ind w:left="514" w:right="5712" w:hanging="360"/>
        <w:jc w:val="left"/>
      </w:pPr>
      <w:r>
        <w:rPr/>
        <w:t>审计并形成审计意见为背景，我们不对这些事项单独发表意见。 我们在本期财务报表审计中识别出的关键审计事项如下：</w:t>
      </w:r>
    </w:p>
    <w:tbl>
      <w:tblPr>
        <w:tblW w:w="0" w:type="auto"/>
        <w:jc w:val="left"/>
        <w:tblInd w:w="146" w:type="dxa"/>
        <w:tblLayout w:type="fixed"/>
        <w:tblCellMar>
          <w:top w:w="0" w:type="dxa"/>
          <w:left w:w="0" w:type="dxa"/>
          <w:bottom w:w="0" w:type="dxa"/>
          <w:right w:w="0" w:type="dxa"/>
        </w:tblCellMar>
        <w:tblLook w:val="01E0"/>
      </w:tblPr>
      <w:tblGrid>
        <w:gridCol w:w="4254"/>
        <w:gridCol w:w="5387"/>
      </w:tblGrid>
      <w:tr>
        <w:trPr>
          <w:trHeight w:val="347" w:hRule="exact"/>
        </w:trPr>
        <w:tc>
          <w:tcPr>
            <w:tcW w:w="96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、营业收入的确认</w:t>
            </w:r>
          </w:p>
        </w:tc>
      </w:tr>
      <w:tr>
        <w:trPr>
          <w:trHeight w:val="348" w:hRule="exact"/>
        </w:trPr>
        <w:tc>
          <w:tcPr>
            <w:tcW w:w="96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请参阅合并财务报表附注四</w:t>
            </w:r>
            <w:r>
              <w:rPr>
                <w:rFonts w:ascii="Times New Roman" w:hAnsi="Times New Roman" w:cs="Times New Roman" w:eastAsia="Times New Roman" w:hint="default"/>
                <w:sz w:val="18"/>
                <w:szCs w:val="18"/>
              </w:rPr>
              <w:t>“</w:t>
            </w:r>
            <w:r>
              <w:rPr>
                <w:rFonts w:ascii="宋体" w:hAnsi="宋体" w:cs="宋体" w:eastAsia="宋体" w:hint="default"/>
                <w:sz w:val="18"/>
                <w:szCs w:val="18"/>
              </w:rPr>
              <w:t>重要会计政策和会计估计</w:t>
            </w:r>
            <w:r>
              <w:rPr>
                <w:rFonts w:ascii="Times New Roman" w:hAnsi="Times New Roman" w:cs="Times New Roman" w:eastAsia="Times New Roman" w:hint="default"/>
                <w:sz w:val="18"/>
                <w:szCs w:val="18"/>
              </w:rPr>
              <w:t>”</w:t>
            </w:r>
            <w:r>
              <w:rPr>
                <w:rFonts w:ascii="宋体" w:hAnsi="宋体" w:cs="宋体" w:eastAsia="宋体" w:hint="default"/>
                <w:sz w:val="18"/>
                <w:szCs w:val="18"/>
              </w:rPr>
              <w:t>中第（二十六）项和合并财务报表附注六中第（三十三）项所述。</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2843"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
              <w:jc w:val="both"/>
              <w:rPr>
                <w:rFonts w:ascii="宋体" w:hAnsi="宋体" w:cs="宋体" w:eastAsia="宋体" w:hint="default"/>
                <w:sz w:val="18"/>
                <w:szCs w:val="18"/>
              </w:rPr>
            </w:pPr>
            <w:r>
              <w:rPr>
                <w:rFonts w:ascii="宋体" w:hAnsi="宋体" w:cs="宋体" w:eastAsia="宋体" w:hint="default"/>
                <w:spacing w:val="-4"/>
                <w:sz w:val="18"/>
                <w:szCs w:val="18"/>
              </w:rPr>
              <w:t>东华软件公司的主营业务收入主要包括系统集成、软件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销售、技术服务等收入。</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年度公司实现营业收入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72.90</w:t>
            </w:r>
            <w:r>
              <w:rPr>
                <w:rFonts w:ascii="宋体" w:hAnsi="宋体" w:cs="宋体" w:eastAsia="宋体" w:hint="default"/>
                <w:sz w:val="18"/>
                <w:szCs w:val="18"/>
              </w:rPr>
              <w:t>亿元。由于公司销售金额较大，其收入确认的准</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4"/>
                <w:sz w:val="18"/>
                <w:szCs w:val="18"/>
              </w:rPr>
              <w:t>确性，以及是否在恰当的财务报表期间确认可能存在潜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在错报，因此我们将收入确认作为关键审计事项。</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、了解、评价了东华软件公司销售业务内部控制的设计，并测试关</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键控制执行的有效性； </w:t>
            </w:r>
            <w:r>
              <w:rPr>
                <w:rFonts w:ascii="Times New Roman" w:hAnsi="Times New Roman" w:cs="Times New Roman" w:eastAsia="Times New Roman" w:hint="default"/>
                <w:sz w:val="18"/>
                <w:szCs w:val="18"/>
              </w:rPr>
              <w:t>2</w:t>
            </w:r>
            <w:r>
              <w:rPr>
                <w:rFonts w:ascii="宋体" w:hAnsi="宋体" w:cs="宋体" w:eastAsia="宋体" w:hint="default"/>
                <w:sz w:val="18"/>
                <w:szCs w:val="18"/>
              </w:rPr>
              <w:t>、执行的实质性测试程序包括：①了解经营核算模式及收入确认方</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2"/>
                <w:sz w:val="18"/>
                <w:szCs w:val="18"/>
              </w:rPr>
              <w:t>法，对与收入确认有关的重大风险及报酬转移时点进行分析评估，进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而检查收入确认是否与披露的会计政策一致；②对收入执行月度波动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分析和毛利率分析，并与公司上年进行对比分析，分析收入变动的合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理性；③对于系统集成收入和软件销售收入检查了客户验收报告、发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票、检查回款记录，核实收入确认的真实性；对于技术服务收入，如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果一次性提供服务，检查了客户的验收报告，如果在一定期限内提供</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7"/>
          <w:szCs w:val="27"/>
        </w:rPr>
      </w:pPr>
    </w:p>
    <w:p>
      <w:pPr>
        <w:spacing w:line="1937" w:lineRule="exact"/>
        <w:ind w:left="146" w:right="0" w:firstLine="0"/>
        <w:rPr>
          <w:rFonts w:ascii="宋体" w:hAnsi="宋体" w:cs="宋体" w:eastAsia="宋体" w:hint="default"/>
          <w:sz w:val="20"/>
          <w:szCs w:val="20"/>
        </w:rPr>
      </w:pPr>
      <w:r>
        <w:rPr>
          <w:rFonts w:ascii="宋体" w:hAnsi="宋体" w:cs="宋体" w:eastAsia="宋体" w:hint="default"/>
          <w:position w:val="-38"/>
          <w:sz w:val="20"/>
          <w:szCs w:val="20"/>
        </w:rPr>
        <w:pict>
          <v:group style="width:482.8pt;height:96.9pt;mso-position-horizontal-relative:char;mso-position-vertical-relative:line" coordorigin="0,0" coordsize="9656,1938">
            <v:group style="position:absolute;left:14;top:14;width:4240;height:2" coordorigin="14,14" coordsize="4240,2">
              <v:shape style="position:absolute;left:14;top:14;width:4240;height:2" coordorigin="14,14" coordsize="4240,0" path="m14,14l4254,14e" filled="false" stroked="true" strokeweight=".72pt" strokecolor="#000000">
                <v:path arrowok="t"/>
              </v:shape>
            </v:group>
            <v:group style="position:absolute;left:4268;top:14;width:5373;height:2" coordorigin="4268,14" coordsize="5373,2">
              <v:shape style="position:absolute;left:4268;top:14;width:5373;height:2" coordorigin="4268,14" coordsize="5373,0" path="m4268,14l9641,14e" filled="false" stroked="true" strokeweight=".72pt" strokecolor="#000000">
                <v:path arrowok="t"/>
              </v:shape>
            </v:group>
            <v:group style="position:absolute;left:7;top:7;width:2;height:1923" coordorigin="7,7" coordsize="2,1923">
              <v:shape style="position:absolute;left:7;top:7;width:2;height:1923" coordorigin="7,7" coordsize="0,1923" path="m7,7l7,1930e" filled="false" stroked="true" strokeweight=".72pt" strokecolor="#000000">
                <v:path arrowok="t"/>
              </v:shape>
            </v:group>
            <v:group style="position:absolute;left:14;top:1923;width:4240;height:2" coordorigin="14,1923" coordsize="4240,2">
              <v:shape style="position:absolute;left:14;top:1923;width:4240;height:2" coordorigin="14,1923" coordsize="4240,0" path="m14,1923l4254,1923e" filled="false" stroked="true" strokeweight=".72pt" strokecolor="#000000">
                <v:path arrowok="t"/>
              </v:shape>
            </v:group>
            <v:group style="position:absolute;left:4261;top:7;width:2;height:1923" coordorigin="4261,7" coordsize="2,1923">
              <v:shape style="position:absolute;left:4261;top:7;width:2;height:1923" coordorigin="4261,7" coordsize="0,1923" path="m4261,7l4261,1930e" filled="false" stroked="true" strokeweight=".72pt" strokecolor="#000000">
                <v:path arrowok="t"/>
              </v:shape>
            </v:group>
            <v:group style="position:absolute;left:4268;top:1923;width:5373;height:2" coordorigin="4268,1923" coordsize="5373,2">
              <v:shape style="position:absolute;left:4268;top:1923;width:5373;height:2" coordorigin="4268,1923" coordsize="5373,0" path="m4268,1923l9641,1923e" filled="false" stroked="true" strokeweight=".72pt" strokecolor="#000000">
                <v:path arrowok="t"/>
              </v:shape>
            </v:group>
            <v:group style="position:absolute;left:9648;top:7;width:2;height:1923" coordorigin="9648,7" coordsize="2,1923">
              <v:shape style="position:absolute;left:9648;top:7;width:2;height:1923" coordorigin="9648,7" coordsize="0,1923" path="m9648,7l9648,1930e" filled="false" stroked="true" strokeweight=".72pt" strokecolor="#000000">
                <v:path arrowok="t"/>
              </v:shape>
              <v:shape style="position:absolute;left:4261;top:14;width:5388;height:1909" type="#_x0000_t202" filled="false" stroked="false">
                <v:textbox inset="0,0,0,0">
                  <w:txbxContent>
                    <w:p>
                      <w:pPr>
                        <w:spacing w:line="316" w:lineRule="auto" w:before="28"/>
                        <w:ind w:left="9" w:right="8" w:firstLine="0"/>
                        <w:jc w:val="left"/>
                        <w:rPr>
                          <w:rFonts w:ascii="宋体" w:hAnsi="宋体" w:cs="宋体" w:eastAsia="宋体" w:hint="default"/>
                          <w:sz w:val="18"/>
                          <w:szCs w:val="18"/>
                        </w:rPr>
                      </w:pPr>
                      <w:r>
                        <w:rPr>
                          <w:rFonts w:ascii="宋体" w:hAnsi="宋体" w:cs="宋体" w:eastAsia="宋体" w:hint="default"/>
                          <w:spacing w:val="-2"/>
                          <w:sz w:val="18"/>
                          <w:szCs w:val="18"/>
                        </w:rPr>
                        <w:t>服务，根据已签订的合同金额及服务时间进行测算；④检查了资产负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债表日前后确认收入的支持性文件，评估收入是否在恰当的期间确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认。 </w:t>
                      </w:r>
                      <w:r>
                        <w:rPr>
                          <w:rFonts w:ascii="宋体" w:hAnsi="宋体" w:cs="宋体" w:eastAsia="宋体" w:hint="default"/>
                          <w:spacing w:val="-2"/>
                          <w:sz w:val="18"/>
                          <w:szCs w:val="18"/>
                        </w:rPr>
                        <w:t>基于所实施的审计程序，我们认为，东华软件公司的收入确认符合其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收入确认的会计政策，我们未发现影响合并财务报表的与收入确认相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关的重大差异。</w:t>
                      </w:r>
                    </w:p>
                  </w:txbxContent>
                </v:textbox>
                <w10:wrap type="none"/>
              </v:shape>
            </v:group>
          </v:group>
        </w:pict>
      </w:r>
      <w:r>
        <w:rPr>
          <w:rFonts w:ascii="宋体" w:hAnsi="宋体" w:cs="宋体" w:eastAsia="宋体" w:hint="default"/>
          <w:position w:val="-3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44"/>
        <w:ind w:left="0" w:right="1050"/>
        <w:jc w:val="right"/>
      </w:pPr>
      <w:r>
        <w:rPr/>
        <w:pict>
          <v:shape style="position:absolute;margin-left:56.34pt;margin-top:-114.008263pt;width:483.15pt;height:257.4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4"/>
                    <w:gridCol w:w="5387"/>
                  </w:tblGrid>
                  <w:tr>
                    <w:trPr>
                      <w:trHeight w:val="347" w:hRule="exact"/>
                    </w:trPr>
                    <w:tc>
                      <w:tcPr>
                        <w:tcW w:w="96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、商誉减值</w:t>
                        </w:r>
                      </w:p>
                    </w:tc>
                  </w:tr>
                  <w:tr>
                    <w:trPr>
                      <w:trHeight w:val="347" w:hRule="exact"/>
                    </w:trPr>
                    <w:tc>
                      <w:tcPr>
                        <w:tcW w:w="96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请参阅合并财务报表附注六中第（十四）项所述。</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4092"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1"/>
                          <w:ind w:left="2"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日，东华软件公司商誉的账面价值为人民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币</w:t>
                        </w:r>
                        <w:r>
                          <w:rPr>
                            <w:rFonts w:ascii="Times New Roman" w:hAnsi="Times New Roman" w:cs="Times New Roman" w:eastAsia="Times New Roman" w:hint="default"/>
                            <w:sz w:val="18"/>
                            <w:szCs w:val="18"/>
                          </w:rPr>
                          <w:t>10.06</w:t>
                        </w:r>
                        <w:r>
                          <w:rPr>
                            <w:rFonts w:ascii="宋体" w:hAnsi="宋体" w:cs="宋体" w:eastAsia="宋体" w:hint="default"/>
                            <w:sz w:val="18"/>
                            <w:szCs w:val="18"/>
                          </w:rPr>
                          <w:t>亿元。根据企业会计准则，管理层须每年对商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4"/>
                            <w:sz w:val="18"/>
                            <w:szCs w:val="18"/>
                          </w:rPr>
                          <w:t>誉进行减值测试。由于商誉金额较大，且管理层需要作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出重大判断，我们将商誉的减值确定为关键审计事项。</w:t>
                        </w:r>
                        <w:r>
                          <w:rPr>
                            <w:rFonts w:ascii="宋体" w:hAnsi="宋体" w:cs="宋体" w:eastAsia="宋体" w:hint="default"/>
                            <w:sz w:val="18"/>
                            <w:szCs w:val="18"/>
                          </w:rPr>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）我们评估并测试了与商誉减值测试相关的内部控制，包括关键</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假设及减值计提金额的复核和审批。</w:t>
                        </w:r>
                      </w:p>
                      <w:p>
                        <w:pPr>
                          <w:pStyle w:val="TableParagraph"/>
                          <w:spacing w:line="300" w:lineRule="auto" w:before="31"/>
                          <w:ind w:left="2" w:right="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）我们将相关资产组本年度的实际结果与以前年度相应的预测数</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据进行了比较，以评价管理层对现金流量的预测是否可靠。</w:t>
                        </w:r>
                      </w:p>
                      <w:p>
                        <w:pPr>
                          <w:pStyle w:val="TableParagraph"/>
                          <w:spacing w:line="300" w:lineRule="auto" w:before="31"/>
                          <w:ind w:left="2" w:right="92"/>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）我们获取了管理层聘请的外部评估师出具的商誉减值测试报告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并对外部评估师的胜任能力、专业素质和客观性进行了评估。</w:t>
                        </w:r>
                      </w:p>
                      <w:p>
                        <w:pPr>
                          <w:pStyle w:val="TableParagraph"/>
                          <w:spacing w:line="300" w:lineRule="auto" w:before="31"/>
                          <w:ind w:left="2" w:right="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）我们参考同行业惯例对减值测试模型中选用的未来现金流量现</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值的评估方法及减值测试模型中使用的折现率进行了评估。</w:t>
                        </w:r>
                      </w:p>
                      <w:p>
                        <w:pPr>
                          <w:pStyle w:val="TableParagraph"/>
                          <w:spacing w:line="309" w:lineRule="auto" w:before="31"/>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）我们综合考虑资产组运营情况，对减值测试模型中使用的关键</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假设，包括收入增长率、毛利率及费用率与历史数据进行了比较，并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考虑了市场趋势的影响。</w:t>
                        </w:r>
                      </w:p>
                      <w:p>
                        <w:pPr>
                          <w:pStyle w:val="TableParagraph"/>
                          <w:spacing w:line="319" w:lineRule="auto" w:before="24"/>
                          <w:ind w:left="2" w:right="4" w:firstLine="480"/>
                          <w:jc w:val="left"/>
                          <w:rPr>
                            <w:rFonts w:ascii="宋体" w:hAnsi="宋体" w:cs="宋体" w:eastAsia="宋体" w:hint="default"/>
                            <w:sz w:val="18"/>
                            <w:szCs w:val="18"/>
                          </w:rPr>
                        </w:pPr>
                        <w:r>
                          <w:rPr>
                            <w:rFonts w:ascii="宋体" w:hAnsi="宋体" w:cs="宋体" w:eastAsia="宋体" w:hint="default"/>
                            <w:sz w:val="18"/>
                            <w:szCs w:val="18"/>
                          </w:rPr>
                          <w:t>基于所实施的审计程序，我们发现管理层在商誉减值测试中作 出的判断可以被我们获取的证据所支持。</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316" w:lineRule="auto" w:before="44"/>
        <w:ind w:left="624" w:right="1118" w:firstLine="12"/>
        <w:jc w:val="left"/>
      </w:pPr>
      <w:r>
        <w:rPr>
          <w:rFonts w:ascii="宋体" w:hAnsi="宋体" w:cs="宋体" w:eastAsia="宋体" w:hint="default"/>
          <w:b/>
          <w:bCs/>
        </w:rPr>
        <w:t>四、其他信息</w:t>
      </w:r>
      <w:r>
        <w:rPr>
          <w:rFonts w:ascii="宋体" w:hAnsi="宋体" w:cs="宋体" w:eastAsia="宋体" w:hint="default"/>
          <w:b/>
          <w:bCs/>
          <w:w w:val="99"/>
        </w:rPr>
        <w:t> </w:t>
      </w:r>
      <w:r>
        <w:rPr/>
        <w:t>东华软件公司管理层</w:t>
      </w:r>
      <w:r>
        <w:rPr>
          <w:rFonts w:ascii="Times New Roman" w:hAnsi="Times New Roman" w:cs="Times New Roman" w:eastAsia="Times New Roman" w:hint="default"/>
        </w:rPr>
        <w:t>(</w:t>
      </w:r>
      <w:r>
        <w:rPr/>
        <w:t>以下简称管理层</w:t>
      </w:r>
      <w:r>
        <w:rPr>
          <w:rFonts w:ascii="Times New Roman" w:hAnsi="Times New Roman" w:cs="Times New Roman" w:eastAsia="Times New Roman" w:hint="default"/>
        </w:rPr>
        <w:t>)</w:t>
      </w:r>
      <w:r>
        <w:rPr/>
        <w:t>对其他信息负责。其他信息包括东华软件公司</w:t>
      </w:r>
      <w:r>
        <w:rPr>
          <w:rFonts w:ascii="Times New Roman" w:hAnsi="Times New Roman" w:cs="Times New Roman" w:eastAsia="Times New Roman" w:hint="default"/>
        </w:rPr>
        <w:t>2017</w:t>
      </w:r>
      <w:r>
        <w:rPr/>
        <w:t>年年度报告中涵盖的信息，</w:t>
      </w:r>
    </w:p>
    <w:p>
      <w:pPr>
        <w:pStyle w:val="BodyText"/>
        <w:spacing w:line="316" w:lineRule="auto"/>
        <w:ind w:left="624" w:right="0" w:hanging="471"/>
        <w:jc w:val="left"/>
      </w:pPr>
      <w:r>
        <w:rPr/>
        <w:t>但不包括合并财务报表和我们的审计报告。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316" w:lineRule="auto" w:before="19"/>
        <w:ind w:left="624" w:right="0" w:hanging="471"/>
        <w:jc w:val="left"/>
      </w:pPr>
      <w:r>
        <w:rPr/>
        <w:t>过程中了解到的情况存在重大不一致或者似乎存在重大错报。 </w:t>
      </w:r>
      <w:r>
        <w:rPr>
          <w:spacing w:val="-1"/>
        </w:rPr>
        <w:t>基于我们已执行的工作，如果我们确定其他信息存在重大错报，我们应当报告该事实。在这方面，我们无任何事项需</w:t>
      </w:r>
    </w:p>
    <w:p>
      <w:pPr>
        <w:pStyle w:val="BodyText"/>
        <w:spacing w:line="240" w:lineRule="auto" w:before="19"/>
        <w:ind w:right="0"/>
        <w:jc w:val="left"/>
      </w:pPr>
      <w:r>
        <w:rPr/>
        <w:t>要报告。</w:t>
      </w:r>
    </w:p>
    <w:p>
      <w:pPr>
        <w:spacing w:line="316" w:lineRule="auto" w:before="76"/>
        <w:ind w:left="624" w:right="0" w:firstLine="1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pStyle w:val="BodyText"/>
        <w:spacing w:line="316" w:lineRule="auto" w:before="19"/>
        <w:ind w:left="624" w:right="0" w:hanging="471"/>
        <w:jc w:val="left"/>
      </w:pPr>
      <w:r>
        <w:rPr/>
        <w:t>财务报表不存在由于舞弊或错误导致的重大错报。 </w:t>
      </w:r>
      <w:r>
        <w:rPr>
          <w:spacing w:val="-1"/>
        </w:rPr>
        <w:t>在编制财务报表时，管理层负责评估东华软件公司的持续经营能力，披露与持续经营相关的事项（如适用），并运用</w:t>
      </w:r>
    </w:p>
    <w:p>
      <w:pPr>
        <w:spacing w:line="316" w:lineRule="auto" w:before="19"/>
        <w:ind w:left="624" w:right="3913" w:hanging="471"/>
        <w:jc w:val="left"/>
        <w:rPr>
          <w:rFonts w:ascii="宋体" w:hAnsi="宋体" w:cs="宋体" w:eastAsia="宋体" w:hint="default"/>
          <w:sz w:val="18"/>
          <w:szCs w:val="18"/>
        </w:rPr>
      </w:pPr>
      <w:r>
        <w:rPr>
          <w:rFonts w:ascii="宋体" w:hAnsi="宋体" w:cs="宋体" w:eastAsia="宋体" w:hint="default"/>
          <w:sz w:val="18"/>
          <w:szCs w:val="18"/>
        </w:rPr>
        <w:t>持续经营假设，除非管理层计划清算东华软件公司、终止运营或别无其他现实的选择。 治理层负责监督东华软件公司的财务报告过程。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19"/>
        <w:ind w:left="154" w:right="1132" w:firstLine="470"/>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7"/>
        <w:ind w:left="624" w:right="0"/>
        <w:jc w:val="left"/>
      </w:pPr>
      <w:r>
        <w:rPr/>
        <w:t>在按照审计准则执行审计工作的过程中，我们运用职业判断，并保持职业怀疑。同时，我们也执行以下工作：</w:t>
      </w:r>
    </w:p>
    <w:p>
      <w:pPr>
        <w:pStyle w:val="BodyText"/>
        <w:spacing w:line="240" w:lineRule="auto" w:before="76"/>
        <w:ind w:left="624" w:right="0"/>
        <w:jc w:val="left"/>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624" w:right="0"/>
        <w:jc w:val="left"/>
      </w:pP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624" w:right="0"/>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2" w:firstLine="470"/>
        <w:jc w:val="both"/>
      </w:pPr>
      <w:r>
        <w:rPr>
          <w:rFonts w:ascii="Times New Roman" w:hAnsi="Times New Roman" w:cs="Times New Roman" w:eastAsia="Times New Roman" w:hint="default"/>
        </w:rPr>
        <w:t>4</w:t>
      </w:r>
      <w:r>
        <w:rPr/>
        <w:t>、对管理层使用持续经营假设的恰当性得出结论。同时，根据获取的审计证据，就可能导致对东华软件公司持续经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论基于截至审计报告日可获得的信息。然而，未来的事项或情况可能导致东华软件公司不能持续经营。</w:t>
      </w:r>
    </w:p>
    <w:p>
      <w:pPr>
        <w:pStyle w:val="BodyText"/>
        <w:spacing w:line="240" w:lineRule="auto" w:before="22"/>
        <w:ind w:left="624" w:right="0"/>
        <w:jc w:val="left"/>
      </w:pP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138" w:firstLine="470"/>
        <w:jc w:val="both"/>
      </w:pPr>
      <w:r>
        <w:rPr>
          <w:rFonts w:ascii="Times New Roman" w:hAnsi="Times New Roman" w:cs="Times New Roman" w:eastAsia="Times New Roman" w:hint="default"/>
        </w:rPr>
        <w:t>6</w:t>
      </w:r>
      <w:r>
        <w:rPr/>
        <w:t>、就东华软件公司中实体或业务活动的财务信息获取充分、适当的审计证据，以对财务报表发表审计意见。我们负 责指导、监督和执行集团审计，并对审计意见承担全部责任。</w:t>
      </w:r>
    </w:p>
    <w:p>
      <w:pPr>
        <w:pStyle w:val="BodyText"/>
        <w:spacing w:line="316" w:lineRule="auto" w:before="31"/>
        <w:ind w:right="1131" w:firstLine="470"/>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9"/>
        <w:ind w:right="1132" w:firstLine="470"/>
        <w:jc w:val="both"/>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pStyle w:val="BodyText"/>
        <w:spacing w:line="316" w:lineRule="auto" w:before="19"/>
        <w:ind w:right="1130" w:firstLine="470"/>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tabs>
          <w:tab w:pos="6357" w:val="left" w:leader="none"/>
          <w:tab w:pos="8121" w:val="left" w:leader="none"/>
        </w:tabs>
        <w:spacing w:line="240" w:lineRule="auto"/>
        <w:ind w:left="0" w:right="1701"/>
        <w:jc w:val="center"/>
      </w:pPr>
      <w:r>
        <w:rPr/>
        <w:t>北京兴华会计师事务所（特殊普通合伙）</w:t>
        <w:tab/>
        <w:t>中国注册会计师：</w:t>
        <w:tab/>
        <w:t>叶</w:t>
      </w:r>
      <w:r>
        <w:rPr>
          <w:spacing w:val="-17"/>
        </w:rPr>
        <w:t> </w:t>
      </w:r>
      <w:r>
        <w:rPr/>
        <w:t>民</w:t>
      </w:r>
    </w:p>
    <w:p>
      <w:pPr>
        <w:pStyle w:val="BodyText"/>
        <w:spacing w:line="240" w:lineRule="auto" w:before="76"/>
        <w:ind w:left="6889" w:right="0"/>
        <w:jc w:val="left"/>
      </w:pPr>
      <w:r>
        <w:rPr/>
        <w:t>（项目合伙人）</w:t>
      </w:r>
    </w:p>
    <w:p>
      <w:pPr>
        <w:pStyle w:val="BodyText"/>
        <w:spacing w:line="240" w:lineRule="auto" w:before="77"/>
        <w:ind w:left="0" w:right="7855"/>
        <w:jc w:val="center"/>
      </w:pPr>
      <w:r>
        <w:rPr/>
        <w:t>中国</w:t>
      </w:r>
      <w:r>
        <w:rPr>
          <w:rFonts w:ascii="Times New Roman" w:hAnsi="Times New Roman" w:cs="Times New Roman" w:eastAsia="Times New Roman" w:hint="default"/>
          <w:b/>
          <w:bCs/>
        </w:rPr>
        <w:t>·</w:t>
      </w:r>
      <w:r>
        <w:rPr/>
        <w:t>北京</w:t>
      </w:r>
    </w:p>
    <w:p>
      <w:pPr>
        <w:spacing w:line="240" w:lineRule="auto" w:before="0"/>
        <w:rPr>
          <w:rFonts w:ascii="宋体" w:hAnsi="宋体" w:cs="宋体" w:eastAsia="宋体" w:hint="default"/>
          <w:sz w:val="18"/>
          <w:szCs w:val="18"/>
        </w:rPr>
      </w:pPr>
    </w:p>
    <w:p>
      <w:pPr>
        <w:pStyle w:val="BodyText"/>
        <w:tabs>
          <w:tab w:pos="6766" w:val="left" w:leader="none"/>
        </w:tabs>
        <w:spacing w:line="240" w:lineRule="auto" w:before="139"/>
        <w:ind w:left="784" w:right="0"/>
        <w:jc w:val="left"/>
      </w:pPr>
      <w:r>
        <w:rPr>
          <w:spacing w:val="-1"/>
        </w:rPr>
        <w:t>二</w:t>
      </w:r>
      <w:r>
        <w:rPr>
          <w:rFonts w:ascii="Times New Roman" w:hAnsi="Times New Roman" w:cs="Times New Roman" w:eastAsia="Times New Roman" w:hint="default"/>
          <w:spacing w:val="-1"/>
        </w:rPr>
        <w:t>O</w:t>
      </w:r>
      <w:r>
        <w:rPr>
          <w:spacing w:val="-1"/>
        </w:rPr>
        <w:t>一八年四月十九日</w:t>
        <w:tab/>
      </w:r>
      <w:r>
        <w:rPr/>
        <w:t>中国注册会计师：</w:t>
      </w:r>
      <w:r>
        <w:rPr>
          <w:spacing w:val="55"/>
        </w:rPr>
        <w:t> </w:t>
      </w:r>
      <w:r>
        <w:rPr/>
        <w:t>叶立萍</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编制单位：东华软件股份公司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2495" w:space="15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6" w:right="0"/>
              <w:jc w:val="left"/>
              <w:rPr>
                <w:rFonts w:ascii="Times New Roman" w:hAnsi="Times New Roman" w:cs="Times New Roman" w:eastAsia="Times New Roman" w:hint="default"/>
                <w:sz w:val="18"/>
                <w:szCs w:val="18"/>
              </w:rPr>
            </w:pPr>
            <w:r>
              <w:rPr>
                <w:rFonts w:ascii="Times New Roman"/>
                <w:sz w:val="18"/>
              </w:rPr>
              <w:t>1,749,004,889.56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1,125,223,256.82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181,649,503.56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73,249,697.97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4,728,364,250.18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4,250,040,364.37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855,852,244.20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582,439,188.52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508,072,788.87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502,034,751.40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3,670,295,492.37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2,994,969,208.96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94,063,444.80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104,342,536.74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11,787,302,613.54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9,632,299,004.78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651,576,099.18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664,148,922.01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136,481,215.02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4,598,835.37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306,577,145.99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390,279,153.77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10,300,218.23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12,033,413.19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152,831,504.48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190,100,414.48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24,752,258.08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42,207,935.04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1,005,999,688.59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1,453,591,295.34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4,007,873.47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5,175,048.44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49,120,482.46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33,754,853.41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25,099,800.00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2,366,746,285.50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2,795,889,871.05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14,154,048,899.04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12,428,188,875.83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931,772,643.44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622,779,034.35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443,949,481.53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179,985,694.48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948,040,882.55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489,245,814.75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858,437,966.98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746,024,813.55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8,578,883.33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12,769,330.83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156,243,357.01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142,840,528.29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371,108,068.67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271,570,030.37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1,335,816,350.16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952,061,516.92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5,053,947,633.67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3,417,276,763.54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71,050,860.79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59,132,752.56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4,183,474.54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41,647,752.69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79,234,335.33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104,780,505.25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5,133,181,969.00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3,522,057,268.79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3,139,787,560.00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1,569,893,780.00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2,342,590,897.89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2,341,530,826.88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-2,598.39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317,133,298.90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562,504,022.49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478,435,719.85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2,849,927,261.22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4,075,573,765.33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8,894,807,143.21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8,782,567,390.96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126,059,786.83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123,564,216.08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9,020,866,930.04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8,906,131,607.04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14,154,048,899.04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12,428,188,875.83</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法定代表人：薛向东</w:t>
        <w:tab/>
        <w:t>主管会计工作负责人：叶莉</w:t>
        <w:tab/>
        <w:t>会计机构负责人：初美伶</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850,115,023.41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502,533,403.45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40,800,873.03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15,437,065.70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3,234,313,158.27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3,038,688,240.47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249,119,864.12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189,492,959.34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684,910,163.57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458,450,448.50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2,236,778,519.20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1,707,985,625.09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54,919,557.83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42,405,669.99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7,350,957,159.43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5,954,993,412.54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501,556,965.27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654,281,922.01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3,346,469,108.82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3,443,576,802.61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10,127,884.02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11,065,452.06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183,477,493.06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266,755,536.72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61,143,933.43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89,458,832.05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1,692,988.55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565,675.68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33,547,738.40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22,745,316.11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25,099,800.00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4,163,115,911.55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4,488,449,537.24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11,514,073,070.98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10,443,442,949.78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402,107,280.35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20,877,536.84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127,159,534.80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98,413,964.80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266,959,297.36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181,100,687.50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252,002,285.92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303,881,663.04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631,072.55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370,415.30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114,228,585.13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92,537,125.82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371,108,068.67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271,570,030.37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2,066,428,986.49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1,817,603,538.18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3,600,625,111.27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2,786,354,961.85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52,654,667.90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50,491,173.67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35,229,994.87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52,654,821.02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85,721,168.54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3,653,279,932.29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2,872,076,130.39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3,139,787,560.00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1,569,893,780.00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2,344,268,627.97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2,342,972,692.33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317,069,953.78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561,126,079.98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477,057,777.34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1,815,609,492.72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2,864,372,615.94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7,860,793,138.69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7,571,366,819.39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11,514,073,070.98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10,443,442,949.78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7,290,128,453.42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6,476,747,733.49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7,290,128,453.42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6,476,747,733.49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6,973,433,186.11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5,709,303,909.51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5,125,265,454.37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4,332,617,552.36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21,868,912.64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17,258,908.79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289,066,827.51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278,216,520.20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900,853,104.60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746,691,079.81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42,106,099.02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37,024,319.24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594,272,787.97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297,495,529.11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73"/>
              <w:jc w:val="righ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375,682,650.55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130,651,963.23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26.29998pt;width:157.7pt;height:19.650pt;mso-position-horizontal-relative:page;mso-position-vertical-relative:page;z-index:-1041448" coordorigin="4242,2526" coordsize="3154,393">
            <v:shape style="position:absolute;left:4242;top:2526;width:3154;height:393" coordorigin="4242,2526" coordsize="3154,393" path="m4242,2919l7396,2919,7396,2526,4242,2526,4242,2919xe" filled="true" fillcolor="#ffffff" stroked="false">
              <v:path arrowok="t"/>
              <v:fill type="solid"/>
            </v:shape>
            <w10:wrap type="none"/>
          </v:group>
        </w:pict>
      </w:r>
      <w:r>
        <w:rPr/>
        <w:pict>
          <v:group style="position:absolute;margin-left:212.119995pt;margin-top:262.519989pt;width:157.7pt;height:19.650pt;mso-position-horizontal-relative:page;mso-position-vertical-relative:page;z-index:-1041424" coordorigin="4242,5250" coordsize="3154,393">
            <v:shape style="position:absolute;left:4242;top:5250;width:3154;height:393" coordorigin="4242,5250" coordsize="3154,393" path="m4242,5643l7396,5643,7396,5250,4242,5250,4242,564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1,039,974.01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406,308.24</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1,834,981.83</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64,528,436.30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758,741,335.99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898,095,787.21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14,531,885.30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104,062,746.30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12,308,156.98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2,345,402.27</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760,965,064.31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999,813,131.24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95,670,412.66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109,354,186.32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665,294,651.65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890,458,944.92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665,294,651.65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890,458,944.92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663,799,645.53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899,647,231.24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1,495,006.12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-9,188,286.32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-317,135,897.29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-425,941,964.34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-317,135,897.29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-425,941,964.34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-317,135,897.29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-425,941,964.34</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-317,068,575.76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-426,006,432.95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-67,321.53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64,468.61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348,158,754.36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464,516,980.58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346,663,748.24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473,705,266.90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1,495,006.12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-9,188,286.32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0.2114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0.2865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0.2114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0.2865</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法定代表人：薛向东</w:t>
        <w:tab/>
        <w:t>主管会计工作负责人：叶莉</w:t>
        <w:tab/>
        <w:t>会计机构负责人：初美伶</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3,191,568,377.26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3,055,260,575.75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1,901,544,614.40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1,800,913,950.59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9,349,129.29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4,970,114.58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95,434,359.90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100,745,853.83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349,295,017.74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282,353,804.84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11,621,954.72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12,811,287.97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324,260,132.14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73,309,044.35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393,022,515.60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145,515,519.85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1,039,974.01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-313,923.85</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36,253,780.11</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929,339,464.78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925,672,039.44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132,213.10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48,526,763.89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11,661,147.59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171,624.07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917,810,530.29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974,027,179.26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77,127,503.87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60,766,979.41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840,683,026.42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913,260,199.85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840,683,026.42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913,260,199.85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-317,068,575.76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-426,006,432.95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-317,068,575.76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-426,006,432.95</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-317,068,575.76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-426,006,432.95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523,614,450.66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487,253,766.90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7,961,161,389.74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6,737,236,356.85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40,381,243.65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54,792,709.37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204,356,616.22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195,080,651.06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8,205,899,249.61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6,987,109,717.28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6,038,608,432.37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5,832,602,326.70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963,379,274.72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862,106,615.80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252,889,754.43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246,970,356.87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783,344,072.05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546,540,348.00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8,038,221,533.57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7,488,219,647.37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167,677,716.04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-501,109,930.09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14,611,145.97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24,733,348.35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374,712,414.67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107,127,262.54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6,839,538.19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527,900.00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8,401,760.87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396,163,098.83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160,790,271.76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83,655,553.10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80,997,225.55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493,535,403.91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25,506,142.74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628,999.27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577,819,956.28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126,503,368.29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-181,656,857.45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34,286,903.47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44,816,790.40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1,078,044,449.39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1,562,780,711.68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695,066,000.00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1,080,030,992.16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1,773,975,149.39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2,687,628,494.24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769,266,290.03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1,796,597,255.39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171,187,687.78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227,541,752.83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202,355,000.00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1,255,043,977.81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2,226,494,008.22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518,931,171.58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461,134,486.02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-836,611.84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416,623.28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504,115,418.33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-5,271,917.32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1,095,233,313.93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1,100,505,231.25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1,599,348,732.26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1,095,233,313.93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3,289,492,886.75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3,074,158,723.00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19,734,069.37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28,361,660.77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80,106,570.71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174,657,129.32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3,389,333,526.83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3,277,177,513.09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2,397,707,076.41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2,540,135,941.26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351,708,795.90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311,668,378.41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125,394,956.18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94,252,725.59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602,195,898.68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510,068,569.34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3,477,006,727.17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3,456,125,614.60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-87,673,200.34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-178,948,101.51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14,611,145.97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56,733,348.35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414,161,114.67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139,596,680.64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428,772,260.64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196,330,028.99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41,243,309.40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18,311,523.93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510,436,196.56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298,467,902.01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551,679,505.96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316,779,425.94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-122,907,245.32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-120,449,396.95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42,016,790.40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438,025,884.12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856,179,214.17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618,796,000.00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1,045,443,292.76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1,056,821,884.12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1,943,639,297.33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57,011,590.34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1,224,912,743.64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139,711,779.15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201,603,797.81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511,313,369.49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1,625,496,541.45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545,508,514.63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318,142,755.88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334,928,068.97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18,745,257.42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475,447,230.20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456,701,972.78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810,375,299.17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475,447,230.20</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1,569,</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893,78</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2,341,5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30,826.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317,133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,298.90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478,435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,719.85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73,765.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123,564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,216.08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31,607.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1,569,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893,78</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2,341,5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30,826.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317,133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,298.90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478,435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,719.85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73,765.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123,564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,216.08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31,607.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1,569,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893,78</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1,060,0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71.01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5,897.2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84,068,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302.64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-1,225,6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46,504.</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2,495,5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70.75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114,735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,323.00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5,897.2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663,799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,645.53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1,495,0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06.12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348,158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,754.36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1,060,0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71.01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1,000,5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2,060,6</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35.64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864,700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864,700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1,060,0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71.01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135,864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1,195,9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35.64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1,569,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893,78</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84,068,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302.64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-1,889,4</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46,149.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4,067.0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84,068,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302.64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-84,068,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302.64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1,569,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893,78</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-1,805,3</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77,847.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4,067.0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3,139,</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787,56</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2,342,5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90,897.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-2,598.3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562,504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,022.49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27,261.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126,059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,786.83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9,020,8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66,930.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240" w:lineRule="auto"/>
        <w:ind w:left="154" w:right="0"/>
        <w:jc w:val="left"/>
      </w:pPr>
      <w:r>
        <w:rPr/>
        <w:t>上期金额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1,564,</w:t>
            </w: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561,70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2,306,2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89,204.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743,075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,263.24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387,109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,699.86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3,502,7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36,621.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107,296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,715.24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8,611,0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69,203.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1,564,</w:t>
            </w: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561,70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2,306,2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89,204.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743,075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,263.24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387,109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,699.86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3,502,7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36,621.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107,296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,715.24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8,611,0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69,203.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5,332,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080.00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35,241,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622.63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-425,94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1,964.3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91,326,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019.99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572,837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,144.26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16,267,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500.84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295,062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,403.38</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-425,94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1,964.3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899,647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,231.24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-9,188,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286.32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464,516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,980.58</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5,332,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080.00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35,241,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622.63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25,455,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787.16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66,029,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489.79</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5,332,</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35,241,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25,455,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66,029,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sz w:val="18"/>
              </w:rPr>
              <w:t>080.00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Times New Roman" w:hAnsi="Times New Roman" w:cs="Times New Roman" w:eastAsia="Times New Roman" w:hint="default"/>
                <w:sz w:val="18"/>
                <w:szCs w:val="18"/>
              </w:rPr>
            </w:pPr>
            <w:r>
              <w:rPr>
                <w:rFonts w:ascii="Times New Roman"/>
                <w:sz w:val="18"/>
              </w:rPr>
              <w:t>622.63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787.16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489.79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91,326,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019.99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0,086.9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-235,48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4,066.9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91,326,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019.99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-91,326,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019.99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-235,48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4,066.9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-235,48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4,066.9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1,569,</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893,78</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2,341,5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30,826.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317,133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,298.90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478,435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,719.85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4,075,5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73,765.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123,564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,216.08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8,906,1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31,607.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420"/>
        <w:gridCol w:w="566"/>
        <w:gridCol w:w="851"/>
        <w:gridCol w:w="1134"/>
        <w:gridCol w:w="618"/>
        <w:gridCol w:w="798"/>
        <w:gridCol w:w="798"/>
        <w:gridCol w:w="797"/>
        <w:gridCol w:w="676"/>
        <w:gridCol w:w="781"/>
      </w:tblGrid>
      <w:tr>
        <w:trPr>
          <w:trHeight w:val="397" w:hRule="exact"/>
        </w:trPr>
        <w:tc>
          <w:tcPr>
            <w:tcW w:w="1430" w:type="dxa"/>
            <w:vMerge w:val="restart"/>
            <w:tcBorders>
              <w:top w:val="single" w:sz="4" w:space="0" w:color="000000"/>
              <w:left w:val="single" w:sz="4" w:space="0" w:color="000000"/>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8"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
        </w:tc>
        <w:tc>
          <w:tcPr>
            <w:tcW w:w="183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6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6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5"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vMerge/>
            <w:tcBorders>
              <w:left w:val="single" w:sz="4" w:space="0" w:color="000000"/>
              <w:bottom w:val="nil" w:sz="6" w:space="0" w:color="auto"/>
              <w:right w:val="single" w:sz="4" w:space="0" w:color="000000"/>
            </w:tcBorders>
            <w:shd w:val="clear" w:color="auto" w:fill="D2D2D2"/>
          </w:tcPr>
          <w:p>
            <w:pPr/>
          </w:p>
        </w:tc>
        <w:tc>
          <w:tcPr>
            <w:tcW w:w="1838" w:type="dxa"/>
            <w:gridSpan w:val="3"/>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6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123" w:right="3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78"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14" w:right="24"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88" w:right="9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2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1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6"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tcBorders>
              <w:left w:val="single" w:sz="4" w:space="0" w:color="000000"/>
              <w:bottom w:val="nil" w:sz="6" w:space="0" w:color="auto"/>
              <w:right w:val="single" w:sz="4" w:space="0" w:color="000000"/>
            </w:tcBorders>
            <w:shd w:val="clear" w:color="auto" w:fill="D2D2D2"/>
          </w:tcPr>
          <w:p>
            <w:pPr/>
          </w:p>
        </w:tc>
        <w:tc>
          <w:tcPr>
            <w:tcW w:w="61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79" w:hRule="exact"/>
        </w:trPr>
        <w:tc>
          <w:tcPr>
            <w:tcW w:w="1430" w:type="dxa"/>
            <w:vMerge/>
            <w:tcBorders>
              <w:left w:val="single" w:sz="4" w:space="0" w:color="000000"/>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61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676" w:type="dxa"/>
            <w:vMerge/>
            <w:tcBorders>
              <w:left w:val="single" w:sz="4" w:space="0" w:color="000000"/>
              <w:bottom w:val="nil" w:sz="6" w:space="0" w:color="auto"/>
              <w:right w:val="single" w:sz="4" w:space="0" w:color="000000"/>
            </w:tcBorders>
            <w:shd w:val="clear" w:color="auto" w:fill="D2D2D2"/>
          </w:tcPr>
          <w:p>
            <w:pPr/>
          </w:p>
        </w:tc>
        <w:tc>
          <w:tcPr>
            <w:tcW w:w="781" w:type="dxa"/>
            <w:vMerge/>
            <w:tcBorders>
              <w:left w:val="single" w:sz="4" w:space="0" w:color="000000"/>
              <w:bottom w:val="nil" w:sz="6" w:space="0" w:color="auto"/>
              <w:right w:val="single" w:sz="4" w:space="0" w:color="000000"/>
            </w:tcBorders>
            <w:shd w:val="clear" w:color="auto" w:fill="D2D2D2"/>
          </w:tcPr>
          <w:p>
            <w:pPr/>
          </w:p>
        </w:tc>
      </w:tr>
      <w:tr>
        <w:trPr>
          <w:trHeight w:val="19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42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6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1,569,89</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3,780.00</w:t>
            </w:r>
          </w:p>
        </w:tc>
        <w:tc>
          <w:tcPr>
            <w:tcW w:w="42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2,342,972,692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.33</w:t>
            </w:r>
          </w:p>
        </w:tc>
        <w:tc>
          <w:tcPr>
            <w:tcW w:w="61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317,069,9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53.78</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477,057,7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77.34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72,615.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7,571,366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,819.39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42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1,569,89</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3,780.00</w:t>
            </w:r>
          </w:p>
        </w:tc>
        <w:tc>
          <w:tcPr>
            <w:tcW w:w="42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2,342,972,692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.33</w:t>
            </w:r>
          </w:p>
        </w:tc>
        <w:tc>
          <w:tcPr>
            <w:tcW w:w="61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317,069,9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53.78</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477,057,7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77.34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72,615.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7,571,366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,819.39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42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1,569,89</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3,780.00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1,295,935.64</w:t>
            </w: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-317,068,</w:t>
            </w:r>
          </w:p>
          <w:p>
            <w:pPr>
              <w:pStyle w:val="TableParagraph"/>
              <w:spacing w:line="240" w:lineRule="auto" w:before="106"/>
              <w:ind w:left="249" w:right="0"/>
              <w:jc w:val="center"/>
              <w:rPr>
                <w:rFonts w:ascii="Times New Roman" w:hAnsi="Times New Roman" w:cs="Times New Roman" w:eastAsia="Times New Roman" w:hint="default"/>
                <w:sz w:val="18"/>
                <w:szCs w:val="18"/>
              </w:rPr>
            </w:pPr>
            <w:r>
              <w:rPr>
                <w:rFonts w:ascii="Times New Roman"/>
                <w:sz w:val="18"/>
              </w:rPr>
              <w:t>575.76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84,068,30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-1,048,7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63,123.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289,426,3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19.30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-317,068,</w:t>
            </w:r>
          </w:p>
          <w:p>
            <w:pPr>
              <w:pStyle w:val="TableParagraph"/>
              <w:spacing w:line="240" w:lineRule="auto" w:before="106"/>
              <w:ind w:left="249" w:right="0"/>
              <w:jc w:val="center"/>
              <w:rPr>
                <w:rFonts w:ascii="Times New Roman" w:hAnsi="Times New Roman" w:cs="Times New Roman" w:eastAsia="Times New Roman" w:hint="default"/>
                <w:sz w:val="18"/>
                <w:szCs w:val="18"/>
              </w:rPr>
            </w:pPr>
            <w:r>
              <w:rPr>
                <w:rFonts w:ascii="Times New Roman"/>
                <w:sz w:val="18"/>
              </w:rPr>
              <w:t>575.76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840,683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,026.42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523,614,4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50.66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1,295,935.64</w:t>
            </w: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1,295,935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42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1,295,935.64</w:t>
            </w:r>
          </w:p>
        </w:tc>
        <w:tc>
          <w:tcPr>
            <w:tcW w:w="61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1,295,935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.64</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42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1,569,89</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3,780.00</w:t>
            </w:r>
          </w:p>
        </w:tc>
        <w:tc>
          <w:tcPr>
            <w:tcW w:w="42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61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84,068,30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2.64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-1,889,4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46,149.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-235,484,</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067.00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42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42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61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84,068,30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2.64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-84,068,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302.64</w:t>
            </w:r>
          </w:p>
        </w:tc>
        <w:tc>
          <w:tcPr>
            <w:tcW w:w="781" w:type="dxa"/>
            <w:vMerge w:val="restart"/>
            <w:tcBorders>
              <w:top w:val="single" w:sz="4" w:space="0" w:color="000000"/>
              <w:left w:val="single" w:sz="4" w:space="0" w:color="000000"/>
              <w:right w:val="single" w:sz="4" w:space="0" w:color="000000"/>
            </w:tcBorders>
          </w:tcPr>
          <w:p>
            <w:pP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42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1,569,89</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3,780.00</w:t>
            </w:r>
          </w:p>
        </w:tc>
        <w:tc>
          <w:tcPr>
            <w:tcW w:w="42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61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-1,805,3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77,847.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-235,484,</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067.00</w:t>
            </w:r>
          </w:p>
        </w:tc>
      </w:tr>
      <w:tr>
        <w:trPr>
          <w:trHeight w:val="704"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vMerge/>
            <w:tcBorders>
              <w:left w:val="single" w:sz="10" w:space="0" w:color="D2D2D2"/>
              <w:right w:val="single" w:sz="4" w:space="0" w:color="000000"/>
            </w:tcBorders>
          </w:tcPr>
          <w:p>
            <w:pPr/>
          </w:p>
        </w:tc>
        <w:tc>
          <w:tcPr>
            <w:tcW w:w="42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61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42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61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420"/>
        <w:gridCol w:w="566"/>
        <w:gridCol w:w="851"/>
        <w:gridCol w:w="1134"/>
        <w:gridCol w:w="61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3,139,78</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7,560.00</w:t>
            </w:r>
          </w:p>
        </w:tc>
        <w:tc>
          <w:tcPr>
            <w:tcW w:w="4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2,344,268,627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.97</w:t>
            </w:r>
          </w:p>
        </w:tc>
        <w:tc>
          <w:tcPr>
            <w:tcW w:w="61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1,378.02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561,126,0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79.98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09,492.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7,860,793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,138.69</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240" w:lineRule="auto"/>
        <w:ind w:left="154" w:right="0"/>
        <w:jc w:val="left"/>
      </w:pPr>
      <w:r>
        <w:rPr/>
        <w:t>上期金额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0"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1,564,56</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1,700.00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2,306,287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,981.93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743,076,3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86.73</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385,731,7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57.35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z w:val="18"/>
              </w:rPr>
              <w:t>2,279,4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22,503.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7,279,080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,329.08</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1,564,56</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1,700.00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2,306,287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,981.93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743,076,3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86.73</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385,731,7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57.35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2,277,9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22,503.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7,277,580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,329.08</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5,332,08</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36,684,71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-426,006,</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432.95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91,326,01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586,450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,112.87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293,786,4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-426,006,</w:t>
            </w:r>
          </w:p>
          <w:p>
            <w:pPr>
              <w:pStyle w:val="TableParagraph"/>
              <w:spacing w:line="240" w:lineRule="auto" w:before="106"/>
              <w:ind w:left="249" w:right="0"/>
              <w:jc w:val="center"/>
              <w:rPr>
                <w:rFonts w:ascii="Times New Roman" w:hAnsi="Times New Roman" w:cs="Times New Roman" w:eastAsia="Times New Roman" w:hint="default"/>
                <w:sz w:val="18"/>
                <w:szCs w:val="18"/>
              </w:rPr>
            </w:pPr>
            <w:r>
              <w:rPr>
                <w:rFonts w:ascii="Times New Roman"/>
                <w:sz w:val="18"/>
              </w:rPr>
              <w:t>432.95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913,260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,199.85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487,253,7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66.90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5,332,08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36,684,71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42,016,79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0.40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5,332,08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36,684,71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42,016,79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0.40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91,326,01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0,086.9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-235,484,</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066.99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91,326,01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-91,326,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019.99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4,066.9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-235,484,</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066.99</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1,569,89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3,780.00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2,342,972</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,692.33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317,069,9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53.78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477,057,7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77.34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72,615.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7,571,366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,819.39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both"/>
        <w:rPr>
          <w:b w:val="0"/>
          <w:bCs w:val="0"/>
        </w:rPr>
      </w:pPr>
      <w:bookmarkStart w:name="三、公司基本情况" w:id="167"/>
      <w:bookmarkEnd w:id="167"/>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1130" w:firstLine="420"/>
        <w:jc w:val="both"/>
      </w:pPr>
      <w:r>
        <w:rPr>
          <w:spacing w:val="-2"/>
        </w:rPr>
        <w:t>东华软件股份公司（原</w:t>
      </w:r>
      <w:r>
        <w:rPr>
          <w:rFonts w:ascii="Times New Roman" w:hAnsi="Times New Roman" w:cs="Times New Roman" w:eastAsia="Times New Roman" w:hint="default"/>
          <w:spacing w:val="-2"/>
        </w:rPr>
        <w:t>“</w:t>
      </w:r>
      <w:r>
        <w:rPr>
          <w:spacing w:val="-2"/>
        </w:rPr>
        <w:t>北京东华合创数码科技股份有限公司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）是由北京东华诚信电脑科</w:t>
      </w:r>
      <w:r>
        <w:rPr/>
        <w:t> </w:t>
      </w:r>
      <w:r>
        <w:rPr>
          <w:spacing w:val="-2"/>
        </w:rPr>
        <w:t>技发展有限公司（原北京东华诚信电脑科技发展公司）、北京东华诚信投资管理中心（有限合伙）（原北京东华诚信工业设</w:t>
      </w:r>
      <w:r>
        <w:rPr>
          <w:spacing w:val="-67"/>
        </w:rPr>
        <w:t> </w:t>
      </w:r>
      <w:r>
        <w:rPr>
          <w:spacing w:val="-67"/>
        </w:rPr>
      </w:r>
      <w:r>
        <w:rPr/>
        <w:t>备有限公司） </w:t>
      </w:r>
      <w:r>
        <w:rPr>
          <w:spacing w:val="-2"/>
        </w:rPr>
        <w:t>、北京合创电商投资顾问中心（有限合伙））（原北京合创电商投资顾问有限公司）等</w:t>
      </w:r>
      <w:r>
        <w:rPr>
          <w:rFonts w:ascii="Times New Roman" w:hAnsi="Times New Roman" w:cs="Times New Roman" w:eastAsia="Times New Roman" w:hint="default"/>
          <w:spacing w:val="-2"/>
        </w:rPr>
        <w:t>3</w:t>
      </w:r>
      <w:r>
        <w:rPr>
          <w:spacing w:val="-2"/>
        </w:rPr>
        <w:t>家法人企业及薛向东</w:t>
      </w:r>
      <w:r>
        <w:rPr>
          <w:spacing w:val="-80"/>
        </w:rPr>
        <w:t> </w:t>
      </w:r>
      <w:r>
        <w:rPr>
          <w:spacing w:val="-80"/>
        </w:rPr>
      </w:r>
      <w:r>
        <w:rPr/>
        <w:t>等</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个自然人共同发起，在原北京东华合创数码科技有限公司的基础上，依法改制设立的股份有限公司。公司的注册资本 为人民币</w:t>
      </w:r>
      <w:r>
        <w:rPr>
          <w:rFonts w:ascii="Times New Roman" w:hAnsi="Times New Roman" w:cs="Times New Roman" w:eastAsia="Times New Roman" w:hint="default"/>
        </w:rPr>
        <w:t>1,514,806,948</w:t>
      </w:r>
      <w:r>
        <w:rPr/>
        <w:t>元，注册地址位于北京市海淀区紫金数码园</w:t>
      </w:r>
      <w:r>
        <w:rPr>
          <w:rFonts w:ascii="Times New Roman" w:hAnsi="Times New Roman" w:cs="Times New Roman" w:eastAsia="Times New Roman" w:hint="default"/>
        </w:rPr>
        <w:t>3</w:t>
      </w:r>
      <w:r>
        <w:rPr/>
        <w:t>号楼</w:t>
      </w:r>
      <w:r>
        <w:rPr>
          <w:rFonts w:ascii="Times New Roman" w:hAnsi="Times New Roman" w:cs="Times New Roman" w:eastAsia="Times New Roman" w:hint="default"/>
        </w:rPr>
        <w:t>15</w:t>
      </w:r>
      <w:r>
        <w:rPr/>
        <w:t>层</w:t>
      </w:r>
      <w:r>
        <w:rPr>
          <w:rFonts w:ascii="Times New Roman" w:hAnsi="Times New Roman" w:cs="Times New Roman" w:eastAsia="Times New Roman" w:hint="default"/>
        </w:rPr>
        <w:t>1501</w:t>
      </w:r>
      <w:r>
        <w:rPr/>
        <w:t>室，法定代表人：薛向东，企业统一社会</w:t>
      </w:r>
      <w:r>
        <w:rPr>
          <w:spacing w:val="-46"/>
        </w:rPr>
        <w:t> </w:t>
      </w:r>
      <w:r>
        <w:rPr>
          <w:spacing w:val="-46"/>
        </w:rPr>
      </w:r>
      <w:r>
        <w:rPr/>
        <w:t>信用代码为</w:t>
      </w:r>
      <w:r>
        <w:rPr>
          <w:rFonts w:ascii="Times New Roman" w:hAnsi="Times New Roman" w:cs="Times New Roman" w:eastAsia="Times New Roman" w:hint="default"/>
        </w:rPr>
        <w:t>“</w:t>
      </w:r>
      <w:r>
        <w:rPr/>
        <w:t>第</w:t>
      </w:r>
      <w:r>
        <w:rPr>
          <w:rFonts w:ascii="Times New Roman" w:hAnsi="Times New Roman" w:cs="Times New Roman" w:eastAsia="Times New Roman" w:hint="default"/>
        </w:rPr>
        <w:t>911100007226188818</w:t>
      </w:r>
      <w:r>
        <w:rPr/>
        <w:t>号</w:t>
      </w:r>
      <w:r>
        <w:rPr>
          <w:rFonts w:ascii="Times New Roman" w:hAnsi="Times New Roman" w:cs="Times New Roman" w:eastAsia="Times New Roman" w:hint="default"/>
        </w:rPr>
        <w:t>”</w:t>
      </w:r>
      <w:r>
        <w:rPr/>
        <w:t>。</w:t>
      </w:r>
    </w:p>
    <w:p>
      <w:pPr>
        <w:pStyle w:val="BodyText"/>
        <w:spacing w:line="304" w:lineRule="auto" w:before="50"/>
        <w:ind w:right="1129" w:firstLine="420"/>
        <w:jc w:val="both"/>
      </w:pPr>
      <w:r>
        <w:rPr/>
        <w:t>公司的前身北京东华合创数码科技有限公司，成立于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w:t>
      </w:r>
      <w:r>
        <w:rPr/>
        <w:t>月，注册资本为人民币</w:t>
      </w:r>
      <w:r>
        <w:rPr>
          <w:rFonts w:ascii="Times New Roman" w:hAnsi="Times New Roman" w:cs="Times New Roman" w:eastAsia="Times New Roman" w:hint="default"/>
        </w:rPr>
        <w:t>3,700</w:t>
      </w:r>
      <w:r>
        <w:rPr/>
        <w:t>万元。</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日，经</w:t>
      </w:r>
      <w:r>
        <w:rPr>
          <w:spacing w:val="2"/>
        </w:rPr>
        <w:t> </w:t>
      </w:r>
      <w:r>
        <w:rPr/>
        <w:t>北京市人民政府经济体制改革办公室以</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[2001]69</w:t>
      </w:r>
      <w:r>
        <w:rPr/>
        <w:t>号</w:t>
      </w:r>
      <w:r>
        <w:rPr>
          <w:rFonts w:ascii="Times New Roman" w:hAnsi="Times New Roman" w:cs="Times New Roman" w:eastAsia="Times New Roman" w:hint="default"/>
        </w:rPr>
        <w:t>”</w:t>
      </w:r>
      <w:r>
        <w:rPr/>
        <w:t>文《关于同意北京东华合创数码科技有限公司变更为北京 </w:t>
      </w:r>
      <w:r>
        <w:rPr>
          <w:spacing w:val="-2"/>
        </w:rPr>
        <w:t>东华合创数码科技股份有限公司的通知》批复，北京东华合创数码科技有限公司依法改制设立为股份有限公司，注册资本为</w:t>
      </w:r>
      <w:r>
        <w:rPr>
          <w:spacing w:val="-66"/>
        </w:rPr>
        <w:t> </w:t>
      </w:r>
      <w:r>
        <w:rPr>
          <w:spacing w:val="-66"/>
        </w:rPr>
      </w:r>
      <w:r>
        <w:rPr/>
        <w:t>人民币</w:t>
      </w:r>
      <w:r>
        <w:rPr>
          <w:rFonts w:ascii="Times New Roman" w:hAnsi="Times New Roman" w:cs="Times New Roman" w:eastAsia="Times New Roman" w:hint="default"/>
        </w:rPr>
        <w:t>4,856.25</w:t>
      </w:r>
      <w:r>
        <w:rPr/>
        <w:t>万元。</w:t>
      </w:r>
    </w:p>
    <w:p>
      <w:pPr>
        <w:pStyle w:val="BodyText"/>
        <w:spacing w:line="300" w:lineRule="auto" w:before="50"/>
        <w:ind w:right="1132" w:firstLine="420"/>
        <w:jc w:val="both"/>
      </w:pPr>
      <w:r>
        <w:rPr/>
        <w:t>经公司于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月召开的</w:t>
      </w:r>
      <w:r>
        <w:rPr>
          <w:rFonts w:ascii="Times New Roman" w:hAnsi="Times New Roman" w:cs="Times New Roman" w:eastAsia="Times New Roman" w:hint="default"/>
        </w:rPr>
        <w:t>2002</w:t>
      </w:r>
      <w:r>
        <w:rPr/>
        <w:t>年度股东大会表决通过，公司按照</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4,856.25</w:t>
      </w:r>
      <w:r>
        <w:rPr/>
        <w:t>万元为基数，按 </w:t>
      </w:r>
      <w:r>
        <w:rPr>
          <w:rFonts w:ascii="Times New Roman" w:hAnsi="Times New Roman" w:cs="Times New Roman" w:eastAsia="Times New Roman" w:hint="default"/>
          <w:spacing w:val="-1"/>
        </w:rPr>
        <w:t>10</w:t>
      </w:r>
      <w:r>
        <w:rPr>
          <w:spacing w:val="-1"/>
        </w:rPr>
        <w:t>比</w:t>
      </w:r>
      <w:r>
        <w:rPr>
          <w:rFonts w:ascii="Times New Roman" w:hAnsi="Times New Roman" w:cs="Times New Roman" w:eastAsia="Times New Roman" w:hint="default"/>
          <w:spacing w:val="-1"/>
        </w:rPr>
        <w:t>1</w:t>
      </w:r>
      <w:r>
        <w:rPr>
          <w:spacing w:val="-1"/>
        </w:rPr>
        <w:t>的比例向公司的全体股东派送红股，共增加股本</w:t>
      </w:r>
      <w:r>
        <w:rPr>
          <w:rFonts w:ascii="Times New Roman" w:hAnsi="Times New Roman" w:cs="Times New Roman" w:eastAsia="Times New Roman" w:hint="default"/>
          <w:spacing w:val="-1"/>
        </w:rPr>
        <w:t>485.625</w:t>
      </w:r>
      <w:r>
        <w:rPr>
          <w:spacing w:val="-1"/>
        </w:rPr>
        <w:t>万元。该增资事项完成后，公司的股本增加为人民币</w:t>
      </w:r>
      <w:r>
        <w:rPr>
          <w:rFonts w:ascii="Times New Roman" w:hAnsi="Times New Roman" w:cs="Times New Roman" w:eastAsia="Times New Roman" w:hint="default"/>
          <w:spacing w:val="-1"/>
        </w:rPr>
        <w:t>5,341.875</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万元。</w:t>
      </w:r>
    </w:p>
    <w:p>
      <w:pPr>
        <w:pStyle w:val="BodyText"/>
        <w:spacing w:line="300" w:lineRule="auto" w:before="72"/>
        <w:ind w:right="1132" w:firstLine="420"/>
        <w:jc w:val="both"/>
      </w:pPr>
      <w:r>
        <w:rPr>
          <w:spacing w:val="-1"/>
        </w:rPr>
        <w:t>经公司于</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3</w:t>
      </w:r>
      <w:r>
        <w:rPr>
          <w:spacing w:val="-1"/>
        </w:rPr>
        <w:t>月召开的</w:t>
      </w:r>
      <w:r>
        <w:rPr>
          <w:rFonts w:ascii="Times New Roman" w:hAnsi="Times New Roman" w:cs="Times New Roman" w:eastAsia="Times New Roman" w:hint="default"/>
          <w:spacing w:val="-1"/>
        </w:rPr>
        <w:t>2004</w:t>
      </w:r>
      <w:r>
        <w:rPr>
          <w:spacing w:val="-1"/>
        </w:rPr>
        <w:t>年度股东大会表决通过，公司按照</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日的股本总额</w:t>
      </w:r>
      <w:r>
        <w:rPr>
          <w:rFonts w:ascii="Times New Roman" w:hAnsi="Times New Roman" w:cs="Times New Roman" w:eastAsia="Times New Roman" w:hint="default"/>
          <w:spacing w:val="-1"/>
        </w:rPr>
        <w:t>5,341.875</w:t>
      </w:r>
      <w:r>
        <w:rPr>
          <w:spacing w:val="-1"/>
        </w:rPr>
        <w:t>万元为基数，按</w:t>
      </w:r>
      <w:r>
        <w:rPr/>
        <w:t> </w:t>
      </w:r>
      <w:r>
        <w:rPr>
          <w:rFonts w:ascii="Times New Roman" w:hAnsi="Times New Roman" w:cs="Times New Roman" w:eastAsia="Times New Roman" w:hint="default"/>
          <w:spacing w:val="-4"/>
        </w:rPr>
        <w:t>10</w:t>
      </w:r>
      <w:r>
        <w:rPr>
          <w:spacing w:val="-4"/>
        </w:rPr>
        <w:t>比</w:t>
      </w:r>
      <w:r>
        <w:rPr>
          <w:rFonts w:ascii="Times New Roman" w:hAnsi="Times New Roman" w:cs="Times New Roman" w:eastAsia="Times New Roman" w:hint="default"/>
          <w:spacing w:val="-4"/>
        </w:rPr>
        <w:t>1</w:t>
      </w:r>
      <w:r>
        <w:rPr>
          <w:spacing w:val="-4"/>
        </w:rPr>
        <w:t>的比例向公司的全体股东派送红股，共增加股本</w:t>
      </w:r>
      <w:r>
        <w:rPr>
          <w:rFonts w:ascii="Times New Roman" w:hAnsi="Times New Roman" w:cs="Times New Roman" w:eastAsia="Times New Roman" w:hint="default"/>
          <w:spacing w:val="-4"/>
        </w:rPr>
        <w:t>534.1875</w:t>
      </w:r>
      <w:r>
        <w:rPr>
          <w:spacing w:val="-4"/>
        </w:rPr>
        <w:t>万元。该增资事项完成后，公司的股本增加为人民币</w:t>
      </w:r>
      <w:r>
        <w:rPr>
          <w:rFonts w:ascii="Times New Roman" w:hAnsi="Times New Roman" w:cs="Times New Roman" w:eastAsia="Times New Roman" w:hint="default"/>
          <w:spacing w:val="-4"/>
        </w:rPr>
        <w:t>5,876.0625</w:t>
      </w:r>
      <w:r>
        <w:rPr>
          <w:rFonts w:ascii="Times New Roman" w:hAnsi="Times New Roman" w:cs="Times New Roman" w:eastAsia="Times New Roman" w:hint="default"/>
        </w:rPr>
        <w:t> </w:t>
      </w:r>
      <w:r>
        <w:rPr>
          <w:rFonts w:ascii="Times New Roman" w:hAnsi="Times New Roman" w:cs="Times New Roman" w:eastAsia="Times New Roman" w:hint="default"/>
        </w:rPr>
      </w:r>
      <w:r>
        <w:rPr/>
        <w:t>万元。</w:t>
      </w:r>
    </w:p>
    <w:p>
      <w:pPr>
        <w:pStyle w:val="BodyText"/>
        <w:spacing w:line="300" w:lineRule="auto" w:before="72"/>
        <w:ind w:right="1131" w:firstLine="420"/>
        <w:jc w:val="both"/>
      </w:pPr>
      <w:r>
        <w:rPr/>
        <w:t>经公司于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月召开的</w:t>
      </w:r>
      <w:r>
        <w:rPr>
          <w:rFonts w:ascii="Times New Roman" w:hAnsi="Times New Roman" w:cs="Times New Roman" w:eastAsia="Times New Roman" w:hint="default"/>
        </w:rPr>
        <w:t>2005</w:t>
      </w:r>
      <w:r>
        <w:rPr/>
        <w:t>年度股东大会表决通过，公司按照</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5,876.0625</w:t>
      </w:r>
      <w:r>
        <w:rPr/>
        <w:t>万元为基数， </w:t>
      </w:r>
      <w:r>
        <w:rPr>
          <w:spacing w:val="6"/>
        </w:rPr>
        <w:t>按</w:t>
      </w:r>
      <w:r>
        <w:rPr>
          <w:rFonts w:ascii="Times New Roman" w:hAnsi="Times New Roman" w:cs="Times New Roman" w:eastAsia="Times New Roman" w:hint="default"/>
          <w:spacing w:val="6"/>
        </w:rPr>
        <w:t>10</w:t>
      </w:r>
      <w:r>
        <w:rPr>
          <w:spacing w:val="6"/>
        </w:rPr>
        <w:t>比</w:t>
      </w:r>
      <w:r>
        <w:rPr>
          <w:rFonts w:ascii="Times New Roman" w:hAnsi="Times New Roman" w:cs="Times New Roman" w:eastAsia="Times New Roman" w:hint="default"/>
          <w:spacing w:val="6"/>
        </w:rPr>
        <w:t>1</w:t>
      </w:r>
      <w:r>
        <w:rPr>
          <w:spacing w:val="6"/>
        </w:rPr>
        <w:t>的比例向公司的全体股东派送红股，共增加股本</w:t>
      </w:r>
      <w:r>
        <w:rPr>
          <w:rFonts w:ascii="Times New Roman" w:hAnsi="Times New Roman" w:cs="Times New Roman" w:eastAsia="Times New Roman" w:hint="default"/>
          <w:spacing w:val="6"/>
        </w:rPr>
        <w:t>587.6062</w:t>
      </w:r>
      <w:r>
        <w:rPr>
          <w:spacing w:val="6"/>
        </w:rPr>
        <w:t>万元。该增资事项完成后，公司的股本增加为人民币</w:t>
      </w:r>
      <w:r>
        <w:rPr>
          <w:spacing w:val="-39"/>
        </w:rPr>
        <w:t> </w:t>
      </w:r>
      <w:r>
        <w:rPr>
          <w:spacing w:val="-39"/>
        </w:rPr>
      </w:r>
      <w:r>
        <w:rPr>
          <w:rFonts w:ascii="Times New Roman" w:hAnsi="Times New Roman" w:cs="Times New Roman" w:eastAsia="Times New Roman" w:hint="default"/>
        </w:rPr>
        <w:t>6,463.6687</w:t>
      </w:r>
      <w:r>
        <w:rPr/>
        <w:t>万元。</w:t>
      </w:r>
    </w:p>
    <w:p>
      <w:pPr>
        <w:pStyle w:val="BodyText"/>
        <w:spacing w:line="300" w:lineRule="auto" w:before="53"/>
        <w:ind w:right="1132" w:firstLine="42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月，根据中国证券监督管理委员会于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日下发的《关于核准北京东华合创数码科技股份有限公司首 次公开发行股票的通知》（文号为</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[2006]55</w:t>
      </w:r>
      <w:r>
        <w:rPr/>
        <w:t>号</w:t>
      </w:r>
      <w:r>
        <w:rPr>
          <w:rFonts w:ascii="Times New Roman" w:hAnsi="Times New Roman" w:cs="Times New Roman" w:eastAsia="Times New Roman" w:hint="default"/>
        </w:rPr>
        <w:t>”</w:t>
      </w:r>
      <w:r>
        <w:rPr/>
        <w:t>）的规定，公司于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日前完成了向境内投资者首次公</w:t>
      </w:r>
      <w:r>
        <w:rPr>
          <w:spacing w:val="-16"/>
        </w:rPr>
        <w:t> </w:t>
      </w:r>
      <w:r>
        <w:rPr>
          <w:spacing w:val="-16"/>
        </w:rPr>
      </w:r>
      <w:r>
        <w:rPr/>
        <w:t>开发行</w:t>
      </w:r>
      <w:r>
        <w:rPr>
          <w:rFonts w:ascii="Times New Roman" w:hAnsi="Times New Roman" w:cs="Times New Roman" w:eastAsia="Times New Roman" w:hint="default"/>
        </w:rPr>
        <w:t>21,600,000</w:t>
      </w:r>
      <w:r>
        <w:rPr/>
        <w:t>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股票的工作（发行价格为</w:t>
      </w:r>
      <w:r>
        <w:rPr>
          <w:rFonts w:ascii="Times New Roman" w:hAnsi="Times New Roman" w:cs="Times New Roman" w:eastAsia="Times New Roman" w:hint="default"/>
        </w:rPr>
        <w:t>14.50</w:t>
      </w:r>
      <w:r>
        <w:rPr/>
        <w:t>元</w:t>
      </w:r>
      <w:r>
        <w:rPr>
          <w:rFonts w:ascii="Times New Roman" w:hAnsi="Times New Roman" w:cs="Times New Roman" w:eastAsia="Times New Roman" w:hint="default"/>
        </w:rPr>
        <w:t>/</w:t>
      </w:r>
      <w:r>
        <w:rPr/>
        <w:t>股）。经过上述股份变更事项后，公司股本为人民币</w:t>
      </w:r>
      <w:r>
        <w:rPr>
          <w:spacing w:val="-76"/>
        </w:rPr>
        <w:t> </w:t>
      </w:r>
      <w:r>
        <w:rPr>
          <w:spacing w:val="-76"/>
        </w:rPr>
      </w:r>
      <w:r>
        <w:rPr>
          <w:rFonts w:ascii="Times New Roman" w:hAnsi="Times New Roman" w:cs="Times New Roman" w:eastAsia="Times New Roman" w:hint="default"/>
        </w:rPr>
        <w:t>8,623.6687</w:t>
      </w:r>
      <w:r>
        <w:rPr/>
        <w:t>万元。</w:t>
      </w:r>
    </w:p>
    <w:p>
      <w:pPr>
        <w:pStyle w:val="BodyText"/>
        <w:spacing w:line="300" w:lineRule="auto" w:before="53"/>
        <w:ind w:right="1129" w:firstLine="420"/>
        <w:jc w:val="both"/>
      </w:pPr>
      <w:r>
        <w:rPr/>
        <w:t>经公司于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月召开的</w:t>
      </w:r>
      <w:r>
        <w:rPr>
          <w:rFonts w:ascii="Times New Roman" w:hAnsi="Times New Roman" w:cs="Times New Roman" w:eastAsia="Times New Roman" w:hint="default"/>
        </w:rPr>
        <w:t>2006</w:t>
      </w:r>
      <w:r>
        <w:rPr/>
        <w:t>年度股东大会表决通过，公司按照</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8,623.6687</w:t>
      </w:r>
      <w:r>
        <w:rPr/>
        <w:t>万元为基数， 按</w:t>
      </w:r>
      <w:r>
        <w:rPr>
          <w:rFonts w:ascii="Times New Roman" w:hAnsi="Times New Roman" w:cs="Times New Roman" w:eastAsia="Times New Roman" w:hint="default"/>
        </w:rPr>
        <w:t>10</w:t>
      </w:r>
      <w:r>
        <w:rPr/>
        <w:t>比</w:t>
      </w:r>
      <w:r>
        <w:rPr>
          <w:rFonts w:ascii="Times New Roman" w:hAnsi="Times New Roman" w:cs="Times New Roman" w:eastAsia="Times New Roman" w:hint="default"/>
        </w:rPr>
        <w:t>5</w:t>
      </w:r>
      <w:r>
        <w:rPr/>
        <w:t>的比例以资本公积转增股本，共增加股本</w:t>
      </w:r>
      <w:r>
        <w:rPr>
          <w:rFonts w:ascii="Times New Roman" w:hAnsi="Times New Roman" w:cs="Times New Roman" w:eastAsia="Times New Roman" w:hint="default"/>
        </w:rPr>
        <w:t>4,311.8343</w:t>
      </w:r>
      <w:r>
        <w:rPr/>
        <w:t>万元。该增资事项完成后，公司的股本增加为人民币</w:t>
      </w:r>
      <w:r>
        <w:rPr>
          <w:rFonts w:ascii="Times New Roman" w:hAnsi="Times New Roman" w:cs="Times New Roman" w:eastAsia="Times New Roman" w:hint="default"/>
        </w:rPr>
        <w:t>12,935.503</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万元。</w:t>
      </w:r>
    </w:p>
    <w:p>
      <w:pPr>
        <w:pStyle w:val="BodyText"/>
        <w:spacing w:line="300" w:lineRule="auto" w:before="72"/>
        <w:ind w:right="1040" w:firstLine="42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月，根据公司</w:t>
      </w:r>
      <w:r>
        <w:rPr>
          <w:rFonts w:ascii="Times New Roman" w:hAnsi="Times New Roman" w:cs="Times New Roman" w:eastAsia="Times New Roman" w:hint="default"/>
        </w:rPr>
        <w:t>2007</w:t>
      </w:r>
      <w:r>
        <w:rPr/>
        <w:t>年第一次临时股东大会决议和修改后章程以及中国证券监督管理委员会于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日下</w:t>
      </w:r>
      <w:r>
        <w:rPr>
          <w:spacing w:val="1"/>
        </w:rPr>
        <w:t> </w:t>
      </w:r>
      <w:r>
        <w:rPr>
          <w:spacing w:val="-2"/>
        </w:rPr>
        <w:t>发的《关于核准北京东华合创数码科技股份有限公司向秦劳、翟曙春、柏红、胡明炜、谢坤等</w:t>
      </w:r>
      <w:r>
        <w:rPr>
          <w:rFonts w:ascii="Times New Roman" w:hAnsi="Times New Roman" w:cs="Times New Roman" w:eastAsia="Times New Roman" w:hint="default"/>
          <w:spacing w:val="-2"/>
        </w:rPr>
        <w:t>5</w:t>
      </w:r>
      <w:r>
        <w:rPr>
          <w:spacing w:val="-2"/>
        </w:rPr>
        <w:t>人发行新股购买资产的批复》</w:t>
      </w:r>
    </w:p>
    <w:p>
      <w:pPr>
        <w:pStyle w:val="BodyText"/>
        <w:spacing w:line="309" w:lineRule="auto" w:before="13"/>
        <w:ind w:right="1130"/>
        <w:jc w:val="both"/>
      </w:pPr>
      <w:r>
        <w:rPr/>
        <w:t>（文号为</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[2008]78</w:t>
      </w:r>
      <w:r>
        <w:rPr/>
        <w:t>号</w:t>
      </w:r>
      <w:r>
        <w:rPr>
          <w:rFonts w:ascii="Times New Roman" w:hAnsi="Times New Roman" w:cs="Times New Roman" w:eastAsia="Times New Roman" w:hint="default"/>
        </w:rPr>
        <w:t>”</w:t>
      </w:r>
      <w:r>
        <w:rPr/>
        <w:t>）的规定，公司申请增加注册资本人民币</w:t>
      </w:r>
      <w:r>
        <w:rPr>
          <w:spacing w:val="55"/>
        </w:rPr>
        <w:t> </w:t>
      </w:r>
      <w:r>
        <w:rPr>
          <w:rFonts w:ascii="Times New Roman" w:hAnsi="Times New Roman" w:cs="Times New Roman" w:eastAsia="Times New Roman" w:hint="default"/>
        </w:rPr>
        <w:t>1,264</w:t>
      </w:r>
      <w:r>
        <w:rPr/>
        <w:t>万元，划分为每股人民币</w:t>
      </w:r>
      <w:r>
        <w:rPr>
          <w:rFonts w:ascii="Times New Roman" w:hAnsi="Times New Roman" w:cs="Times New Roman" w:eastAsia="Times New Roman" w:hint="default"/>
        </w:rPr>
        <w:t>1</w:t>
      </w:r>
      <w:r>
        <w:rPr/>
        <w:t>元的普通股</w:t>
      </w:r>
      <w:r>
        <w:rPr>
          <w:rFonts w:ascii="Times New Roman" w:hAnsi="Times New Roman" w:cs="Times New Roman" w:eastAsia="Times New Roman" w:hint="default"/>
        </w:rPr>
        <w:t>1,264</w:t>
      </w:r>
      <w:r>
        <w:rPr>
          <w:rFonts w:ascii="Times New Roman" w:hAnsi="Times New Roman" w:cs="Times New Roman" w:eastAsia="Times New Roman" w:hint="default"/>
          <w:spacing w:val="-26"/>
        </w:rPr>
        <w:t> </w:t>
      </w:r>
      <w:r>
        <w:rPr>
          <w:spacing w:val="-2"/>
        </w:rPr>
        <w:t>万股，由自然人秦劳、翟曙春、柏红、胡明炜、谢坤等五人以所持有的北京联银通科技有限公司的股权认购，变更后的注册</w:t>
      </w:r>
      <w:r>
        <w:rPr>
          <w:spacing w:val="-68"/>
        </w:rPr>
        <w:t> </w:t>
      </w:r>
      <w:r>
        <w:rPr>
          <w:spacing w:val="-68"/>
        </w:rPr>
      </w:r>
      <w:r>
        <w:rPr/>
        <w:t>资本为人民币</w:t>
      </w:r>
      <w:r>
        <w:rPr>
          <w:rFonts w:ascii="Times New Roman" w:hAnsi="Times New Roman" w:cs="Times New Roman" w:eastAsia="Times New Roman" w:hint="default"/>
        </w:rPr>
        <w:t>14,199.503</w:t>
      </w:r>
      <w:r>
        <w:rPr/>
        <w:t>万元。经过上述股份变更事项后，公司股本为人民币</w:t>
      </w:r>
      <w:r>
        <w:rPr>
          <w:rFonts w:ascii="Times New Roman" w:hAnsi="Times New Roman" w:cs="Times New Roman" w:eastAsia="Times New Roman" w:hint="default"/>
        </w:rPr>
        <w:t>14,199.503</w:t>
      </w:r>
      <w:r>
        <w:rPr/>
        <w:t>万元。</w:t>
      </w:r>
    </w:p>
    <w:p>
      <w:pPr>
        <w:pStyle w:val="BodyText"/>
        <w:spacing w:line="300" w:lineRule="auto" w:before="46"/>
        <w:ind w:right="1132" w:firstLine="420"/>
        <w:jc w:val="both"/>
      </w:pPr>
      <w:r>
        <w:rPr/>
        <w:t>经公司于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月召开的</w:t>
      </w:r>
      <w:r>
        <w:rPr>
          <w:rFonts w:ascii="Times New Roman" w:hAnsi="Times New Roman" w:cs="Times New Roman" w:eastAsia="Times New Roman" w:hint="default"/>
        </w:rPr>
        <w:t>2007</w:t>
      </w:r>
      <w:r>
        <w:rPr/>
        <w:t>年度股东大会表决通过，公司按照</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日的股份总额</w:t>
      </w:r>
      <w:r>
        <w:rPr>
          <w:spacing w:val="-52"/>
        </w:rPr>
        <w:t> </w:t>
      </w:r>
      <w:r>
        <w:rPr>
          <w:rFonts w:ascii="Times New Roman" w:hAnsi="Times New Roman" w:cs="Times New Roman" w:eastAsia="Times New Roman" w:hint="default"/>
        </w:rPr>
        <w:t>12,935.503</w:t>
      </w:r>
      <w:r>
        <w:rPr/>
        <w:t>万股及向自然 </w:t>
      </w:r>
      <w:r>
        <w:rPr>
          <w:spacing w:val="-2"/>
        </w:rPr>
        <w:t>人秦劳、翟曙春、柏红、胡明炜、谢坤等五人定向增发</w:t>
      </w:r>
      <w:r>
        <w:rPr>
          <w:rFonts w:ascii="Times New Roman" w:hAnsi="Times New Roman" w:cs="Times New Roman" w:eastAsia="Times New Roman" w:hint="default"/>
          <w:spacing w:val="-2"/>
        </w:rPr>
        <w:t>1,264</w:t>
      </w:r>
      <w:r>
        <w:rPr>
          <w:spacing w:val="-2"/>
        </w:rPr>
        <w:t>万股共计</w:t>
      </w:r>
      <w:r>
        <w:rPr>
          <w:rFonts w:ascii="Times New Roman" w:hAnsi="Times New Roman" w:cs="Times New Roman" w:eastAsia="Times New Roman" w:hint="default"/>
          <w:spacing w:val="-2"/>
        </w:rPr>
        <w:t>14,199.503</w:t>
      </w:r>
      <w:r>
        <w:rPr>
          <w:spacing w:val="-2"/>
        </w:rPr>
        <w:t>万股为基数，以资本公积按</w:t>
      </w:r>
      <w:r>
        <w:rPr>
          <w:rFonts w:ascii="Times New Roman" w:hAnsi="Times New Roman" w:cs="Times New Roman" w:eastAsia="Times New Roman" w:hint="default"/>
          <w:spacing w:val="-2"/>
        </w:rPr>
        <w:t>10:10</w:t>
      </w:r>
      <w:r>
        <w:rPr>
          <w:spacing w:val="-2"/>
        </w:rPr>
        <w:t>的比例向全</w:t>
      </w:r>
      <w:r>
        <w:rPr>
          <w:spacing w:val="-53"/>
        </w:rPr>
        <w:t> </w:t>
      </w:r>
      <w:r>
        <w:rPr>
          <w:spacing w:val="-53"/>
        </w:rPr>
      </w:r>
      <w:r>
        <w:rPr/>
        <w:t>体股东转增股本，共增加股本</w:t>
      </w:r>
      <w:r>
        <w:rPr>
          <w:rFonts w:ascii="Times New Roman" w:hAnsi="Times New Roman" w:cs="Times New Roman" w:eastAsia="Times New Roman" w:hint="default"/>
        </w:rPr>
        <w:t>14,199.503</w:t>
      </w:r>
      <w:r>
        <w:rPr/>
        <w:t>万元。该增资事项完成后，公司的股本增加为人民币</w:t>
      </w:r>
      <w:r>
        <w:rPr>
          <w:spacing w:val="-20"/>
        </w:rPr>
        <w:t> </w:t>
      </w:r>
      <w:r>
        <w:rPr>
          <w:rFonts w:ascii="Times New Roman" w:hAnsi="Times New Roman" w:cs="Times New Roman" w:eastAsia="Times New Roman" w:hint="default"/>
        </w:rPr>
        <w:t>28,399.006</w:t>
      </w:r>
      <w:r>
        <w:rPr/>
        <w:t>万元。</w:t>
      </w:r>
    </w:p>
    <w:p>
      <w:pPr>
        <w:pStyle w:val="BodyText"/>
        <w:spacing w:line="300" w:lineRule="auto" w:before="53"/>
        <w:ind w:right="1130" w:firstLine="420"/>
        <w:jc w:val="both"/>
      </w:pPr>
      <w:r>
        <w:rPr/>
        <w:t>经公司于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月召开的</w:t>
      </w:r>
      <w:r>
        <w:rPr>
          <w:rFonts w:ascii="Times New Roman" w:hAnsi="Times New Roman" w:cs="Times New Roman" w:eastAsia="Times New Roman" w:hint="default"/>
        </w:rPr>
        <w:t>2008</w:t>
      </w:r>
      <w:r>
        <w:rPr/>
        <w:t>年度股东大会表决通过，公司按照</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28,399.006</w:t>
      </w:r>
      <w:r>
        <w:rPr/>
        <w:t>万元为基数， 按</w:t>
      </w:r>
      <w:r>
        <w:rPr>
          <w:rFonts w:ascii="Times New Roman" w:hAnsi="Times New Roman" w:cs="Times New Roman" w:eastAsia="Times New Roman" w:hint="default"/>
        </w:rPr>
        <w:t>10</w:t>
      </w:r>
      <w:r>
        <w:rPr/>
        <w:t>比</w:t>
      </w:r>
      <w:r>
        <w:rPr>
          <w:rFonts w:ascii="Times New Roman" w:hAnsi="Times New Roman" w:cs="Times New Roman" w:eastAsia="Times New Roman" w:hint="default"/>
        </w:rPr>
        <w:t>3</w:t>
      </w:r>
      <w:r>
        <w:rPr/>
        <w:t>的比例以资本公积转增股本，按</w:t>
      </w:r>
      <w:r>
        <w:rPr>
          <w:rFonts w:ascii="Times New Roman" w:hAnsi="Times New Roman" w:cs="Times New Roman" w:eastAsia="Times New Roman" w:hint="default"/>
        </w:rPr>
        <w:t>10</w:t>
      </w:r>
      <w:r>
        <w:rPr/>
        <w:t>比</w:t>
      </w:r>
      <w:r>
        <w:rPr>
          <w:rFonts w:ascii="Times New Roman" w:hAnsi="Times New Roman" w:cs="Times New Roman" w:eastAsia="Times New Roman" w:hint="default"/>
        </w:rPr>
        <w:t>2</w:t>
      </w:r>
      <w:r>
        <w:rPr/>
        <w:t>的比例向公司的全体股东派送红股，共增加股本</w:t>
      </w:r>
      <w:r>
        <w:rPr>
          <w:rFonts w:ascii="Times New Roman" w:hAnsi="Times New Roman" w:cs="Times New Roman" w:eastAsia="Times New Roman" w:hint="default"/>
        </w:rPr>
        <w:t>14,199.503</w:t>
      </w:r>
      <w:r>
        <w:rPr/>
        <w:t>万元。该增资事项</w:t>
      </w:r>
      <w:r>
        <w:rPr>
          <w:spacing w:val="-84"/>
        </w:rPr>
        <w:t> </w:t>
      </w:r>
      <w:r>
        <w:rPr/>
        <w:t>完成后，公司的股本增加为人民币</w:t>
      </w:r>
      <w:r>
        <w:rPr>
          <w:rFonts w:ascii="Times New Roman" w:hAnsi="Times New Roman" w:cs="Times New Roman" w:eastAsia="Times New Roman" w:hint="default"/>
        </w:rPr>
        <w:t>42,598.509</w:t>
      </w:r>
      <w:r>
        <w:rPr/>
        <w:t>万元。</w:t>
      </w:r>
    </w:p>
    <w:p>
      <w:pPr>
        <w:pStyle w:val="BodyText"/>
        <w:spacing w:line="300" w:lineRule="auto" w:before="54"/>
        <w:ind w:right="1132" w:firstLine="420"/>
        <w:jc w:val="both"/>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日，经北京市工商行政管理局核准变更登记，公司名称由</w:t>
      </w:r>
      <w:r>
        <w:rPr>
          <w:rFonts w:ascii="Times New Roman" w:hAnsi="Times New Roman" w:cs="Times New Roman" w:eastAsia="Times New Roman" w:hint="default"/>
          <w:spacing w:val="-2"/>
        </w:rPr>
        <w:t>“</w:t>
      </w:r>
      <w:r>
        <w:rPr>
          <w:spacing w:val="-2"/>
        </w:rPr>
        <w:t>北京东华合创数码科技股份有限公司</w:t>
      </w:r>
      <w:r>
        <w:rPr>
          <w:rFonts w:ascii="Times New Roman" w:hAnsi="Times New Roman" w:cs="Times New Roman" w:eastAsia="Times New Roman" w:hint="default"/>
          <w:spacing w:val="-2"/>
        </w:rPr>
        <w:t>”</w:t>
      </w:r>
      <w:r>
        <w:rPr>
          <w:spacing w:val="-2"/>
        </w:rPr>
        <w:t>变更为</w:t>
      </w:r>
      <w:r>
        <w:rPr>
          <w:rFonts w:ascii="Times New Roman" w:hAnsi="Times New Roman" w:cs="Times New Roman" w:eastAsia="Times New Roman" w:hint="default"/>
          <w:spacing w:val="-2"/>
        </w:rPr>
        <w:t>“</w:t>
      </w:r>
      <w:r>
        <w:rPr>
          <w:spacing w:val="-2"/>
        </w:rPr>
        <w:t>东</w:t>
      </w:r>
      <w:r>
        <w:rPr/>
        <w:t> 华软件股份公司</w:t>
      </w:r>
      <w:r>
        <w:rPr>
          <w:rFonts w:ascii="Times New Roman" w:hAnsi="Times New Roman" w:cs="Times New Roman" w:eastAsia="Times New Roman" w:hint="default"/>
        </w:rPr>
        <w:t>”</w:t>
      </w:r>
      <w:r>
        <w:rPr/>
        <w:t>。</w:t>
      </w:r>
    </w:p>
    <w:p>
      <w:pPr>
        <w:pStyle w:val="BodyText"/>
        <w:spacing w:line="240" w:lineRule="auto" w:before="53"/>
        <w:ind w:left="574" w:right="0"/>
        <w:jc w:val="left"/>
      </w:pPr>
      <w:r>
        <w:rPr/>
        <w:t>根据中国证券监督管理委员会于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日下发</w:t>
      </w:r>
      <w:r>
        <w:rPr>
          <w:spacing w:val="-47"/>
        </w:rPr>
        <w:t>的</w:t>
      </w:r>
      <w:r>
        <w:rPr/>
        <w:t>《关于核准东华软件股份公司发行股份购买资产的批复</w:t>
      </w:r>
      <w:r>
        <w:rPr>
          <w:spacing w:val="-94"/>
        </w:rPr>
        <w:t>》</w:t>
      </w:r>
      <w:r>
        <w:rPr/>
        <w:t>（</w:t>
      </w:r>
      <w:r>
        <w:rPr>
          <w:spacing w:val="-2"/>
        </w:rPr>
        <w:t>文</w:t>
      </w:r>
      <w:r>
        <w:rPr/>
        <w:t>号：</w:t>
      </w:r>
    </w:p>
    <w:p>
      <w:pPr>
        <w:pStyle w:val="BodyText"/>
        <w:spacing w:line="240" w:lineRule="auto" w:before="63"/>
        <w:ind w:left="154" w:right="0"/>
        <w:jc w:val="both"/>
      </w:pP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[2011]96</w:t>
      </w:r>
      <w:r>
        <w:rPr/>
        <w:t>号</w:t>
      </w:r>
      <w:r>
        <w:rPr>
          <w:rFonts w:ascii="Times New Roman" w:hAnsi="Times New Roman" w:cs="Times New Roman" w:eastAsia="Times New Roman" w:hint="default"/>
        </w:rPr>
        <w:t>”</w:t>
      </w:r>
      <w:r>
        <w:rPr/>
        <w:t>）的规定，按照公司与北京神州新桥科技有限公司自然人股东张秀珍、张建华、江海标、王佺、吕兴</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jc w:val="both"/>
      </w:pPr>
      <w:r>
        <w:rPr/>
        <w:t>海五人确定的交易价格</w:t>
      </w:r>
      <w:r>
        <w:rPr>
          <w:rFonts w:ascii="Times New Roman" w:hAnsi="Times New Roman" w:cs="Times New Roman" w:eastAsia="Times New Roman" w:hint="default"/>
        </w:rPr>
        <w:t>32,000</w:t>
      </w:r>
      <w:r>
        <w:rPr/>
        <w:t>万元，公司以</w:t>
      </w:r>
      <w:r>
        <w:rPr>
          <w:rFonts w:ascii="Times New Roman" w:hAnsi="Times New Roman" w:cs="Times New Roman" w:eastAsia="Times New Roman" w:hint="default"/>
        </w:rPr>
        <w:t>19.63</w:t>
      </w:r>
      <w:r>
        <w:rPr/>
        <w:t>元</w:t>
      </w:r>
      <w:r>
        <w:rPr>
          <w:rFonts w:ascii="Times New Roman" w:hAnsi="Times New Roman" w:cs="Times New Roman" w:eastAsia="Times New Roman" w:hint="default"/>
        </w:rPr>
        <w:t>/</w:t>
      </w:r>
      <w:r>
        <w:rPr/>
        <w:t>股的价格向张秀珍、张建华、江海标、王佺、吕兴海五人合计发行股份</w:t>
      </w:r>
      <w:r>
        <w:rPr>
          <w:spacing w:val="-52"/>
        </w:rPr>
        <w:t> </w:t>
      </w:r>
      <w:r>
        <w:rPr>
          <w:spacing w:val="-52"/>
        </w:rPr>
      </w:r>
      <w:r>
        <w:rPr>
          <w:rFonts w:ascii="Times New Roman" w:hAnsi="Times New Roman" w:cs="Times New Roman" w:eastAsia="Times New Roman" w:hint="default"/>
          <w:spacing w:val="-1"/>
        </w:rPr>
        <w:t>16,301,577</w:t>
      </w:r>
      <w:r>
        <w:rPr>
          <w:spacing w:val="-1"/>
        </w:rPr>
        <w:t>股，作为公司收购北京神州新桥科技有限公司</w:t>
      </w:r>
      <w:r>
        <w:rPr>
          <w:rFonts w:ascii="Times New Roman" w:hAnsi="Times New Roman" w:cs="Times New Roman" w:eastAsia="Times New Roman" w:hint="default"/>
          <w:spacing w:val="-1"/>
        </w:rPr>
        <w:t>100%</w:t>
      </w:r>
      <w:r>
        <w:rPr>
          <w:spacing w:val="-1"/>
        </w:rPr>
        <w:t>股权的支付对价。根据中登深圳分公司出具的《证券登记确认</w:t>
      </w:r>
      <w:r>
        <w:rPr>
          <w:spacing w:val="-81"/>
        </w:rPr>
        <w:t> </w:t>
      </w:r>
      <w:r>
        <w:rPr>
          <w:spacing w:val="-81"/>
        </w:rPr>
      </w:r>
      <w:r>
        <w:rPr/>
        <w:t>书》，公司于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日办理完毕本次发行股份的证券登记。经过上述股份变更事项后，公司股本为人民币</w:t>
      </w:r>
      <w:r>
        <w:rPr>
          <w:rFonts w:ascii="Times New Roman" w:hAnsi="Times New Roman" w:cs="Times New Roman" w:eastAsia="Times New Roman" w:hint="default"/>
        </w:rPr>
        <w:t>44,228.6667</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万元。</w:t>
      </w:r>
    </w:p>
    <w:p>
      <w:pPr>
        <w:pStyle w:val="BodyText"/>
        <w:spacing w:line="240" w:lineRule="auto" w:before="72"/>
        <w:ind w:left="573" w:right="0"/>
        <w:jc w:val="left"/>
      </w:pPr>
      <w:r>
        <w:rPr/>
        <w:t>经公司于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18</w:t>
      </w:r>
      <w:r>
        <w:rPr/>
        <w:t>日召开的公司</w:t>
      </w:r>
      <w:r>
        <w:rPr>
          <w:rFonts w:ascii="Times New Roman" w:hAnsi="Times New Roman" w:cs="Times New Roman" w:eastAsia="Times New Roman" w:hint="default"/>
        </w:rPr>
        <w:t>2010</w:t>
      </w:r>
      <w:r>
        <w:rPr/>
        <w:t>年度股东大会表决通过，以公司总股本</w:t>
      </w:r>
      <w:r>
        <w:rPr>
          <w:rFonts w:ascii="Times New Roman" w:hAnsi="Times New Roman" w:cs="Times New Roman" w:eastAsia="Times New Roman" w:hint="default"/>
        </w:rPr>
        <w:t>442,286,667</w:t>
      </w:r>
      <w:r>
        <w:rPr/>
        <w:t>股为基数，向全体股东每</w:t>
      </w:r>
    </w:p>
    <w:p>
      <w:pPr>
        <w:pStyle w:val="BodyText"/>
        <w:spacing w:line="340" w:lineRule="auto" w:before="61"/>
        <w:ind w:left="573" w:right="1127" w:hanging="420"/>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股红股，共增加股本</w:t>
      </w:r>
      <w:r>
        <w:rPr>
          <w:rFonts w:ascii="Times New Roman" w:hAnsi="Times New Roman" w:cs="Times New Roman" w:eastAsia="Times New Roman" w:hint="default"/>
        </w:rPr>
        <w:t>8,845.7333</w:t>
      </w:r>
      <w:r>
        <w:rPr/>
        <w:t>万元，变更后公司股本为人民币</w:t>
      </w:r>
      <w:r>
        <w:rPr>
          <w:rFonts w:ascii="Times New Roman" w:hAnsi="Times New Roman" w:cs="Times New Roman" w:eastAsia="Times New Roman" w:hint="default"/>
        </w:rPr>
        <w:t>53,074.4</w:t>
      </w:r>
      <w:r>
        <w:rPr/>
        <w:t>万元。 </w:t>
      </w:r>
      <w:r>
        <w:rPr>
          <w:spacing w:val="-1"/>
        </w:rPr>
        <w:t>经公司于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18</w:t>
      </w:r>
      <w:r>
        <w:rPr>
          <w:spacing w:val="-1"/>
        </w:rPr>
        <w:t>日召开的公司</w:t>
      </w:r>
      <w:r>
        <w:rPr>
          <w:rFonts w:ascii="Times New Roman" w:hAnsi="Times New Roman" w:cs="Times New Roman" w:eastAsia="Times New Roman" w:hint="default"/>
          <w:spacing w:val="-1"/>
        </w:rPr>
        <w:t>2011</w:t>
      </w:r>
      <w:r>
        <w:rPr>
          <w:spacing w:val="-1"/>
        </w:rPr>
        <w:t>年度股东大会表决通过，以公司总股本</w:t>
      </w:r>
      <w:r>
        <w:rPr>
          <w:rFonts w:ascii="Times New Roman" w:hAnsi="Times New Roman" w:cs="Times New Roman" w:eastAsia="Times New Roman" w:hint="default"/>
          <w:spacing w:val="-1"/>
        </w:rPr>
        <w:t>530,744,000</w:t>
      </w:r>
      <w:r>
        <w:rPr>
          <w:spacing w:val="-1"/>
        </w:rPr>
        <w:t>股为基数，向全体股东每</w:t>
      </w:r>
      <w:r>
        <w:rPr>
          <w:rFonts w:ascii="Times New Roman" w:hAnsi="Times New Roman" w:cs="Times New Roman" w:eastAsia="Times New Roman" w:hint="default"/>
          <w:spacing w:val="-1"/>
        </w:rPr>
        <w:t>10</w:t>
      </w:r>
      <w:r>
        <w:rPr>
          <w:rFonts w:ascii="Times New Roman" w:hAnsi="Times New Roman" w:cs="Times New Roman" w:eastAsia="Times New Roman" w:hint="default"/>
        </w:rPr>
      </w:r>
    </w:p>
    <w:p>
      <w:pPr>
        <w:pStyle w:val="BodyText"/>
        <w:spacing w:line="228" w:lineRule="exact"/>
        <w:ind w:right="0"/>
        <w:jc w:val="both"/>
      </w:pPr>
      <w:r>
        <w:rPr/>
        <w:t>股送</w:t>
      </w:r>
      <w:r>
        <w:rPr>
          <w:rFonts w:ascii="Times New Roman" w:hAnsi="Times New Roman" w:cs="Times New Roman" w:eastAsia="Times New Roman" w:hint="default"/>
        </w:rPr>
        <w:t>3</w:t>
      </w:r>
      <w:r>
        <w:rPr/>
        <w:t>股红股，共增加股本</w:t>
      </w:r>
      <w:r>
        <w:rPr>
          <w:rFonts w:ascii="Times New Roman" w:hAnsi="Times New Roman" w:cs="Times New Roman" w:eastAsia="Times New Roman" w:hint="default"/>
        </w:rPr>
        <w:t>15,922.32</w:t>
      </w:r>
      <w:r>
        <w:rPr/>
        <w:t>万元，变更后公司股本为人民币</w:t>
      </w:r>
      <w:r>
        <w:rPr>
          <w:rFonts w:ascii="Times New Roman" w:hAnsi="Times New Roman" w:cs="Times New Roman" w:eastAsia="Times New Roman" w:hint="default"/>
        </w:rPr>
        <w:t>68,996.72</w:t>
      </w:r>
      <w:r>
        <w:rPr/>
        <w:t>万元。</w:t>
      </w:r>
    </w:p>
    <w:p>
      <w:pPr>
        <w:pStyle w:val="BodyText"/>
        <w:spacing w:line="300" w:lineRule="auto" w:before="103"/>
        <w:ind w:right="1130" w:firstLine="420"/>
        <w:jc w:val="both"/>
      </w:pPr>
      <w:r>
        <w:rPr>
          <w:spacing w:val="-1"/>
        </w:rPr>
        <w:t>根据公司股票期权激励计划的规定，</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月公司股票期权激励计划第一期行权的</w:t>
      </w:r>
      <w:r>
        <w:rPr>
          <w:rFonts w:ascii="Times New Roman" w:hAnsi="Times New Roman" w:cs="Times New Roman" w:eastAsia="Times New Roman" w:hint="default"/>
          <w:spacing w:val="-1"/>
        </w:rPr>
        <w:t>432</w:t>
      </w:r>
      <w:r>
        <w:rPr>
          <w:spacing w:val="-1"/>
        </w:rPr>
        <w:t>名激励对象缴纳出资增加注册</w:t>
      </w:r>
      <w:r>
        <w:rPr/>
        <w:t> 资本</w:t>
      </w:r>
      <w:r>
        <w:rPr>
          <w:rFonts w:ascii="Times New Roman" w:hAnsi="Times New Roman" w:cs="Times New Roman" w:eastAsia="Times New Roman" w:hint="default"/>
        </w:rPr>
        <w:t>4,336,410.00</w:t>
      </w:r>
      <w:r>
        <w:rPr/>
        <w:t>元，变更后公司股本为人民币</w:t>
      </w:r>
      <w:r>
        <w:rPr>
          <w:rFonts w:ascii="Times New Roman" w:hAnsi="Times New Roman" w:cs="Times New Roman" w:eastAsia="Times New Roman" w:hint="default"/>
        </w:rPr>
        <w:t>694,303,610</w:t>
      </w:r>
      <w:r>
        <w:rPr/>
        <w:t>元。</w:t>
      </w:r>
    </w:p>
    <w:p>
      <w:pPr>
        <w:pStyle w:val="BodyText"/>
        <w:spacing w:line="300" w:lineRule="auto" w:before="53"/>
        <w:ind w:right="1130" w:firstLine="420"/>
        <w:jc w:val="both"/>
      </w:pPr>
      <w:r>
        <w:rPr>
          <w:spacing w:val="-1"/>
        </w:rPr>
        <w:t>根据公司股票期权激励计划的规定，</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月股票期权激励计划第一期行权的</w:t>
      </w:r>
      <w:r>
        <w:rPr>
          <w:rFonts w:ascii="Times New Roman" w:hAnsi="Times New Roman" w:cs="Times New Roman" w:eastAsia="Times New Roman" w:hint="default"/>
          <w:spacing w:val="-1"/>
        </w:rPr>
        <w:t>1</w:t>
      </w:r>
      <w:r>
        <w:rPr>
          <w:spacing w:val="-1"/>
        </w:rPr>
        <w:t>名激励对象和第二期行权的</w:t>
      </w:r>
      <w:r>
        <w:rPr>
          <w:rFonts w:ascii="Times New Roman" w:hAnsi="Times New Roman" w:cs="Times New Roman" w:eastAsia="Times New Roman" w:hint="default"/>
          <w:spacing w:val="-1"/>
        </w:rPr>
        <w:t>339</w:t>
      </w:r>
      <w:r>
        <w:rPr>
          <w:spacing w:val="-1"/>
        </w:rPr>
        <w:t>名激励</w:t>
      </w:r>
      <w:r>
        <w:rPr/>
        <w:t> 对象出资增加注册资本</w:t>
      </w:r>
      <w:r>
        <w:rPr>
          <w:rFonts w:ascii="Times New Roman" w:hAnsi="Times New Roman" w:cs="Times New Roman" w:eastAsia="Times New Roman" w:hint="default"/>
        </w:rPr>
        <w:t>4,295,460.00</w:t>
      </w:r>
      <w:r>
        <w:rPr/>
        <w:t>元，变更后公司股本为人民币</w:t>
      </w:r>
      <w:r>
        <w:rPr>
          <w:rFonts w:ascii="Times New Roman" w:hAnsi="Times New Roman" w:cs="Times New Roman" w:eastAsia="Times New Roman" w:hint="default"/>
        </w:rPr>
        <w:t>698,599,070</w:t>
      </w:r>
      <w:r>
        <w:rPr/>
        <w:t>元。</w:t>
      </w:r>
    </w:p>
    <w:p>
      <w:pPr>
        <w:pStyle w:val="BodyText"/>
        <w:spacing w:line="240" w:lineRule="auto" w:before="53"/>
        <w:ind w:left="573" w:right="0"/>
        <w:jc w:val="left"/>
      </w:pPr>
      <w:r>
        <w:rPr/>
        <w:t>经中国证券监督管理委员会证监许可</w:t>
      </w:r>
      <w:r>
        <w:rPr>
          <w:rFonts w:ascii="Times New Roman" w:hAnsi="Times New Roman" w:cs="Times New Roman" w:eastAsia="Times New Roman" w:hint="default"/>
        </w:rPr>
        <w:t>[2013]845</w:t>
      </w:r>
      <w:r>
        <w:rPr/>
        <w:t>号文核准，公司于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26 </w:t>
      </w:r>
      <w:r>
        <w:rPr/>
        <w:t>日公开发行了 </w:t>
      </w:r>
      <w:r>
        <w:rPr>
          <w:rFonts w:ascii="Times New Roman" w:hAnsi="Times New Roman" w:cs="Times New Roman" w:eastAsia="Times New Roman" w:hint="default"/>
        </w:rPr>
        <w:t>1,000 </w:t>
      </w:r>
      <w:r>
        <w:rPr>
          <w:rFonts w:ascii="Times New Roman" w:hAnsi="Times New Roman" w:cs="Times New Roman" w:eastAsia="Times New Roman" w:hint="default"/>
          <w:spacing w:val="2"/>
        </w:rPr>
        <w:t> </w:t>
      </w:r>
      <w:r>
        <w:rPr/>
        <w:t>万张可转换公</w:t>
      </w:r>
    </w:p>
    <w:p>
      <w:pPr>
        <w:pStyle w:val="BodyText"/>
        <w:spacing w:line="300" w:lineRule="auto" w:before="63"/>
        <w:ind w:right="1102"/>
        <w:jc w:val="both"/>
      </w:pPr>
      <w:r>
        <w:rPr/>
        <w:t>司债券，每张面值 </w:t>
      </w:r>
      <w:r>
        <w:rPr>
          <w:rFonts w:ascii="Times New Roman" w:hAnsi="Times New Roman" w:cs="Times New Roman" w:eastAsia="Times New Roman" w:hint="default"/>
        </w:rPr>
        <w:t>100</w:t>
      </w:r>
      <w:r>
        <w:rPr/>
        <w:t>元，发行总额</w:t>
      </w:r>
      <w:r>
        <w:rPr>
          <w:rFonts w:ascii="Times New Roman" w:hAnsi="Times New Roman" w:cs="Times New Roman" w:eastAsia="Times New Roman" w:hint="default"/>
        </w:rPr>
        <w:t>100,000</w:t>
      </w:r>
      <w:r>
        <w:rPr/>
        <w:t>万元。转股起止日：</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7 </w:t>
      </w:r>
      <w:r>
        <w:rPr/>
        <w:t>日至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42"/>
        </w:rPr>
        <w:t> </w:t>
      </w:r>
      <w:r>
        <w:rPr/>
        <w:t>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30</w:t>
      </w:r>
      <w:r>
        <w:rPr/>
        <w:t>日，可转换公司债券已转股</w:t>
      </w:r>
      <w:r>
        <w:rPr>
          <w:rFonts w:ascii="Times New Roman" w:hAnsi="Times New Roman" w:cs="Times New Roman" w:eastAsia="Times New Roman" w:hint="default"/>
        </w:rPr>
        <w:t>36,442,301</w:t>
      </w:r>
      <w:r>
        <w:rPr/>
        <w:t>股，转股后公司总股本为</w:t>
      </w:r>
      <w:r>
        <w:rPr>
          <w:rFonts w:ascii="Times New Roman" w:hAnsi="Times New Roman" w:cs="Times New Roman" w:eastAsia="Times New Roman" w:hint="default"/>
        </w:rPr>
        <w:t>735,041,371</w:t>
      </w:r>
      <w:r>
        <w:rPr/>
        <w:t>股。根据公司于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日召开的</w:t>
      </w:r>
      <w:r>
        <w:rPr>
          <w:rFonts w:ascii="Times New Roman" w:hAnsi="Times New Roman" w:cs="Times New Roman" w:eastAsia="Times New Roman" w:hint="default"/>
        </w:rPr>
        <w:t>2013</w:t>
      </w:r>
      <w:r>
        <w:rPr/>
        <w:t>年度</w:t>
      </w:r>
      <w:r>
        <w:rPr>
          <w:spacing w:val="-87"/>
        </w:rPr>
        <w:t> </w:t>
      </w:r>
      <w:r>
        <w:rPr/>
        <w:t>股东大会决议，截止股权登记日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日，公司总股本 </w:t>
      </w:r>
      <w:r>
        <w:rPr>
          <w:rFonts w:ascii="Times New Roman" w:hAnsi="Times New Roman" w:cs="Times New Roman" w:eastAsia="Times New Roman" w:hint="default"/>
        </w:rPr>
        <w:t>735,041,371</w:t>
      </w:r>
      <w:r>
        <w:rPr/>
        <w:t>股，以资本公积金向全体股东每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 共计转增</w:t>
      </w:r>
      <w:r>
        <w:rPr>
          <w:rFonts w:ascii="Times New Roman" w:hAnsi="Times New Roman" w:cs="Times New Roman" w:eastAsia="Times New Roman" w:hint="default"/>
        </w:rPr>
        <w:t>735,041,371</w:t>
      </w:r>
      <w:r>
        <w:rPr>
          <w:rFonts w:ascii="Times New Roman" w:hAnsi="Times New Roman" w:cs="Times New Roman" w:eastAsia="Times New Roman" w:hint="default"/>
          <w:spacing w:val="22"/>
        </w:rPr>
        <w:t> </w:t>
      </w:r>
      <w:r>
        <w:rPr/>
        <w:t>股。变更后股本为人民币</w:t>
      </w:r>
      <w:r>
        <w:rPr>
          <w:rFonts w:ascii="Times New Roman" w:hAnsi="Times New Roman" w:cs="Times New Roman" w:eastAsia="Times New Roman" w:hint="default"/>
        </w:rPr>
        <w:t>1,470,082,742</w:t>
      </w:r>
      <w:r>
        <w:rPr/>
        <w:t>元。</w:t>
      </w:r>
    </w:p>
    <w:p>
      <w:pPr>
        <w:pStyle w:val="BodyText"/>
        <w:spacing w:line="300" w:lineRule="auto" w:before="53"/>
        <w:ind w:right="1128" w:firstLine="420"/>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月，根据公司</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6</w:t>
      </w:r>
      <w:r>
        <w:rPr>
          <w:spacing w:val="3"/>
        </w:rPr>
        <w:t>日召开的</w:t>
      </w:r>
      <w:r>
        <w:rPr>
          <w:rFonts w:ascii="Times New Roman" w:hAnsi="Times New Roman" w:cs="Times New Roman" w:eastAsia="Times New Roman" w:hint="default"/>
          <w:spacing w:val="3"/>
        </w:rPr>
        <w:t>2013</w:t>
      </w:r>
      <w:r>
        <w:rPr>
          <w:spacing w:val="3"/>
        </w:rPr>
        <w:t>年第一次临时股东大会决议，经中国证券监督管理委员会证监许可</w:t>
      </w:r>
      <w:r>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rFonts w:ascii="Times New Roman" w:hAnsi="Times New Roman" w:cs="Times New Roman" w:eastAsia="Times New Roman" w:hint="default"/>
        </w:rPr>
        <w:t>343</w:t>
      </w:r>
      <w:r>
        <w:rPr/>
        <w:t>号《关于核准东华软件股份公司向黄麟雏等发行股份购买资产并募集配套资金的批复》核准，公司获准向北京威 锐达测控系统有限公司股东黄麟雏等</w:t>
      </w:r>
      <w:r>
        <w:rPr>
          <w:rFonts w:ascii="Times New Roman" w:hAnsi="Times New Roman" w:cs="Times New Roman" w:eastAsia="Times New Roman" w:hint="default"/>
        </w:rPr>
        <w:t>18</w:t>
      </w:r>
      <w:r>
        <w:rPr/>
        <w:t>名自然人发行人民币普通股（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股）</w:t>
      </w:r>
      <w:r>
        <w:rPr>
          <w:rFonts w:ascii="Times New Roman" w:hAnsi="Times New Roman" w:cs="Times New Roman" w:eastAsia="Times New Roman" w:hint="default"/>
        </w:rPr>
        <w:t>29,212,592</w:t>
      </w:r>
      <w:r>
        <w:rPr/>
        <w:t>股，以及配融资支付现金，购买黄麟 雏等</w:t>
      </w:r>
      <w:r>
        <w:rPr>
          <w:rFonts w:ascii="Times New Roman" w:hAnsi="Times New Roman" w:cs="Times New Roman" w:eastAsia="Times New Roman" w:hint="default"/>
        </w:rPr>
        <w:t>18</w:t>
      </w:r>
      <w:r>
        <w:rPr/>
        <w:t>名自然人持有的北京威锐达测控系统有限公司</w:t>
      </w:r>
      <w:r>
        <w:rPr>
          <w:rFonts w:ascii="Times New Roman" w:hAnsi="Times New Roman" w:cs="Times New Roman" w:eastAsia="Times New Roman" w:hint="default"/>
        </w:rPr>
        <w:t>100%</w:t>
      </w:r>
      <w:r>
        <w:rPr/>
        <w:t>的股权。公司募集配套资金增加注册资本人民币</w:t>
      </w:r>
      <w:r>
        <w:rPr>
          <w:rFonts w:ascii="Times New Roman" w:hAnsi="Times New Roman" w:cs="Times New Roman" w:eastAsia="Times New Roman" w:hint="default"/>
        </w:rPr>
        <w:t>10,712,789</w:t>
      </w:r>
      <w:r>
        <w:rPr/>
        <w:t>元。</w:t>
      </w:r>
      <w:r>
        <w:rPr>
          <w:spacing w:val="28"/>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日，公司发行的可转换公司债券共计转股</w:t>
      </w:r>
      <w:r>
        <w:rPr>
          <w:rFonts w:ascii="Times New Roman" w:hAnsi="Times New Roman" w:cs="Times New Roman" w:eastAsia="Times New Roman" w:hint="default"/>
        </w:rPr>
        <w:t>4,798,825</w:t>
      </w:r>
      <w:r>
        <w:rPr/>
        <w:t>股。经过上述变更后，公司的股本总额为人民币</w:t>
      </w:r>
    </w:p>
    <w:p>
      <w:pPr>
        <w:pStyle w:val="BodyText"/>
        <w:spacing w:line="240" w:lineRule="auto" w:before="13"/>
        <w:ind w:left="154" w:right="0"/>
        <w:jc w:val="both"/>
      </w:pPr>
      <w:r>
        <w:rPr>
          <w:rFonts w:ascii="Times New Roman" w:hAnsi="Times New Roman" w:cs="Times New Roman" w:eastAsia="Times New Roman" w:hint="default"/>
        </w:rPr>
        <w:t>1,514,806,948</w:t>
      </w:r>
      <w:r>
        <w:rPr/>
        <w:t>元。</w:t>
      </w:r>
    </w:p>
    <w:p>
      <w:pPr>
        <w:pStyle w:val="BodyText"/>
        <w:spacing w:line="300" w:lineRule="auto" w:before="103"/>
        <w:ind w:right="1132"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月，公司股权激励第二期行权的</w:t>
      </w:r>
      <w:r>
        <w:rPr>
          <w:rFonts w:ascii="Times New Roman" w:hAnsi="Times New Roman" w:cs="Times New Roman" w:eastAsia="Times New Roman" w:hint="default"/>
        </w:rPr>
        <w:t>1</w:t>
      </w:r>
      <w:r>
        <w:rPr/>
        <w:t>名激励对象缴纳出资增加注册资本人民币</w:t>
      </w:r>
      <w:r>
        <w:rPr>
          <w:rFonts w:ascii="Times New Roman" w:hAnsi="Times New Roman" w:cs="Times New Roman" w:eastAsia="Times New Roman" w:hint="default"/>
        </w:rPr>
        <w:t>62,400.00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月，公司股 权激励第三期行权的</w:t>
      </w:r>
      <w:r>
        <w:rPr>
          <w:rFonts w:ascii="Times New Roman" w:hAnsi="Times New Roman" w:cs="Times New Roman" w:eastAsia="Times New Roman" w:hint="default"/>
        </w:rPr>
        <w:t>333</w:t>
      </w:r>
      <w:r>
        <w:rPr/>
        <w:t>名激励对象缴纳出资增加注册资本</w:t>
      </w:r>
      <w:r>
        <w:rPr>
          <w:rFonts w:ascii="Times New Roman" w:hAnsi="Times New Roman" w:cs="Times New Roman" w:eastAsia="Times New Roman" w:hint="default"/>
        </w:rPr>
        <w:t>5,589,480</w:t>
      </w:r>
      <w:r>
        <w:rPr/>
        <w:t>元，增加注册资本</w:t>
      </w:r>
      <w:r>
        <w:rPr>
          <w:rFonts w:ascii="Times New Roman" w:hAnsi="Times New Roman" w:cs="Times New Roman" w:eastAsia="Times New Roman" w:hint="default"/>
        </w:rPr>
        <w:t>5,589,480</w:t>
      </w:r>
      <w:r>
        <w:rPr/>
        <w:t>元。</w:t>
      </w:r>
    </w:p>
    <w:p>
      <w:pPr>
        <w:pStyle w:val="BodyText"/>
        <w:spacing w:line="300" w:lineRule="auto" w:before="53"/>
        <w:ind w:right="1130" w:firstLine="42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月，根据公司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9</w:t>
      </w:r>
      <w:r>
        <w:rPr>
          <w:spacing w:val="3"/>
        </w:rPr>
        <w:t>日召开的</w:t>
      </w:r>
      <w:r>
        <w:rPr>
          <w:rFonts w:ascii="Times New Roman" w:hAnsi="Times New Roman" w:cs="Times New Roman" w:eastAsia="Times New Roman" w:hint="default"/>
          <w:spacing w:val="3"/>
        </w:rPr>
        <w:t>2014</w:t>
      </w:r>
      <w:r>
        <w:rPr>
          <w:spacing w:val="3"/>
        </w:rPr>
        <w:t>年第三次临时股东大会决议，经中国证券监督管理委员会证监许可</w:t>
      </w:r>
      <w:r>
        <w:rPr/>
        <w:t> </w:t>
      </w:r>
      <w:r>
        <w:rPr>
          <w:rFonts w:ascii="Times New Roman" w:hAnsi="Times New Roman" w:cs="Times New Roman" w:eastAsia="Times New Roman" w:hint="default"/>
          <w:spacing w:val="-1"/>
        </w:rPr>
        <w:t>[2015]1010</w:t>
      </w:r>
      <w:r>
        <w:rPr>
          <w:spacing w:val="-1"/>
        </w:rPr>
        <w:t>号《关于核准东华软件股份公司向章云芳等发行股份购买资产并募集配套资金的批复》核准，根据</w:t>
      </w:r>
      <w:r>
        <w:rPr>
          <w:rFonts w:ascii="Times New Roman" w:hAnsi="Times New Roman" w:cs="Times New Roman" w:eastAsia="Times New Roman" w:hint="default"/>
          <w:spacing w:val="-1"/>
        </w:rPr>
        <w:t>2014</w:t>
      </w:r>
      <w:r>
        <w:rPr>
          <w:spacing w:val="-1"/>
        </w:rPr>
        <w:t>年度利润</w:t>
      </w:r>
      <w:r>
        <w:rPr>
          <w:spacing w:val="-54"/>
        </w:rPr>
        <w:t> </w:t>
      </w:r>
      <w:r>
        <w:rPr/>
        <w:t>分配方案情况，公司定向增发人民币普通股（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33"/>
        </w:rPr>
        <w:t> </w:t>
      </w:r>
      <w:r>
        <w:rPr/>
        <w:t>股）</w:t>
      </w:r>
      <w:r>
        <w:rPr>
          <w:rFonts w:ascii="Times New Roman" w:hAnsi="Times New Roman" w:cs="Times New Roman" w:eastAsia="Times New Roman" w:hint="default"/>
        </w:rPr>
        <w:t>30,139,931</w:t>
      </w:r>
      <w:r>
        <w:rPr/>
        <w:t>股，增加注册资本</w:t>
      </w:r>
      <w:r>
        <w:rPr>
          <w:rFonts w:ascii="Times New Roman" w:hAnsi="Times New Roman" w:cs="Times New Roman" w:eastAsia="Times New Roman" w:hint="default"/>
        </w:rPr>
        <w:t>30,139,931</w:t>
      </w:r>
      <w:r>
        <w:rPr/>
        <w:t>元；以及配套融资支付现金，</w:t>
      </w:r>
      <w:r>
        <w:rPr>
          <w:spacing w:val="-77"/>
        </w:rPr>
        <w:t> </w:t>
      </w:r>
      <w:r>
        <w:rPr>
          <w:spacing w:val="-77"/>
        </w:rPr>
      </w:r>
      <w:r>
        <w:rPr>
          <w:spacing w:val="-1"/>
        </w:rPr>
        <w:t>购买章云芳等所持有的深圳市至高通信技术发展有限公司</w:t>
      </w:r>
      <w:r>
        <w:rPr>
          <w:rFonts w:ascii="Times New Roman" w:hAnsi="Times New Roman" w:cs="Times New Roman" w:eastAsia="Times New Roman" w:hint="default"/>
          <w:spacing w:val="-1"/>
        </w:rPr>
        <w:t>100%</w:t>
      </w:r>
      <w:r>
        <w:rPr>
          <w:spacing w:val="-1"/>
        </w:rPr>
        <w:t>的股权，公司募集配套资金增加注册资本人民币</w:t>
      </w:r>
      <w:r>
        <w:rPr>
          <w:rFonts w:ascii="Times New Roman" w:hAnsi="Times New Roman" w:cs="Times New Roman" w:eastAsia="Times New Roman" w:hint="default"/>
          <w:spacing w:val="-1"/>
        </w:rPr>
        <w:t>6,894,174.00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元。</w:t>
      </w:r>
    </w:p>
    <w:p>
      <w:pPr>
        <w:pStyle w:val="BodyText"/>
        <w:spacing w:line="240" w:lineRule="auto" w:before="72"/>
        <w:ind w:left="57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月，公司股权激励第三期行权的</w:t>
      </w:r>
      <w:r>
        <w:rPr>
          <w:rFonts w:ascii="Times New Roman" w:hAnsi="Times New Roman" w:cs="Times New Roman" w:eastAsia="Times New Roman" w:hint="default"/>
        </w:rPr>
        <w:t>2</w:t>
      </w:r>
      <w:r>
        <w:rPr/>
        <w:t>名激励对象缴纳出资增加注册资本</w:t>
      </w:r>
      <w:r>
        <w:rPr>
          <w:rFonts w:ascii="Times New Roman" w:hAnsi="Times New Roman" w:cs="Times New Roman" w:eastAsia="Times New Roman" w:hint="default"/>
        </w:rPr>
        <w:t>72,800.00</w:t>
      </w:r>
      <w:r>
        <w:rPr/>
        <w:t>元。</w:t>
      </w:r>
    </w:p>
    <w:p>
      <w:pPr>
        <w:pStyle w:val="BodyText"/>
        <w:spacing w:line="240" w:lineRule="auto" w:before="102"/>
        <w:ind w:left="57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日，公司发行的可转换公司债券共计转股</w:t>
      </w:r>
      <w:r>
        <w:rPr>
          <w:rFonts w:ascii="Times New Roman" w:hAnsi="Times New Roman" w:cs="Times New Roman" w:eastAsia="Times New Roman" w:hint="default"/>
        </w:rPr>
        <w:t>6,995,967</w:t>
      </w:r>
      <w:r>
        <w:rPr/>
        <w:t>股。</w:t>
      </w:r>
    </w:p>
    <w:p>
      <w:pPr>
        <w:pStyle w:val="BodyText"/>
        <w:spacing w:line="300" w:lineRule="auto" w:before="102"/>
        <w:ind w:right="1130" w:firstLine="42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月，公司股权激励第四期行权的</w:t>
      </w:r>
      <w:r>
        <w:rPr>
          <w:rFonts w:ascii="Times New Roman" w:hAnsi="Times New Roman" w:cs="Times New Roman" w:eastAsia="Times New Roman" w:hint="default"/>
          <w:spacing w:val="-1"/>
        </w:rPr>
        <w:t>315</w:t>
      </w:r>
      <w:r>
        <w:rPr>
          <w:spacing w:val="-1"/>
        </w:rPr>
        <w:t>名激励对象缴纳出资增加注册资本</w:t>
      </w:r>
      <w:r>
        <w:rPr>
          <w:rFonts w:ascii="Times New Roman" w:hAnsi="Times New Roman" w:cs="Times New Roman" w:eastAsia="Times New Roman" w:hint="default"/>
          <w:spacing w:val="-1"/>
        </w:rPr>
        <w:t>5,332,080.00</w:t>
      </w:r>
      <w:r>
        <w:rPr>
          <w:spacing w:val="-1"/>
        </w:rPr>
        <w:t>元。</w:t>
      </w:r>
      <w:r>
        <w:rPr>
          <w:rFonts w:ascii="Times New Roman" w:hAnsi="Times New Roman" w:cs="Times New Roman" w:eastAsia="Times New Roman" w:hint="default"/>
          <w:spacing w:val="-1"/>
        </w:rPr>
        <w:t>2016</w:t>
      </w:r>
      <w:r>
        <w:rPr>
          <w:spacing w:val="-1"/>
        </w:rPr>
        <w:t>年度经过上述变更</w:t>
      </w:r>
      <w:r>
        <w:rPr/>
        <w:t> 后，公司注册资本变更为</w:t>
      </w:r>
      <w:r>
        <w:rPr>
          <w:rFonts w:ascii="Times New Roman" w:hAnsi="Times New Roman" w:cs="Times New Roman" w:eastAsia="Times New Roman" w:hint="default"/>
        </w:rPr>
        <w:t>1,569,893,780.00</w:t>
      </w:r>
      <w:r>
        <w:rPr/>
        <w:t>元。</w:t>
      </w:r>
    </w:p>
    <w:p>
      <w:pPr>
        <w:pStyle w:val="BodyText"/>
        <w:spacing w:line="300" w:lineRule="auto" w:before="53"/>
        <w:ind w:right="1124" w:firstLine="420"/>
        <w:jc w:val="both"/>
      </w:pPr>
      <w:r>
        <w:rPr/>
        <w:t>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月召开的</w:t>
      </w:r>
      <w:r>
        <w:rPr>
          <w:rFonts w:ascii="Times New Roman" w:hAnsi="Times New Roman" w:cs="Times New Roman" w:eastAsia="Times New Roman" w:hint="default"/>
        </w:rPr>
        <w:t>2016</w:t>
      </w:r>
      <w:r>
        <w:rPr/>
        <w:t>年度股东大会表决通过，公司按照</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日的股本总额</w:t>
      </w:r>
      <w:r>
        <w:rPr>
          <w:rFonts w:ascii="Times New Roman" w:hAnsi="Times New Roman" w:cs="Times New Roman" w:eastAsia="Times New Roman" w:hint="default"/>
        </w:rPr>
        <w:t>1,569,893,780</w:t>
      </w:r>
      <w:r>
        <w:rPr/>
        <w:t>元为基数， </w:t>
      </w:r>
      <w:r>
        <w:rPr>
          <w:spacing w:val="-1"/>
        </w:rPr>
        <w:t>向全体股东每</w:t>
      </w:r>
      <w:r>
        <w:rPr>
          <w:rFonts w:ascii="Times New Roman" w:hAnsi="Times New Roman" w:cs="Times New Roman" w:eastAsia="Times New Roman" w:hint="default"/>
          <w:spacing w:val="-1"/>
        </w:rPr>
        <w:t>10</w:t>
      </w:r>
      <w:r>
        <w:rPr>
          <w:spacing w:val="-1"/>
        </w:rPr>
        <w:t>股送红股</w:t>
      </w:r>
      <w:r>
        <w:rPr>
          <w:rFonts w:ascii="Times New Roman" w:hAnsi="Times New Roman" w:cs="Times New Roman" w:eastAsia="Times New Roman" w:hint="default"/>
          <w:spacing w:val="-1"/>
        </w:rPr>
        <w:t>10</w:t>
      </w:r>
      <w:r>
        <w:rPr>
          <w:spacing w:val="-1"/>
        </w:rPr>
        <w:t>股，共增加股本</w:t>
      </w:r>
      <w:r>
        <w:rPr>
          <w:rFonts w:ascii="Times New Roman" w:hAnsi="Times New Roman" w:cs="Times New Roman" w:eastAsia="Times New Roman" w:hint="default"/>
          <w:spacing w:val="-1"/>
        </w:rPr>
        <w:t>1,569,893,780</w:t>
      </w:r>
      <w:r>
        <w:rPr>
          <w:spacing w:val="-1"/>
        </w:rPr>
        <w:t>元。该增资事项完成后，公司的股本增加为人民币</w:t>
      </w:r>
      <w:r>
        <w:rPr>
          <w:rFonts w:ascii="Times New Roman" w:hAnsi="Times New Roman" w:cs="Times New Roman" w:eastAsia="Times New Roman" w:hint="default"/>
          <w:spacing w:val="-1"/>
        </w:rPr>
        <w:t>3,139,787,560.00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元。</w:t>
      </w:r>
    </w:p>
    <w:p>
      <w:pPr>
        <w:pStyle w:val="BodyText"/>
        <w:spacing w:line="357" w:lineRule="auto" w:before="72"/>
        <w:ind w:left="574" w:right="0"/>
        <w:jc w:val="left"/>
      </w:pPr>
      <w:r>
        <w:rPr/>
        <w:t>公司所属的行业性质为软件和信息技术服务业。 公司的经营范围包括：技术开发、技术咨询、技术服务、技术推广、技术转让；计算机系统服务；数据处理；基础软</w:t>
      </w:r>
    </w:p>
    <w:p>
      <w:pPr>
        <w:pStyle w:val="BodyText"/>
        <w:spacing w:line="224" w:lineRule="exact"/>
        <w:ind w:left="154" w:right="0"/>
        <w:jc w:val="left"/>
      </w:pPr>
      <w:r>
        <w:rPr/>
        <w:t>件服务、应用软件服务、公共软件服务；销售计算机软、硬件及外围设备、通讯设备；承接工业控制与自动化系统工程、计</w:t>
      </w:r>
    </w:p>
    <w:p>
      <w:pPr>
        <w:pStyle w:val="BodyText"/>
        <w:spacing w:line="360" w:lineRule="auto" w:before="76"/>
        <w:ind w:left="573" w:right="3193" w:hanging="420"/>
        <w:jc w:val="left"/>
      </w:pPr>
      <w:r>
        <w:rPr/>
        <w:t>算机通讯工程、智能楼宇及数据中心计算机系统工程；货物进出口、技术进出口、代理进出口。 公司的主要产品为行业应用软件开发、计算机信息系统集成及相关服务业务等。</w:t>
      </w:r>
    </w:p>
    <w:p>
      <w:pPr>
        <w:spacing w:after="0" w:line="36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1" w:lineRule="auto" w:before="44"/>
        <w:ind w:left="574" w:right="0"/>
        <w:jc w:val="left"/>
        <w:rPr>
          <w:sz w:val="21"/>
          <w:szCs w:val="21"/>
        </w:rPr>
      </w:pPr>
      <w:r>
        <w:rPr/>
        <w:t>公司的母公司为北京东华诚信电脑科技发展有限公司，公司的实际控制人为薛向东先生及其家族。 本财务报表业经公司董事会于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日批准报出</w:t>
      </w:r>
      <w:r>
        <w:rPr>
          <w:sz w:val="21"/>
          <w:szCs w:val="21"/>
        </w:rPr>
        <w:t>。</w:t>
      </w:r>
    </w:p>
    <w:p>
      <w:pPr>
        <w:spacing w:line="240" w:lineRule="auto" w:before="7"/>
        <w:rPr>
          <w:rFonts w:ascii="宋体" w:hAnsi="宋体" w:cs="宋体" w:eastAsia="宋体" w:hint="default"/>
          <w:sz w:val="24"/>
          <w:szCs w:val="24"/>
        </w:rPr>
      </w:pPr>
    </w:p>
    <w:p>
      <w:pPr>
        <w:pStyle w:val="BodyText"/>
        <w:spacing w:line="240" w:lineRule="auto"/>
        <w:ind w:left="574" w:right="0"/>
        <w:jc w:val="left"/>
      </w:pPr>
      <w:r>
        <w:rPr/>
        <w:t>本期纳入合并范围的子公司包括</w:t>
      </w:r>
      <w:r>
        <w:rPr>
          <w:rFonts w:ascii="Times New Roman" w:hAnsi="Times New Roman" w:cs="Times New Roman" w:eastAsia="Times New Roman" w:hint="default"/>
        </w:rPr>
        <w:t>52</w:t>
      </w:r>
      <w:r>
        <w:rPr/>
        <w:t>家，新增</w:t>
      </w:r>
      <w:r>
        <w:rPr>
          <w:rFonts w:ascii="Times New Roman" w:hAnsi="Times New Roman" w:cs="Times New Roman" w:eastAsia="Times New Roman" w:hint="default"/>
        </w:rPr>
        <w:t>9</w:t>
      </w:r>
      <w:r>
        <w:rPr/>
        <w:t>家子公司，减少</w:t>
      </w:r>
      <w:r>
        <w:rPr>
          <w:rFonts w:ascii="Times New Roman" w:hAnsi="Times New Roman" w:cs="Times New Roman" w:eastAsia="Times New Roman" w:hint="default"/>
        </w:rPr>
        <w:t>1</w:t>
      </w:r>
      <w:r>
        <w:rPr/>
        <w:t>家子公司，具体见本附注</w:t>
      </w:r>
      <w:r>
        <w:rPr>
          <w:rFonts w:ascii="Calibri" w:hAnsi="Calibri" w:cs="Calibri" w:eastAsia="Calibri" w:hint="default"/>
        </w:rPr>
        <w:t>“</w:t>
      </w:r>
      <w:r>
        <w:rPr/>
        <w:t>八、在其他主体中的权益</w:t>
      </w:r>
      <w:r>
        <w:rPr>
          <w:rFonts w:ascii="Calibri" w:hAnsi="Calibri" w:cs="Calibri" w:eastAsia="Calibri" w:hint="default"/>
        </w:rPr>
        <w:t>”</w:t>
      </w:r>
      <w:r>
        <w:rPr/>
        <w:t>。</w:t>
      </w:r>
    </w:p>
    <w:p>
      <w:pPr>
        <w:spacing w:line="240" w:lineRule="auto" w:before="6"/>
        <w:rPr>
          <w:rFonts w:ascii="宋体" w:hAnsi="宋体" w:cs="宋体" w:eastAsia="宋体" w:hint="default"/>
          <w:sz w:val="23"/>
          <w:szCs w:val="23"/>
        </w:rPr>
      </w:pPr>
    </w:p>
    <w:p>
      <w:pPr>
        <w:pStyle w:val="Heading2"/>
        <w:spacing w:line="240" w:lineRule="auto"/>
        <w:ind w:left="154" w:right="0"/>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0"/>
        <w:rPr>
          <w:rFonts w:ascii="宋体" w:hAnsi="宋体" w:cs="宋体" w:eastAsia="宋体" w:hint="default"/>
          <w:b/>
          <w:bCs/>
          <w:sz w:val="24"/>
          <w:szCs w:val="24"/>
        </w:rPr>
      </w:pPr>
    </w:p>
    <w:p>
      <w:pPr>
        <w:spacing w:before="0"/>
        <w:ind w:left="587" w:right="0" w:firstLine="0"/>
        <w:jc w:val="left"/>
        <w:rPr>
          <w:rFonts w:ascii="宋体" w:hAnsi="宋体" w:cs="宋体" w:eastAsia="宋体" w:hint="default"/>
          <w:sz w:val="22"/>
          <w:szCs w:val="22"/>
        </w:rPr>
      </w:pPr>
      <w:bookmarkStart w:name="1、编制基础" w:id="169"/>
      <w:bookmarkEnd w:id="169"/>
      <w:r>
        <w:rPr/>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、编制基础</w:t>
      </w:r>
      <w:r>
        <w:rPr>
          <w:rFonts w:ascii="宋体" w:hAnsi="宋体" w:cs="宋体" w:eastAsia="宋体" w:hint="default"/>
          <w:sz w:val="22"/>
          <w:szCs w:val="22"/>
        </w:rPr>
      </w:r>
    </w:p>
    <w:p>
      <w:pPr>
        <w:spacing w:line="240" w:lineRule="auto" w:before="1"/>
        <w:rPr>
          <w:rFonts w:ascii="宋体" w:hAnsi="宋体" w:cs="宋体" w:eastAsia="宋体" w:hint="default"/>
          <w:b/>
          <w:bCs/>
          <w:sz w:val="26"/>
          <w:szCs w:val="26"/>
        </w:rPr>
      </w:pPr>
    </w:p>
    <w:p>
      <w:pPr>
        <w:pStyle w:val="BodyText"/>
        <w:spacing w:line="300" w:lineRule="auto"/>
        <w:ind w:right="1130" w:firstLine="360"/>
        <w:jc w:val="both"/>
      </w:pPr>
      <w:r>
        <w:rPr>
          <w:spacing w:val="-2"/>
        </w:rPr>
        <w:t>公司以持续经营为基础，根据实际发生的交易和事项，按照财政部发布的《企业会计准则</w:t>
      </w:r>
      <w:r>
        <w:rPr>
          <w:rFonts w:ascii="Times New Roman" w:hAnsi="Times New Roman" w:cs="Times New Roman" w:eastAsia="Times New Roman" w:hint="default"/>
          <w:spacing w:val="-2"/>
        </w:rPr>
        <w:t>—</w:t>
      </w:r>
      <w:r>
        <w:rPr>
          <w:spacing w:val="-2"/>
        </w:rPr>
        <w:t>基本准则》、</w:t>
      </w:r>
      <w:r>
        <w:rPr>
          <w:rFonts w:ascii="Times New Roman" w:hAnsi="Times New Roman" w:cs="Times New Roman" w:eastAsia="Times New Roman" w:hint="default"/>
          <w:spacing w:val="-2"/>
        </w:rPr>
        <w:t>42</w:t>
      </w:r>
      <w:r>
        <w:rPr>
          <w:spacing w:val="-2"/>
        </w:rPr>
        <w:t>项具体会计</w:t>
      </w:r>
      <w:r>
        <w:rPr/>
        <w:t> </w:t>
      </w:r>
      <w:r>
        <w:rPr>
          <w:spacing w:val="-2"/>
        </w:rPr>
        <w:t>准则、企业会计准则应用指南、企业会计准则解释及其他相关规定（以下简称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4"/>
        </w:rPr>
        <w:t> </w:t>
      </w:r>
      <w:r>
        <w:rPr>
          <w:spacing w:val="-44"/>
        </w:rPr>
      </w:r>
      <w:r>
        <w:rPr/>
        <w:t>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line="240" w:lineRule="auto" w:before="1"/>
        <w:rPr>
          <w:rFonts w:ascii="宋体" w:hAnsi="宋体" w:cs="宋体" w:eastAsia="宋体" w:hint="default"/>
          <w:sz w:val="22"/>
          <w:szCs w:val="22"/>
        </w:rPr>
      </w:pPr>
    </w:p>
    <w:p>
      <w:pPr>
        <w:pStyle w:val="Heading3"/>
        <w:spacing w:line="240" w:lineRule="auto"/>
        <w:ind w:left="566" w:right="0"/>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公司自本报告期末起至少</w:t>
      </w:r>
      <w:r>
        <w:rPr>
          <w:rFonts w:ascii="Times New Roman" w:hAnsi="Times New Roman" w:cs="Times New Roman" w:eastAsia="Times New Roman" w:hint="default"/>
        </w:rPr>
        <w:t>12</w:t>
      </w:r>
      <w:r>
        <w:rPr/>
        <w:t>个月内具备持续经营能力。</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7332"/>
        <w:jc w:val="left"/>
      </w:pPr>
      <w:r>
        <w:rPr/>
        <w:t>公司是否需要遵守特殊行业的披露要求 否</w:t>
      </w:r>
    </w:p>
    <w:p>
      <w:pPr>
        <w:pStyle w:val="BodyText"/>
        <w:spacing w:line="357" w:lineRule="auto" w:before="29"/>
        <w:ind w:left="514" w:right="7693"/>
        <w:jc w:val="left"/>
      </w:pPr>
      <w:r>
        <w:rPr/>
        <w:t>具体会计政策和会计估计提示： 无。</w:t>
      </w:r>
    </w:p>
    <w:p>
      <w:pPr>
        <w:spacing w:line="240" w:lineRule="auto" w:before="2"/>
        <w:rPr>
          <w:rFonts w:ascii="宋体" w:hAnsi="宋体" w:cs="宋体" w:eastAsia="宋体" w:hint="default"/>
          <w:sz w:val="20"/>
          <w:szCs w:val="20"/>
        </w:rPr>
      </w:pPr>
    </w:p>
    <w:p>
      <w:pPr>
        <w:pStyle w:val="Heading3"/>
        <w:spacing w:line="240" w:lineRule="auto"/>
        <w:ind w:left="576" w:right="0"/>
        <w:jc w:val="left"/>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360"/>
        <w:jc w:val="left"/>
      </w:pPr>
      <w:r>
        <w:rPr>
          <w:spacing w:val="-2"/>
        </w:rPr>
        <w:t>本公司所编制的财务报表符合企业会计准则的要求，真实、完整地反映了报告期公司的财务状况、经营成果、现金流量</w:t>
      </w:r>
      <w:r>
        <w:rPr/>
        <w:t> 等有关信息。</w:t>
      </w:r>
    </w:p>
    <w:p>
      <w:pPr>
        <w:spacing w:line="240" w:lineRule="auto" w:before="7"/>
        <w:rPr>
          <w:rFonts w:ascii="宋体" w:hAnsi="宋体" w:cs="宋体" w:eastAsia="宋体" w:hint="default"/>
          <w:sz w:val="22"/>
          <w:szCs w:val="22"/>
        </w:rPr>
      </w:pPr>
    </w:p>
    <w:p>
      <w:pPr>
        <w:spacing w:line="547" w:lineRule="auto" w:before="0"/>
        <w:ind w:left="513" w:right="6793" w:firstLine="62"/>
        <w:jc w:val="left"/>
        <w:rPr>
          <w:rFonts w:ascii="宋体" w:hAnsi="宋体" w:cs="宋体" w:eastAsia="宋体" w:hint="default"/>
          <w:sz w:val="21"/>
          <w:szCs w:val="21"/>
        </w:rPr>
      </w:pPr>
      <w:bookmarkStart w:name="2、会计期间" w:id="173"/>
      <w:bookmarkEnd w:id="17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74"/>
      <w:bookmarkEnd w:id="17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left="514" w:right="0"/>
        <w:jc w:val="left"/>
      </w:pPr>
      <w:r>
        <w:rPr/>
        <w:t>本公司以</w:t>
      </w:r>
      <w:r>
        <w:rPr>
          <w:rFonts w:ascii="Times New Roman" w:hAnsi="Times New Roman" w:cs="Times New Roman" w:eastAsia="Times New Roman" w:hint="default"/>
        </w:rPr>
        <w:t>12</w:t>
      </w:r>
      <w:r>
        <w:rPr/>
        <w:t>个月作为一个营业周期，并以营业周期作为资产和负债的流动性划分标准。</w:t>
      </w:r>
    </w:p>
    <w:p>
      <w:pPr>
        <w:spacing w:line="240" w:lineRule="auto" w:before="11"/>
        <w:rPr>
          <w:rFonts w:ascii="宋体" w:hAnsi="宋体" w:cs="宋体" w:eastAsia="宋体" w:hint="default"/>
          <w:sz w:val="25"/>
          <w:szCs w:val="25"/>
        </w:rPr>
      </w:pPr>
    </w:p>
    <w:p>
      <w:pPr>
        <w:pStyle w:val="Heading3"/>
        <w:spacing w:line="240" w:lineRule="auto"/>
        <w:ind w:left="576" w:right="0"/>
        <w:jc w:val="left"/>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本公司的记账本位币为人民币，编制财务报表采用的货币为人民币。本公司及子公司选定记账本位币的依据是主要业务</w:t>
      </w:r>
      <w:r>
        <w:rPr/>
        <w:t> 收支的计价和结算币种。</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576" w:right="0"/>
        <w:jc w:val="left"/>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5"/>
          <w:szCs w:val="25"/>
        </w:rPr>
      </w:pPr>
    </w:p>
    <w:p>
      <w:pPr>
        <w:spacing w:before="0"/>
        <w:ind w:left="513" w:right="0" w:firstLine="0"/>
        <w:jc w:val="left"/>
        <w:rPr>
          <w:rFonts w:ascii="宋体" w:hAnsi="宋体" w:cs="宋体" w:eastAsia="宋体" w:hint="default"/>
          <w:sz w:val="20"/>
          <w:szCs w:val="20"/>
        </w:rPr>
      </w:pPr>
      <w:r>
        <w:rPr>
          <w:rFonts w:ascii="Times New Roman" w:hAnsi="Times New Roman" w:cs="Times New Roman" w:eastAsia="Times New Roman" w:hint="default"/>
          <w:sz w:val="18"/>
          <w:szCs w:val="18"/>
        </w:rPr>
        <w:t>1.  </w:t>
      </w:r>
      <w:r>
        <w:rPr>
          <w:rFonts w:ascii="宋体" w:hAnsi="宋体" w:cs="宋体" w:eastAsia="宋体" w:hint="default"/>
          <w:sz w:val="20"/>
          <w:szCs w:val="20"/>
        </w:rPr>
        <w:t>同一控制下企业合并</w:t>
      </w:r>
    </w:p>
    <w:p>
      <w:pPr>
        <w:pStyle w:val="BodyText"/>
        <w:spacing w:line="319" w:lineRule="auto" w:before="174"/>
        <w:ind w:right="1132" w:firstLine="360"/>
        <w:jc w:val="both"/>
      </w:pPr>
      <w:r>
        <w:rPr>
          <w:spacing w:val="-2"/>
        </w:rPr>
        <w:t>参与合并的企业在合并前后均受同一方或相同的多方最终控制且该控制并非暂时性的，为同一控制下的企业合并。合并</w:t>
      </w:r>
      <w:r>
        <w:rPr/>
        <w:t> 日为合并方实际取得对被合并方控制权的日期。</w:t>
      </w:r>
    </w:p>
    <w:p>
      <w:pPr>
        <w:pStyle w:val="BodyText"/>
        <w:spacing w:line="316" w:lineRule="auto" w:before="137"/>
        <w:ind w:right="1132" w:firstLine="360"/>
        <w:jc w:val="both"/>
      </w:pPr>
      <w:r>
        <w:rPr>
          <w:spacing w:val="-2"/>
        </w:rPr>
        <w:t>在企业合并中取得的资产和负债，按照合并日被合并方在最终控制方合并财务报表中的账面价值计量。被合并各方采用</w:t>
      </w:r>
      <w:r>
        <w:rPr/>
        <w:t> 的会计政策与本公司不一致的，合并方在合并日按照本公司会计政策进行调整，在此基础上按照调整后的账面价值确认。</w:t>
      </w:r>
    </w:p>
    <w:p>
      <w:pPr>
        <w:pStyle w:val="BodyText"/>
        <w:spacing w:line="316" w:lineRule="auto" w:before="139"/>
        <w:ind w:right="1132" w:firstLine="360"/>
        <w:jc w:val="both"/>
      </w:pPr>
      <w:r>
        <w:rPr>
          <w:spacing w:val="-2"/>
        </w:rPr>
        <w:t>在合并中取得的净资产账面价值与支付的合并对价账面价值（或发行股份面值总额）的差额，调整资本公积中的股本溢</w:t>
      </w:r>
      <w:r>
        <w:rPr/>
        <w:t> 价，资本公积中的股本溢价不足冲减的，调整留存收益。</w:t>
      </w:r>
    </w:p>
    <w:p>
      <w:pPr>
        <w:pStyle w:val="BodyText"/>
        <w:spacing w:line="316" w:lineRule="auto" w:before="139"/>
        <w:ind w:left="154" w:right="1131" w:firstLine="360"/>
        <w:jc w:val="both"/>
      </w:pPr>
      <w:r>
        <w:rPr>
          <w:spacing w:val="-2"/>
        </w:rPr>
        <w:t>为进行企业合并而发生的各项直接相关费用，包括为进行合并而支付的审计费用、评估费用、法律服务费等，于发生时</w:t>
      </w:r>
      <w:r>
        <w:rPr/>
        <w:t> 计入当期损益。</w:t>
      </w:r>
    </w:p>
    <w:p>
      <w:pPr>
        <w:pStyle w:val="BodyText"/>
        <w:spacing w:line="432" w:lineRule="exact" w:before="3"/>
        <w:ind w:left="514" w:right="1032"/>
        <w:jc w:val="left"/>
      </w:pPr>
      <w:r>
        <w:rPr/>
        <w:t>企业合并中发行权益性证券发生的手续费、佣金等，抵减权益性证券溢价收入，溢价收入不足冲减的，冲减留存收益。 </w:t>
      </w:r>
      <w:r>
        <w:rPr>
          <w:spacing w:val="-2"/>
        </w:rPr>
        <w:t>通过多次交易分步实现的同一控制下企业合并，属于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的，本公司将各项交易作为一项取得控制权的交易进</w:t>
      </w:r>
    </w:p>
    <w:p>
      <w:pPr>
        <w:pStyle w:val="BodyText"/>
        <w:spacing w:line="240" w:lineRule="auto" w:before="15"/>
        <w:ind w:left="154" w:right="0"/>
        <w:jc w:val="left"/>
      </w:pPr>
      <w:r>
        <w:rPr/>
        <w:t>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的，取得控制权日，按照下列步骤进行会计处理：</w:t>
      </w:r>
    </w:p>
    <w:p>
      <w:pPr>
        <w:spacing w:line="240" w:lineRule="auto" w:before="13"/>
        <w:rPr>
          <w:rFonts w:ascii="宋体" w:hAnsi="宋体" w:cs="宋体" w:eastAsia="宋体" w:hint="default"/>
          <w:sz w:val="13"/>
          <w:szCs w:val="13"/>
        </w:rPr>
      </w:pPr>
    </w:p>
    <w:p>
      <w:pPr>
        <w:pStyle w:val="BodyText"/>
        <w:spacing w:line="300" w:lineRule="auto"/>
        <w:ind w:left="154" w:right="1131" w:firstLine="360"/>
        <w:jc w:val="both"/>
      </w:pPr>
      <w:r>
        <w:rPr/>
        <w:t>（</w:t>
      </w:r>
      <w:r>
        <w:rPr>
          <w:rFonts w:ascii="Times New Roman" w:hAnsi="Times New Roman" w:cs="Times New Roman" w:eastAsia="Times New Roman" w:hint="default"/>
        </w:rPr>
        <w:t>1</w:t>
      </w:r>
      <w:r>
        <w:rPr/>
        <w:t>）确定同一控制下企业合并形成的长期股权投资的初始投资成本。在合并日，根据合并后应享有被合并方净资产在 最终控制方合并财务报表中的账面价值的份额，确定长期股权投资的初始投资成本。</w:t>
      </w:r>
    </w:p>
    <w:p>
      <w:pPr>
        <w:pStyle w:val="BodyText"/>
        <w:spacing w:line="309" w:lineRule="auto" w:before="151"/>
        <w:ind w:left="154" w:right="1131" w:firstLine="360"/>
        <w:jc w:val="both"/>
      </w:pPr>
      <w:r>
        <w:rPr/>
        <w:t>（</w:t>
      </w:r>
      <w:r>
        <w:rPr>
          <w:rFonts w:ascii="Times New Roman" w:hAnsi="Times New Roman" w:cs="Times New Roman" w:eastAsia="Times New Roman" w:hint="default"/>
        </w:rPr>
        <w:t>2</w:t>
      </w:r>
      <w:r>
        <w:rPr/>
        <w:t>）长期股权投资初始投资成本与合并对价账面价值之间的差额的处理。合并日长期股权投资的初始投资成本，与达 </w:t>
      </w:r>
      <w:r>
        <w:rPr>
          <w:spacing w:val="-2"/>
        </w:rPr>
        <w:t>到合并前的长期股权投资账面价值加上合并日进一步取得股份新支付对价的账面价值之和的差额，调整资本公积（资本溢价</w:t>
      </w:r>
      <w:r>
        <w:rPr>
          <w:spacing w:val="-64"/>
        </w:rPr>
        <w:t> </w:t>
      </w:r>
      <w:r>
        <w:rPr>
          <w:spacing w:val="-64"/>
        </w:rPr>
      </w:r>
      <w:r>
        <w:rPr/>
        <w:t>或股本溢价），资本公积（资本溢价或股本溢价）不足冲减的，冲减留存收益。</w:t>
      </w:r>
    </w:p>
    <w:p>
      <w:pPr>
        <w:pStyle w:val="BodyText"/>
        <w:spacing w:line="314" w:lineRule="auto" w:before="144"/>
        <w:ind w:left="154" w:right="1131" w:firstLine="360"/>
        <w:jc w:val="both"/>
      </w:pPr>
      <w:r>
        <w:rPr/>
        <w:t>（</w:t>
      </w:r>
      <w:r>
        <w:rPr>
          <w:rFonts w:ascii="Times New Roman" w:hAnsi="Times New Roman" w:cs="Times New Roman" w:eastAsia="Times New Roman" w:hint="default"/>
        </w:rPr>
        <w:t>3</w:t>
      </w:r>
      <w:r>
        <w:rPr/>
        <w:t>）合并日之前持有的股权投资，因采用权益法核算或金融工具确认和计量准则核算而确认的其他综合收益，暂不进 </w:t>
      </w:r>
      <w:r>
        <w:rPr>
          <w:spacing w:val="-2"/>
        </w:rPr>
        <w:t>行会计处理，直至处置该项投资时采用与被投资单位直接处置相关资产或负债相同的基础进行会计处理；因采用权益法核算</w:t>
      </w:r>
      <w:r>
        <w:rPr>
          <w:spacing w:val="-64"/>
        </w:rPr>
        <w:t> </w:t>
      </w:r>
      <w:r>
        <w:rPr>
          <w:spacing w:val="-64"/>
        </w:rPr>
      </w:r>
      <w:r>
        <w:rPr>
          <w:spacing w:val="-2"/>
        </w:rPr>
        <w:t>而确认的被投资单位净资产中除净损益、其他综合收益和利润分配以外的所有者权益其他变动，暂不进行会计处理，直至处</w:t>
      </w:r>
      <w:r>
        <w:rPr>
          <w:spacing w:val="-66"/>
        </w:rPr>
        <w:t> </w:t>
      </w:r>
      <w:r>
        <w:rPr>
          <w:spacing w:val="-66"/>
        </w:rPr>
      </w:r>
      <w:r>
        <w:rPr>
          <w:spacing w:val="-2"/>
        </w:rPr>
        <w:t>置该项投资时转入当期损益。其中，处置后的剩余股权采用成本法或权益法核算的，其他综合收益和其他所有者权益应按比</w:t>
      </w:r>
      <w:r>
        <w:rPr>
          <w:spacing w:val="-66"/>
        </w:rPr>
        <w:t> </w:t>
      </w:r>
      <w:r>
        <w:rPr>
          <w:spacing w:val="-66"/>
        </w:rPr>
      </w:r>
      <w:r>
        <w:rPr/>
        <w:t>例结转，处置后的剩余股权改按金融工具确认和计量准则进行会计处理的，其他综合收益和其他所有者权益应全部结转。</w:t>
      </w:r>
    </w:p>
    <w:p>
      <w:pPr>
        <w:pStyle w:val="BodyText"/>
        <w:spacing w:line="240" w:lineRule="auto" w:before="140"/>
        <w:ind w:left="513" w:right="0"/>
        <w:jc w:val="left"/>
      </w:pPr>
      <w:r>
        <w:rPr/>
        <w:t>（</w:t>
      </w:r>
      <w:r>
        <w:rPr>
          <w:rFonts w:ascii="Times New Roman" w:hAnsi="Times New Roman" w:cs="Times New Roman" w:eastAsia="Times New Roman" w:hint="default"/>
        </w:rPr>
        <w:t>4</w:t>
      </w:r>
      <w:r>
        <w:rPr/>
        <w:t>）在合并财务报表中的会计处理见本附注四、（六）。</w:t>
      </w:r>
    </w:p>
    <w:p>
      <w:pPr>
        <w:spacing w:line="240" w:lineRule="auto" w:before="10"/>
        <w:rPr>
          <w:rFonts w:ascii="宋体" w:hAnsi="宋体" w:cs="宋体" w:eastAsia="宋体" w:hint="default"/>
          <w:sz w:val="12"/>
          <w:szCs w:val="12"/>
        </w:rPr>
      </w:pPr>
    </w:p>
    <w:p>
      <w:pPr>
        <w:pStyle w:val="Heading5"/>
        <w:spacing w:line="240" w:lineRule="auto"/>
        <w:ind w:left="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非同一控制下企业合并</w:t>
      </w:r>
    </w:p>
    <w:p>
      <w:pPr>
        <w:pStyle w:val="BodyText"/>
        <w:spacing w:line="432" w:lineRule="exact" w:before="36"/>
        <w:ind w:left="513" w:right="0"/>
        <w:jc w:val="left"/>
      </w:pPr>
      <w:r>
        <w:rPr/>
        <w:t>参与合并的各方在合并前后不受同一方或相同的多方最终控制的，为非同一控制下的企业合并。 </w:t>
      </w:r>
      <w:r>
        <w:rPr>
          <w:spacing w:val="-4"/>
        </w:rPr>
        <w:t>购买方在购买日对作为企业合并对价付出的资产、发生或承担的负债按照公允价值计量。公允价值与其账面价值的差额，</w:t>
      </w:r>
    </w:p>
    <w:p>
      <w:pPr>
        <w:pStyle w:val="BodyText"/>
        <w:spacing w:line="240" w:lineRule="auto" w:before="15"/>
        <w:ind w:right="0"/>
        <w:jc w:val="left"/>
      </w:pPr>
      <w:r>
        <w:rPr/>
        <w:t>计入当期损益。</w:t>
      </w:r>
    </w:p>
    <w:p>
      <w:pPr>
        <w:pStyle w:val="BodyText"/>
        <w:spacing w:line="430" w:lineRule="atLeast" w:before="2"/>
        <w:ind w:left="513" w:right="0"/>
        <w:jc w:val="left"/>
      </w:pPr>
      <w:r>
        <w:rPr/>
        <w:t>购买方在购买日对合并成本进行分配，确认所取得的被购买方各项可辨认资产、负债及或有负债的公允价值。 </w:t>
      </w:r>
      <w:r>
        <w:rPr>
          <w:spacing w:val="-2"/>
        </w:rPr>
        <w:t>购买方对合并成本大于合并中取得的被购买方可辨认净资产公允价值份额的差额，确认为商誉；合并成本小于合并中取</w:t>
      </w:r>
    </w:p>
    <w:p>
      <w:pPr>
        <w:pStyle w:val="BodyText"/>
        <w:spacing w:line="240" w:lineRule="auto" w:before="76"/>
        <w:ind w:right="0"/>
        <w:jc w:val="left"/>
      </w:pPr>
      <w:r>
        <w:rPr/>
        <w:t>得的被购买方可辨认净资产公允价值份额的差额，经复核后，计入当期损益。</w:t>
      </w:r>
    </w:p>
    <w:p>
      <w:pPr>
        <w:spacing w:line="240" w:lineRule="auto" w:before="0"/>
        <w:rPr>
          <w:rFonts w:ascii="宋体" w:hAnsi="宋体" w:cs="宋体" w:eastAsia="宋体" w:hint="default"/>
          <w:sz w:val="15"/>
          <w:szCs w:val="15"/>
        </w:rPr>
      </w:pPr>
    </w:p>
    <w:p>
      <w:pPr>
        <w:pStyle w:val="BodyText"/>
        <w:spacing w:line="319" w:lineRule="auto"/>
        <w:ind w:right="1131" w:firstLine="360"/>
        <w:jc w:val="both"/>
      </w:pPr>
      <w:r>
        <w:rPr>
          <w:spacing w:val="-2"/>
        </w:rPr>
        <w:t>企业合并中取得的被购买方除无形资产外的其他各项资产（不仅限于被购买方原已确认的资产），其所带来的经济利益</w:t>
      </w:r>
      <w:r>
        <w:rPr/>
        <w:t> </w:t>
      </w:r>
      <w:r>
        <w:rPr>
          <w:spacing w:val="-2"/>
        </w:rPr>
        <w:t>很可能流入本公司且公允价值能够可靠计量的，单独确认并按公允价值计量；公允价值能够可靠计量的无形资产，单独确认</w:t>
      </w:r>
      <w:r>
        <w:rPr>
          <w:spacing w:val="-66"/>
        </w:rPr>
        <w:t> </w:t>
      </w:r>
      <w:r>
        <w:rPr>
          <w:spacing w:val="-66"/>
        </w:rPr>
      </w:r>
      <w:r>
        <w:rPr>
          <w:spacing w:val="-2"/>
        </w:rPr>
        <w:t>为无形资产并按公允价值计量；取得的被购买方除或有负债以外的其他各项负债，履行有关义务很可能导致经济利益流出本</w:t>
      </w:r>
      <w:r>
        <w:rPr>
          <w:spacing w:val="-64"/>
        </w:rPr>
        <w:t> </w:t>
      </w:r>
      <w:r>
        <w:rPr>
          <w:spacing w:val="-64"/>
        </w:rPr>
      </w:r>
      <w:r>
        <w:rPr>
          <w:spacing w:val="-2"/>
        </w:rPr>
        <w:t>公司且公允价值能够可靠计量的，单独确认并按照公允价值计量；取得的被购买方或有负债，其公允价值能可靠计量的，单</w:t>
      </w:r>
      <w:r>
        <w:rPr>
          <w:spacing w:val="-66"/>
        </w:rPr>
        <w:t> </w:t>
      </w:r>
      <w:r>
        <w:rPr>
          <w:spacing w:val="-66"/>
        </w:rPr>
      </w:r>
      <w:r>
        <w:rPr/>
        <w:t>独确认为负债并按照公允价值计量。</w:t>
      </w:r>
    </w:p>
    <w:p>
      <w:pPr>
        <w:pStyle w:val="BodyText"/>
        <w:spacing w:line="240" w:lineRule="auto" w:before="137"/>
        <w:ind w:left="514" w:right="0"/>
        <w:jc w:val="left"/>
      </w:pPr>
      <w:r>
        <w:rPr/>
        <w:t>对合并中取得的被购买方资产进行初始确认时</w:t>
      </w:r>
      <w:r>
        <w:rPr>
          <w:spacing w:val="-82"/>
        </w:rPr>
        <w:t>，</w:t>
      </w:r>
      <w:r>
        <w:rPr/>
        <w:t>对被购买方拥有的但在其财务报表中未确认的无形资产进行充分辨认和</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2"/>
        </w:rPr>
        <w:t>合理判断，满足以下条件之一的，应确认为无形资产：（</w:t>
      </w:r>
      <w:r>
        <w:rPr>
          <w:rFonts w:ascii="Times New Roman" w:hAnsi="Times New Roman" w:cs="Times New Roman" w:eastAsia="Times New Roman" w:hint="default"/>
          <w:spacing w:val="-2"/>
        </w:rPr>
        <w:t>1</w:t>
      </w:r>
      <w:r>
        <w:rPr>
          <w:spacing w:val="-2"/>
        </w:rPr>
        <w:t>）源于合同性权利或其他法定权利；（</w:t>
      </w:r>
      <w:r>
        <w:rPr>
          <w:rFonts w:ascii="Times New Roman" w:hAnsi="Times New Roman" w:cs="Times New Roman" w:eastAsia="Times New Roman" w:hint="default"/>
          <w:spacing w:val="-2"/>
        </w:rPr>
        <w:t>2</w:t>
      </w:r>
      <w:r>
        <w:rPr>
          <w:spacing w:val="-2"/>
        </w:rPr>
        <w:t>）能够从被购买方中分离</w:t>
      </w:r>
      <w:r>
        <w:rPr>
          <w:spacing w:val="-65"/>
        </w:rPr>
        <w:t> </w:t>
      </w:r>
      <w:r>
        <w:rPr>
          <w:spacing w:val="-65"/>
        </w:rPr>
      </w:r>
      <w:r>
        <w:rPr/>
        <w:t>或者划分出来，并能单独或与相关合同、资产和负债一起，用于出售、转移、授予许可、租赁或交换。</w:t>
      </w:r>
    </w:p>
    <w:p>
      <w:pPr>
        <w:pStyle w:val="BodyText"/>
        <w:spacing w:line="312" w:lineRule="auto" w:before="151"/>
        <w:ind w:right="1033" w:firstLine="360"/>
        <w:jc w:val="left"/>
      </w:pPr>
      <w:r>
        <w:rPr/>
        <w:t>购买方在企业合并中取得的被购买方的可抵扣暂时性差异，在购买日不符合递延所得税资产确认条件的，不予以确认。 </w:t>
      </w: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2"/>
        </w:rPr>
        <w:t> </w:t>
      </w:r>
      <w:r>
        <w:rPr>
          <w:spacing w:val="-62"/>
        </w:rPr>
      </w:r>
      <w:r>
        <w:rPr>
          <w:spacing w:val="-2"/>
        </w:rPr>
        <w:t>带来的经济利益能够实现的，确认相关的递延所得税资产，同时减少商誉，商誉不足冲减的，差额部分确认为当期损益；除</w:t>
      </w:r>
      <w:r>
        <w:rPr>
          <w:spacing w:val="-66"/>
        </w:rPr>
        <w:t> </w:t>
      </w:r>
      <w:r>
        <w:rPr>
          <w:spacing w:val="-66"/>
        </w:rPr>
      </w:r>
      <w:r>
        <w:rPr/>
        <w:t>上述情况以外，确认与企业合并相关的递延所得税资产，计入当期损益。</w:t>
      </w:r>
    </w:p>
    <w:p>
      <w:pPr>
        <w:pStyle w:val="BodyText"/>
        <w:spacing w:line="316" w:lineRule="auto" w:before="142"/>
        <w:ind w:right="1131" w:firstLine="360"/>
        <w:jc w:val="both"/>
      </w:pPr>
      <w:r>
        <w:rPr>
          <w:spacing w:val="-2"/>
        </w:rPr>
        <w:t>非同一控制下企业合并，购买方为企业合并发生的审计、法律服务、评估咨询等中介费用以及其他相关管理费用，于发</w:t>
      </w:r>
      <w:r>
        <w:rPr/>
        <w:t> </w:t>
      </w:r>
      <w:r>
        <w:rPr>
          <w:spacing w:val="-2"/>
        </w:rPr>
        <w:t>生时计入当期损益；购买方作为合并对价发行的权益性证券或债务性证券的交易费用，计入权益性证券或债务性证券的初始</w:t>
      </w:r>
      <w:r>
        <w:rPr>
          <w:spacing w:val="-64"/>
        </w:rPr>
        <w:t> </w:t>
      </w:r>
      <w:r>
        <w:rPr>
          <w:spacing w:val="-64"/>
        </w:rPr>
      </w:r>
      <w:r>
        <w:rPr/>
        <w:t>确认金额。</w:t>
      </w:r>
    </w:p>
    <w:p>
      <w:pPr>
        <w:pStyle w:val="BodyText"/>
        <w:spacing w:line="312" w:lineRule="auto" w:before="139"/>
        <w:ind w:right="1033" w:firstLine="360"/>
        <w:jc w:val="left"/>
      </w:pPr>
      <w:r>
        <w:rPr>
          <w:spacing w:val="-2"/>
        </w:rPr>
        <w:t>购买方通过多次交易分步实现非同一控制下企业合并的，属于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的，本公司将各项交易作为一项取得控制权</w:t>
      </w:r>
      <w:r>
        <w:rPr/>
        <w:t> </w:t>
      </w:r>
      <w:r>
        <w:rPr>
          <w:spacing w:val="-2"/>
        </w:rPr>
        <w:t>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的，在个别财务报表中，以购买日之前所持被购买方的股权投资的账面价值与购</w:t>
      </w:r>
      <w:r>
        <w:rPr>
          <w:spacing w:val="-45"/>
        </w:rPr>
        <w:t> </w:t>
      </w:r>
      <w:r>
        <w:rPr>
          <w:spacing w:val="-45"/>
        </w:rPr>
      </w:r>
      <w:r>
        <w:rPr>
          <w:spacing w:val="-2"/>
        </w:rPr>
        <w:t>买日新增投资成本之和，作为改按成本法核算的初始投资成本；购买日之前持有的被购买方的股权投资因采用权益法核算而</w:t>
      </w:r>
      <w:r>
        <w:rPr>
          <w:spacing w:val="-64"/>
        </w:rPr>
        <w:t> </w:t>
      </w:r>
      <w:r>
        <w:rPr>
          <w:spacing w:val="-64"/>
        </w:rPr>
      </w:r>
      <w:r>
        <w:rPr>
          <w:spacing w:val="-2"/>
        </w:rPr>
        <w:t>确认的其他综合收益，在处置该项投资时采用与被投资单位直接处置相关资产或负债相同的基础进行会计处理，因被投资方</w:t>
      </w:r>
      <w:r>
        <w:rPr>
          <w:spacing w:val="-64"/>
        </w:rPr>
        <w:t> </w:t>
      </w:r>
      <w:r>
        <w:rPr>
          <w:spacing w:val="-64"/>
        </w:rPr>
      </w:r>
      <w:r>
        <w:rPr>
          <w:spacing w:val="-2"/>
        </w:rPr>
        <w:t>除净损益、其他综合收益和利润分配以外的其他所有者权益变动而确认的所有者权益，在处置该项投资时转入处置期间的当</w:t>
      </w:r>
      <w:r>
        <w:rPr>
          <w:spacing w:val="-64"/>
        </w:rPr>
        <w:t> </w:t>
      </w:r>
      <w:r>
        <w:rPr>
          <w:spacing w:val="-64"/>
        </w:rPr>
      </w:r>
      <w:r>
        <w:rPr>
          <w:spacing w:val="-2"/>
        </w:rPr>
        <w:t>期损益。其中，处置后的剩余股权根据长期股权投资准则采用成本法或权益法核算的，其他综合收益和其他所有者权益应按</w:t>
      </w:r>
      <w:r>
        <w:rPr>
          <w:spacing w:val="-65"/>
        </w:rPr>
        <w:t> </w:t>
      </w:r>
      <w:r>
        <w:rPr>
          <w:spacing w:val="-65"/>
        </w:rPr>
      </w:r>
      <w:r>
        <w:rPr/>
        <w:t>比例结转，处置后的剩余股权改按金融工具确认和计量准则进行会计处理的，其他综合收益和其他所有者权益应全部结转。 在合并财务报表中的会计处理见本附注四、（六）。</w:t>
      </w:r>
    </w:p>
    <w:p>
      <w:pPr>
        <w:pStyle w:val="BodyText"/>
        <w:spacing w:line="316" w:lineRule="auto" w:before="142"/>
        <w:ind w:left="154" w:right="1132" w:firstLine="360"/>
        <w:jc w:val="both"/>
      </w:pPr>
      <w:r>
        <w:rPr>
          <w:spacing w:val="-2"/>
        </w:rPr>
        <w:t>购买日之前持有的股权投资，采用金融工具确认和计量准则进行会计处理的，将该股权投资的公允价值加上新增投资成</w:t>
      </w:r>
      <w:r>
        <w:rPr/>
        <w:t> </w:t>
      </w:r>
      <w:r>
        <w:rPr>
          <w:spacing w:val="-2"/>
        </w:rPr>
        <w:t>本之和，作为改按成本法核算的初始投资成本，原持有股权的公允价值与账面价值的差额与原计入其他综合收益的累计公允</w:t>
      </w:r>
      <w:r>
        <w:rPr>
          <w:spacing w:val="-64"/>
        </w:rPr>
        <w:t> </w:t>
      </w:r>
      <w:r>
        <w:rPr>
          <w:spacing w:val="-64"/>
        </w:rPr>
      </w:r>
      <w:r>
        <w:rPr/>
        <w:t>价值变动全部转入改按成本法核算的当期投资损益。</w:t>
      </w:r>
    </w:p>
    <w:p>
      <w:pPr>
        <w:pStyle w:val="Heading5"/>
        <w:spacing w:line="240" w:lineRule="auto" w:before="123"/>
        <w:ind w:left="55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6"/>
        </w:rPr>
        <w:t> </w:t>
      </w:r>
      <w:r>
        <w:rPr/>
        <w:t>将多次交易事项判断为一揽子交易的判断标准</w:t>
      </w:r>
    </w:p>
    <w:p>
      <w:pPr>
        <w:pStyle w:val="BodyText"/>
        <w:spacing w:line="240" w:lineRule="auto" w:before="171"/>
        <w:ind w:left="514" w:right="0"/>
        <w:jc w:val="left"/>
      </w:pPr>
      <w:r>
        <w:rPr/>
        <w:t>本公司将多次交易事项判断为一揽子交易的判断标准如下：</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w:t>
      </w:r>
      <w:r>
        <w:rPr>
          <w:rFonts w:ascii="Times New Roman" w:hAnsi="Times New Roman" w:cs="Times New Roman" w:eastAsia="Times New Roman" w:hint="default"/>
        </w:rPr>
        <w:t>1</w:t>
      </w:r>
      <w:r>
        <w:rPr/>
        <w:t>）这些交易是同时或者在考虑了彼此影响的情况下订立的；</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t>（</w:t>
      </w:r>
      <w:r>
        <w:rPr>
          <w:rFonts w:ascii="Times New Roman" w:hAnsi="Times New Roman" w:cs="Times New Roman" w:eastAsia="Times New Roman" w:hint="default"/>
        </w:rPr>
        <w:t>2</w:t>
      </w:r>
      <w:r>
        <w:rPr/>
        <w:t>）这些交易整体才能达成一项完整的商业结果；</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t>（</w:t>
      </w:r>
      <w:r>
        <w:rPr>
          <w:rFonts w:ascii="Times New Roman" w:hAnsi="Times New Roman" w:cs="Times New Roman" w:eastAsia="Times New Roman" w:hint="default"/>
        </w:rPr>
        <w:t>3</w:t>
      </w:r>
      <w:r>
        <w:rPr/>
        <w:t>）一项交易的发生取决于其他至少一项交易的发生；</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t>（</w:t>
      </w:r>
      <w:r>
        <w:rPr>
          <w:rFonts w:ascii="Times New Roman" w:hAnsi="Times New Roman" w:cs="Times New Roman" w:eastAsia="Times New Roman" w:hint="default"/>
        </w:rPr>
        <w:t>4</w:t>
      </w:r>
      <w:r>
        <w:rPr/>
        <w:t>）一项交易单独考虑时是不经济的，但是和其他交易一并考虑时是经济的。</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本公司合并财务报表的合并范围以控制为基础确定，控制是指投资方拥有被投资方的权力，通过参与被投资方的相关活</w:t>
      </w:r>
      <w:r>
        <w:rPr/>
        <w:t> </w:t>
      </w:r>
      <w:r>
        <w:rPr>
          <w:spacing w:val="-2"/>
        </w:rPr>
        <w:t>动而享有可变回报，并且有能力运用对被投资方的权力影响其回报金额。相关活动，是指对被投资方的回报产生重大影响的</w:t>
      </w:r>
      <w:r>
        <w:rPr>
          <w:spacing w:val="-66"/>
        </w:rPr>
        <w:t> </w:t>
      </w:r>
      <w:r>
        <w:rPr>
          <w:spacing w:val="-66"/>
        </w:rPr>
      </w:r>
      <w:r>
        <w:rPr/>
        <w:t>活动。</w:t>
      </w:r>
    </w:p>
    <w:p>
      <w:pPr>
        <w:pStyle w:val="BodyText"/>
        <w:spacing w:line="316" w:lineRule="auto" w:before="139"/>
        <w:ind w:right="1042" w:firstLine="360"/>
        <w:jc w:val="both"/>
      </w:pPr>
      <w:r>
        <w:rPr>
          <w:spacing w:val="-4"/>
        </w:rPr>
        <w:t>被投资方的相关活动根据具体情况进行判断，通常包括商品或劳务的销售和购买、金融资产的管理、资产的购买和处置、</w:t>
      </w:r>
      <w:r>
        <w:rPr/>
        <w:t> 研究与开发活动以及融资活动等。</w:t>
      </w:r>
    </w:p>
    <w:p>
      <w:pPr>
        <w:pStyle w:val="BodyText"/>
        <w:spacing w:line="319" w:lineRule="auto" w:before="139"/>
        <w:ind w:left="154" w:right="1131" w:firstLine="360"/>
        <w:jc w:val="both"/>
      </w:pPr>
      <w:r>
        <w:rPr>
          <w:spacing w:val="-2"/>
        </w:rPr>
        <w:t>在综合考虑被投资方的设立目的、被投资方的相关活动以及如何对相关活动作出决策、本公司享有的权利是否使其目前</w:t>
      </w:r>
      <w:r>
        <w:rPr/>
        <w:t> </w:t>
      </w:r>
      <w:r>
        <w:rPr>
          <w:spacing w:val="-2"/>
        </w:rPr>
        <w:t>有能力主导被投资方的相关活动、是否通过参与被投资方的相关活动而享有可变回报、是否有能力运用对被投资方的权力影</w:t>
      </w:r>
      <w:r>
        <w:rPr>
          <w:spacing w:val="-64"/>
        </w:rPr>
        <w:t> </w:t>
      </w:r>
      <w:r>
        <w:rPr>
          <w:spacing w:val="-64"/>
        </w:rPr>
      </w:r>
      <w:r>
        <w:rPr>
          <w:spacing w:val="-2"/>
        </w:rPr>
        <w:t>响其回报金额以及与其他方的关系等基础上对是否控制被投资方进行判断。一旦相关事实和情况的变化导致控制所涉及的相</w:t>
      </w:r>
      <w:r>
        <w:rPr>
          <w:spacing w:val="-64"/>
        </w:rPr>
        <w:t> </w:t>
      </w:r>
      <w:r>
        <w:rPr>
          <w:spacing w:val="-64"/>
        </w:rPr>
      </w:r>
      <w:r>
        <w:rPr/>
        <w:t>关要素发生变化的，将进行重新评估。</w:t>
      </w:r>
    </w:p>
    <w:p>
      <w:pPr>
        <w:pStyle w:val="BodyText"/>
        <w:spacing w:line="240" w:lineRule="auto" w:before="137"/>
        <w:ind w:left="514" w:right="0"/>
        <w:jc w:val="left"/>
      </w:pPr>
      <w:r>
        <w:rPr/>
        <w:t>在判断是否拥有对被投资方的权力时，仅考虑与被投资方相关的实质性权利，包括自身所享有的实质性权利以及其他方</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所享有的实质性权利。</w:t>
      </w:r>
    </w:p>
    <w:p>
      <w:pPr>
        <w:spacing w:line="240" w:lineRule="auto" w:before="0"/>
        <w:rPr>
          <w:rFonts w:ascii="宋体" w:hAnsi="宋体" w:cs="宋体" w:eastAsia="宋体" w:hint="default"/>
          <w:sz w:val="15"/>
          <w:szCs w:val="15"/>
        </w:rPr>
      </w:pPr>
    </w:p>
    <w:p>
      <w:pPr>
        <w:pStyle w:val="BodyText"/>
        <w:spacing w:line="319" w:lineRule="auto"/>
        <w:ind w:right="1130" w:firstLine="360"/>
        <w:jc w:val="both"/>
      </w:pPr>
      <w:r>
        <w:rPr>
          <w:spacing w:val="-2"/>
        </w:rPr>
        <w:t>本公司以自身和子公司的财务报表为基础，根据其他有关资料将整个企业集团视为一个会计主体，依据相关企业会计准</w:t>
      </w:r>
      <w:r>
        <w:rPr/>
        <w:t> </w:t>
      </w:r>
      <w:r>
        <w:rPr>
          <w:spacing w:val="-2"/>
        </w:rPr>
        <w:t>则的确认、计量和列报要求，已按照统一的会计政策及会计期间，反映企业集团整体财务状况、经营成果和现金流量。合并</w:t>
      </w:r>
      <w:r>
        <w:rPr>
          <w:spacing w:val="-66"/>
        </w:rPr>
        <w:t> </w:t>
      </w:r>
      <w:r>
        <w:rPr>
          <w:spacing w:val="-66"/>
        </w:rPr>
      </w:r>
      <w:r>
        <w:rPr>
          <w:spacing w:val="-2"/>
        </w:rPr>
        <w:t>程序具体包括：合并母公司与子公司的资产、负债、所有者权益、收入、费用和现金流等项目；抵销母公司对子公司的长期</w:t>
      </w:r>
      <w:r>
        <w:rPr>
          <w:spacing w:val="-68"/>
        </w:rPr>
        <w:t> </w:t>
      </w:r>
      <w:r>
        <w:rPr>
          <w:spacing w:val="-68"/>
        </w:rPr>
      </w:r>
      <w:r>
        <w:rPr>
          <w:spacing w:val="-2"/>
        </w:rPr>
        <w:t>股权投资与母公司在子公司所有者权益中所享有的份额；抵销母公司与子公司、子公司相互之间发生的内部交易的影响，内</w:t>
      </w:r>
      <w:r>
        <w:rPr>
          <w:spacing w:val="-65"/>
        </w:rPr>
        <w:t> </w:t>
      </w:r>
      <w:r>
        <w:rPr>
          <w:spacing w:val="-65"/>
        </w:rPr>
      </w:r>
      <w:r>
        <w:rPr/>
        <w:t>部交易表明相关资产发生减值损失的，全额确认该部分损失；站在企业集团角度对特殊交易事项予以调整。</w:t>
      </w:r>
    </w:p>
    <w:p>
      <w:pPr>
        <w:pStyle w:val="BodyText"/>
        <w:spacing w:line="300" w:lineRule="auto" w:before="137"/>
        <w:ind w:right="1148" w:firstLine="360"/>
        <w:jc w:val="both"/>
      </w:pPr>
      <w:r>
        <w:rPr/>
        <w:t>子公司所有者权益中不属于母公司的份额，作为少数股东权益，在合并资产负债表中所有者权益项目下以</w:t>
      </w:r>
      <w:r>
        <w:rPr>
          <w:rFonts w:ascii="Times New Roman" w:hAnsi="Times New Roman" w:cs="Times New Roman" w:eastAsia="Times New Roman" w:hint="default"/>
        </w:rPr>
        <w:t>“</w:t>
      </w:r>
      <w:r>
        <w:rPr/>
        <w:t>少数股东权 益</w:t>
      </w:r>
      <w:r>
        <w:rPr>
          <w:rFonts w:ascii="Times New Roman" w:hAnsi="Times New Roman" w:cs="Times New Roman" w:eastAsia="Times New Roman" w:hint="default"/>
        </w:rPr>
        <w:t>”</w:t>
      </w:r>
      <w:r>
        <w:rPr/>
        <w:t>项目列示。</w:t>
      </w:r>
    </w:p>
    <w:p>
      <w:pPr>
        <w:pStyle w:val="BodyText"/>
        <w:spacing w:line="300" w:lineRule="auto" w:before="133"/>
        <w:ind w:right="1068" w:firstLine="360"/>
        <w:jc w:val="both"/>
      </w:pPr>
      <w:r>
        <w:rPr>
          <w:spacing w:val="-2"/>
        </w:rPr>
        <w:t>子公司当期净损益中属于少数股东权益的份额，在合并利润表中净利润项目下以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项目列示。子公司当期</w:t>
      </w:r>
      <w:r>
        <w:rPr/>
        <w:t> 综合收益中属于少数股东权益的份额，在合并利润表中综合收益总额项目下以</w:t>
      </w:r>
      <w:r>
        <w:rPr>
          <w:rFonts w:ascii="Times New Roman" w:hAnsi="Times New Roman" w:cs="Times New Roman" w:eastAsia="Times New Roman" w:hint="default"/>
        </w:rPr>
        <w:t>“</w:t>
      </w:r>
      <w:r>
        <w:rPr/>
        <w:t>归属于少数股东的综合收益总额</w:t>
      </w:r>
      <w:r>
        <w:rPr>
          <w:rFonts w:ascii="Times New Roman" w:hAnsi="Times New Roman" w:cs="Times New Roman" w:eastAsia="Times New Roman" w:hint="default"/>
        </w:rPr>
        <w:t>”</w:t>
      </w:r>
      <w:r>
        <w:rPr/>
        <w:t>项目列示。</w:t>
      </w:r>
    </w:p>
    <w:p>
      <w:pPr>
        <w:pStyle w:val="BodyText"/>
        <w:spacing w:line="316" w:lineRule="auto" w:before="133"/>
        <w:ind w:right="1131" w:firstLine="360"/>
        <w:jc w:val="both"/>
      </w:pPr>
      <w:r>
        <w:rPr>
          <w:spacing w:val="-2"/>
        </w:rPr>
        <w:t>子公司少数股东分担的当期亏损超过了少数股东在该子公司期初所有者权益中所享有的份额的，其余额仍冲减少数股东</w:t>
      </w:r>
      <w:r>
        <w:rPr/>
        <w:t> 权益。</w:t>
      </w:r>
    </w:p>
    <w:p>
      <w:pPr>
        <w:pStyle w:val="BodyText"/>
        <w:spacing w:line="300" w:lineRule="auto" w:before="139"/>
        <w:ind w:right="1129" w:firstLine="360"/>
        <w:jc w:val="both"/>
      </w:pPr>
      <w:r>
        <w:rPr>
          <w:spacing w:val="-2"/>
        </w:rPr>
        <w:t>向子公司出售资产所发生的未实现内部交易损益，全额抵销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。子公司向母公司出售资产</w:t>
      </w:r>
      <w:r>
        <w:rPr/>
        <w:t> </w:t>
      </w:r>
      <w:r>
        <w:rPr>
          <w:spacing w:val="-1"/>
        </w:rPr>
        <w:t>所发生的未实现内部交易损益，按照母公司对该子公司的分配比例在</w:t>
      </w:r>
      <w:r>
        <w:rPr>
          <w:rFonts w:ascii="Times New Roman" w:hAnsi="Times New Roman" w:cs="Times New Roman" w:eastAsia="Times New Roman" w:hint="default"/>
          <w:spacing w:val="-1"/>
        </w:rPr>
        <w:t>“</w:t>
      </w:r>
      <w:r>
        <w:rPr>
          <w:spacing w:val="-1"/>
        </w:rPr>
        <w:t>归属于母公司所有者的净利润</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少数股东损益</w:t>
      </w:r>
      <w:r>
        <w:rPr>
          <w:rFonts w:ascii="Times New Roman" w:hAnsi="Times New Roman" w:cs="Times New Roman" w:eastAsia="Times New Roman" w:hint="default"/>
          <w:spacing w:val="-1"/>
        </w:rPr>
        <w:t>”</w:t>
      </w:r>
      <w:r>
        <w:rPr>
          <w:spacing w:val="-1"/>
        </w:rPr>
        <w:t>之间</w:t>
      </w:r>
      <w:r>
        <w:rPr>
          <w:spacing w:val="-76"/>
        </w:rPr>
        <w:t> </w:t>
      </w:r>
      <w:r>
        <w:rPr/>
        <w:t>分配抵销。子公司之间出售资产所发生的未实现内部交易损益，按照母公司对出售方子公司的分配比例在</w:t>
      </w:r>
      <w:r>
        <w:rPr>
          <w:rFonts w:ascii="Times New Roman" w:hAnsi="Times New Roman" w:cs="Times New Roman" w:eastAsia="Times New Roman" w:hint="default"/>
        </w:rPr>
        <w:t>“</w:t>
      </w:r>
      <w:r>
        <w:rPr/>
        <w:t>归属于母公司所 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6" w:lineRule="auto" w:before="133"/>
        <w:ind w:left="154" w:right="1131" w:firstLine="360"/>
        <w:jc w:val="both"/>
      </w:pPr>
      <w:r>
        <w:rPr>
          <w:spacing w:val="-2"/>
        </w:rPr>
        <w:t>本公司在报告期内因同一控制下企业合并增加的子公司以及业务，编制合并报表时，调整合并资产负债表的期初数，将</w:t>
      </w:r>
      <w:r>
        <w:rPr/>
        <w:t> </w:t>
      </w:r>
      <w:r>
        <w:rPr>
          <w:spacing w:val="-2"/>
        </w:rPr>
        <w:t>该子公司以及业务合并当期期初至报告期末的收入、费用、利润纳入合并利润表，现金流量纳入合并现金流量表，同时对比</w:t>
      </w:r>
      <w:r>
        <w:rPr>
          <w:spacing w:val="-66"/>
        </w:rPr>
        <w:t> </w:t>
      </w:r>
      <w:r>
        <w:rPr>
          <w:spacing w:val="-66"/>
        </w:rPr>
      </w:r>
      <w:r>
        <w:rPr/>
        <w:t>较报表的相关项目进行调整，视同合并后的报告主体自最终控制方开始控制时点起一直存在。</w:t>
      </w:r>
    </w:p>
    <w:p>
      <w:pPr>
        <w:pStyle w:val="BodyText"/>
        <w:spacing w:line="316" w:lineRule="auto" w:before="139"/>
        <w:ind w:right="1131" w:firstLine="360"/>
        <w:jc w:val="both"/>
      </w:pPr>
      <w:r>
        <w:rPr>
          <w:spacing w:val="-2"/>
        </w:rPr>
        <w:t>本公司在报告期内因非同一控制下企业合并或其他方式增加的子公司以及业务，编制合并资产负债表时，不调整合并资</w:t>
      </w:r>
      <w:r>
        <w:rPr/>
        <w:t> </w:t>
      </w:r>
      <w:r>
        <w:rPr>
          <w:spacing w:val="-2"/>
        </w:rPr>
        <w:t>产负债表的期初数，将该子公司以及业务购买日至报告期末的收入、费用、利润、现金流量纳入合并利润表和合并现金流量</w:t>
      </w:r>
      <w:r>
        <w:rPr>
          <w:spacing w:val="-66"/>
        </w:rPr>
        <w:t> </w:t>
      </w:r>
      <w:r>
        <w:rPr>
          <w:spacing w:val="-66"/>
        </w:rPr>
      </w:r>
      <w:r>
        <w:rPr/>
        <w:t>表。</w:t>
      </w:r>
    </w:p>
    <w:p>
      <w:pPr>
        <w:pStyle w:val="BodyText"/>
        <w:spacing w:line="316" w:lineRule="auto" w:before="139"/>
        <w:ind w:left="154" w:right="1131" w:firstLine="360"/>
        <w:jc w:val="both"/>
      </w:pPr>
      <w:r>
        <w:rPr>
          <w:spacing w:val="-2"/>
        </w:rPr>
        <w:t>本公司在报告期内处置子公司以及业务，编制合并资产负债表时，不调整合并资产负债表的期初数，该子公司以及业务</w:t>
      </w:r>
      <w:r>
        <w:rPr/>
        <w:t> 期初至处置日的收入、费用、利润纳入合并利润表，现金流量纳入合并现金流量表。</w:t>
      </w:r>
    </w:p>
    <w:p>
      <w:pPr>
        <w:pStyle w:val="BodyText"/>
        <w:spacing w:line="316" w:lineRule="auto" w:before="139"/>
        <w:ind w:right="1132" w:firstLine="360"/>
        <w:jc w:val="both"/>
      </w:pPr>
      <w:r>
        <w:rPr>
          <w:spacing w:val="-2"/>
        </w:rPr>
        <w:t>母公司购买子公司少数股东拥有的子公司股权，在合并财务报表中，因购买少数股权新取得的长期股权投资与按照新增</w:t>
      </w:r>
      <w:r>
        <w:rPr/>
        <w:t> 持股比例计算应享有子公司自购买日或合并日开始持续计算的净资产份额之间的差额，调整资本公积（资本溢价或股本溢</w:t>
      </w:r>
      <w:r>
        <w:rPr>
          <w:spacing w:val="-9"/>
        </w:rPr>
        <w:t> </w:t>
      </w:r>
      <w:r>
        <w:rPr>
          <w:spacing w:val="-9"/>
        </w:rPr>
      </w:r>
      <w:r>
        <w:rPr/>
        <w:t>价），资本公积不足冲减的，调整留存收益。</w:t>
      </w:r>
    </w:p>
    <w:p>
      <w:pPr>
        <w:pStyle w:val="BodyText"/>
        <w:spacing w:line="309" w:lineRule="auto" w:before="139"/>
        <w:ind w:right="1131" w:firstLine="360"/>
        <w:jc w:val="both"/>
      </w:pPr>
      <w:r>
        <w:rPr>
          <w:spacing w:val="-2"/>
        </w:rPr>
        <w:t>通过多次交易分步实现的同一控制下企业合并，不属于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的，取得控制权日，合并方在达到合并之前持有的</w:t>
      </w:r>
      <w:r>
        <w:rPr/>
        <w:t> </w:t>
      </w:r>
      <w:r>
        <w:rPr>
          <w:spacing w:val="-2"/>
        </w:rPr>
        <w:t>长期股权投资，在取得日与合并方与被合并方同处于同一方最终控制之日熟晚日与合并日之间已确认有关损益、其他综合收</w:t>
      </w:r>
      <w:r>
        <w:rPr>
          <w:spacing w:val="-64"/>
        </w:rPr>
        <w:t> </w:t>
      </w:r>
      <w:r>
        <w:rPr>
          <w:spacing w:val="-64"/>
        </w:rPr>
      </w:r>
      <w:r>
        <w:rPr/>
        <w:t>益和其他所有者权益变动，分别冲减比较报表期间的期初留存收益或当期损益。</w:t>
      </w:r>
    </w:p>
    <w:p>
      <w:pPr>
        <w:pStyle w:val="BodyText"/>
        <w:spacing w:line="312" w:lineRule="auto" w:before="144"/>
        <w:ind w:right="1131" w:firstLine="360"/>
        <w:jc w:val="both"/>
      </w:pPr>
      <w:r>
        <w:rPr>
          <w:spacing w:val="-2"/>
        </w:rPr>
        <w:t>通过多次交易分步实现非同一控制下企业合并，不属于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的，在合并财务报表中，对于购买日之前持有的被</w:t>
      </w:r>
      <w:r>
        <w:rPr/>
        <w:t> </w:t>
      </w:r>
      <w:r>
        <w:rPr>
          <w:spacing w:val="-2"/>
        </w:rPr>
        <w:t>购买方的股权，按照该股权在购买日的公允价值进行重新计量，公允价值与其账面价值的差额计入当期投资收益；购买日之</w:t>
      </w:r>
      <w:r>
        <w:rPr>
          <w:spacing w:val="-66"/>
        </w:rPr>
        <w:t> </w:t>
      </w:r>
      <w:r>
        <w:rPr>
          <w:spacing w:val="-66"/>
        </w:rPr>
      </w:r>
      <w:r>
        <w:rPr>
          <w:spacing w:val="-2"/>
        </w:rPr>
        <w:t>前持有的被购买方的股权涉及权益法核算下的其他综合收益等的，与其相关的其他综合收益等转为购买日所属当期收益。由</w:t>
      </w:r>
      <w:r>
        <w:rPr>
          <w:spacing w:val="-64"/>
        </w:rPr>
        <w:t> </w:t>
      </w:r>
      <w:r>
        <w:rPr>
          <w:spacing w:val="-64"/>
        </w:rPr>
      </w:r>
      <w:r>
        <w:rPr/>
        <w:t>于被投资方重新计量设定收益计划净负债或资产变动而产生的其他综合收益除外。</w:t>
      </w:r>
    </w:p>
    <w:p>
      <w:pPr>
        <w:pStyle w:val="BodyText"/>
        <w:spacing w:line="319" w:lineRule="auto" w:before="142"/>
        <w:ind w:right="1131" w:firstLine="360"/>
        <w:jc w:val="both"/>
      </w:pPr>
      <w:r>
        <w:rPr>
          <w:spacing w:val="-2"/>
        </w:rPr>
        <w:t>母公司在不丧失控制权的情况下部分处置对子公司的长期股权投资，在合并财务报表中，处置价款与处置长期股权投资</w:t>
      </w:r>
      <w:r>
        <w:rPr/>
        <w:t> </w:t>
      </w: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w:t>
      </w:r>
    </w:p>
    <w:p>
      <w:pPr>
        <w:pStyle w:val="BodyText"/>
        <w:spacing w:line="316" w:lineRule="auto" w:before="137"/>
        <w:ind w:left="154" w:right="1132" w:firstLine="360"/>
        <w:jc w:val="both"/>
      </w:pPr>
      <w:r>
        <w:rPr>
          <w:spacing w:val="-2"/>
        </w:rPr>
        <w:t>因处置部分股权投资等原因丧失了对被投资方的控制权的，在编制合并财务报表时，对于剩余股权，按照其在丧失控制</w:t>
      </w:r>
      <w:r>
        <w:rPr/>
        <w:t> </w:t>
      </w:r>
      <w:r>
        <w:rPr>
          <w:spacing w:val="-2"/>
        </w:rPr>
        <w:t>权日的公允价值进行重新计量。处置股权取得的对价与剩余股权公允价值之和，减去按原持股比例计算应享有原有子公司自</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购买日或合并日开始持续计算的净资产的份额之间的差额，计入丧失控制权当期的投资收益，同时冲减商誉。与原有子公司</w:t>
      </w:r>
      <w:r>
        <w:rPr>
          <w:spacing w:val="-66"/>
        </w:rPr>
        <w:t> </w:t>
      </w:r>
      <w:r>
        <w:rPr>
          <w:spacing w:val="-66"/>
        </w:rPr>
      </w:r>
      <w:r>
        <w:rPr/>
        <w:t>股权投资相关的其他综合收益等，在丧失控制权时转为当期投资收益。</w:t>
      </w:r>
    </w:p>
    <w:p>
      <w:pPr>
        <w:pStyle w:val="BodyText"/>
        <w:spacing w:line="319" w:lineRule="auto" w:before="139"/>
        <w:ind w:right="1131" w:firstLine="360"/>
        <w:jc w:val="both"/>
      </w:pPr>
      <w:r>
        <w:rPr>
          <w:spacing w:val="-2"/>
        </w:rPr>
        <w:t>通过多次交易分步处置对子公司股权投资直至丧失控制权的，如果处置对子公司股权投资直至丧失控制权的各项交易属</w:t>
      </w:r>
      <w:r>
        <w:rPr/>
        <w:t> </w:t>
      </w:r>
      <w:r>
        <w:rPr>
          <w:spacing w:val="-2"/>
        </w:rPr>
        <w:t>于一揽子交易的，将各项交易作为一项处置子公司并丧失控制权的交易进行会计处理；但是，在丧失控制权之前每一次处置</w:t>
      </w:r>
      <w:r>
        <w:rPr>
          <w:spacing w:val="-66"/>
        </w:rPr>
        <w:t> </w:t>
      </w:r>
      <w:r>
        <w:rPr>
          <w:spacing w:val="-66"/>
        </w:rPr>
      </w:r>
      <w:r>
        <w:rPr>
          <w:spacing w:val="-2"/>
        </w:rPr>
        <w:t>价款与处置投资对应的享有该子公司净资产份额的差额，在合并财务报表中确认为其他综合收益，在丧失控制权时一并转入</w:t>
      </w:r>
      <w:r>
        <w:rPr>
          <w:spacing w:val="-64"/>
        </w:rPr>
        <w:t> </w:t>
      </w:r>
      <w:r>
        <w:rPr>
          <w:spacing w:val="-64"/>
        </w:rPr>
      </w:r>
      <w:r>
        <w:rPr/>
        <w:t>丧失控制权当期的损益。</w:t>
      </w:r>
    </w:p>
    <w:p>
      <w:pPr>
        <w:pStyle w:val="BodyText"/>
        <w:spacing w:line="240" w:lineRule="auto" w:before="137"/>
        <w:ind w:left="513" w:right="0"/>
        <w:jc w:val="left"/>
      </w:pPr>
      <w:r>
        <w:rPr/>
        <w:t>合并所有者权益变动表根据合并资产负债表和合并利润表编制。</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420"/>
        <w:jc w:val="left"/>
      </w:pPr>
      <w:r>
        <w:rPr>
          <w:spacing w:val="-2"/>
        </w:rPr>
        <w:t>合营安排指一项由两个或两个以上的参与方共同控制的安排。共同控制，是指按照相关约定对某项安排所共有的控制，</w:t>
      </w:r>
      <w:r>
        <w:rPr/>
        <w:t> </w:t>
      </w:r>
      <w:r>
        <w:rPr>
          <w:spacing w:val="-2"/>
        </w:rPr>
        <w:t>并且该安排的相关活动必须经过分享控制权的参与方一致同意后才能决策。在判断是否存在共同控制时，应该首先判断所有</w:t>
      </w:r>
      <w:r>
        <w:rPr>
          <w:spacing w:val="-64"/>
        </w:rPr>
        <w:t> </w:t>
      </w:r>
      <w:r>
        <w:rPr>
          <w:spacing w:val="-64"/>
        </w:rPr>
      </w:r>
      <w:r>
        <w:rPr>
          <w:spacing w:val="-2"/>
        </w:rPr>
        <w:t>参与方或参与方组合是否集体控制该安排，其次判断该安排相关活动的决策是否必须经过这些集体控制该安排的参与方一致</w:t>
      </w:r>
      <w:r>
        <w:rPr>
          <w:spacing w:val="-64"/>
        </w:rPr>
        <w:t> </w:t>
      </w:r>
      <w:r>
        <w:rPr>
          <w:spacing w:val="-64"/>
        </w:rPr>
      </w:r>
      <w:r>
        <w:rPr/>
        <w:t>同意。</w:t>
      </w:r>
    </w:p>
    <w:p>
      <w:pPr>
        <w:pStyle w:val="BodyText"/>
        <w:spacing w:line="432" w:lineRule="exact" w:before="3"/>
        <w:ind w:left="573" w:right="0"/>
        <w:jc w:val="left"/>
      </w:pPr>
      <w:r>
        <w:rPr/>
        <w:t>本公司根据在合营安排中享有的权利和承担的义务确定合营安排的分类。合营安排分为共同经营和合营企业。 共同经营，是指合营方享有该安排相关资产且承担该安排相关负债的合营安排。本公司确认其与共同经营中利益份额</w:t>
      </w:r>
    </w:p>
    <w:p>
      <w:pPr>
        <w:pStyle w:val="BodyText"/>
        <w:spacing w:line="240" w:lineRule="auto" w:before="15"/>
        <w:ind w:right="0"/>
        <w:jc w:val="left"/>
      </w:pPr>
      <w:r>
        <w:rPr/>
        <w:t>相关的下列项目，并按照相关企业会计准则的规定进行会计处理：</w:t>
      </w:r>
    </w:p>
    <w:p>
      <w:pPr>
        <w:spacing w:line="240" w:lineRule="auto" w:before="0"/>
        <w:rPr>
          <w:rFonts w:ascii="宋体" w:hAnsi="宋体" w:cs="宋体" w:eastAsia="宋体" w:hint="default"/>
          <w:sz w:val="15"/>
          <w:szCs w:val="15"/>
        </w:rPr>
      </w:pPr>
    </w:p>
    <w:p>
      <w:pPr>
        <w:pStyle w:val="BodyText"/>
        <w:spacing w:line="240" w:lineRule="auto"/>
        <w:ind w:left="640" w:right="0"/>
        <w:jc w:val="left"/>
      </w:pPr>
      <w:r>
        <w:rPr>
          <w:rFonts w:ascii="宋体" w:hAnsi="宋体" w:cs="宋体" w:eastAsia="宋体" w:hint="default"/>
        </w:rPr>
        <w:t>1.  </w:t>
      </w:r>
      <w:r>
        <w:rPr/>
        <w:t>确认单独所持有的资产，以及按其份额确认共同持有的资产；</w:t>
      </w:r>
    </w:p>
    <w:p>
      <w:pPr>
        <w:spacing w:line="240" w:lineRule="auto" w:before="0"/>
        <w:rPr>
          <w:rFonts w:ascii="宋体" w:hAnsi="宋体" w:cs="宋体" w:eastAsia="宋体" w:hint="default"/>
          <w:sz w:val="15"/>
          <w:szCs w:val="15"/>
        </w:rPr>
      </w:pPr>
    </w:p>
    <w:p>
      <w:pPr>
        <w:pStyle w:val="BodyText"/>
        <w:spacing w:line="240" w:lineRule="auto"/>
        <w:ind w:left="640" w:right="0"/>
        <w:jc w:val="left"/>
      </w:pPr>
      <w:r>
        <w:rPr>
          <w:rFonts w:ascii="宋体" w:hAnsi="宋体" w:cs="宋体" w:eastAsia="宋体" w:hint="default"/>
        </w:rPr>
        <w:t>2.  </w:t>
      </w:r>
      <w:r>
        <w:rPr/>
        <w:t>确认单独所承担的负债，以及按其份额确认共同承担的负债；</w:t>
      </w:r>
    </w:p>
    <w:p>
      <w:pPr>
        <w:spacing w:line="240" w:lineRule="auto" w:before="0"/>
        <w:rPr>
          <w:rFonts w:ascii="宋体" w:hAnsi="宋体" w:cs="宋体" w:eastAsia="宋体" w:hint="default"/>
          <w:sz w:val="15"/>
          <w:szCs w:val="15"/>
        </w:rPr>
      </w:pPr>
    </w:p>
    <w:p>
      <w:pPr>
        <w:pStyle w:val="BodyText"/>
        <w:spacing w:line="240" w:lineRule="auto"/>
        <w:ind w:left="640" w:right="0"/>
        <w:jc w:val="left"/>
      </w:pPr>
      <w:r>
        <w:rPr>
          <w:rFonts w:ascii="宋体" w:hAnsi="宋体" w:cs="宋体" w:eastAsia="宋体" w:hint="default"/>
        </w:rPr>
        <w:t>3.  </w:t>
      </w:r>
      <w:r>
        <w:rPr/>
        <w:t>确认出售其享有的共同经营产出份额所产生的收入；</w:t>
      </w:r>
    </w:p>
    <w:p>
      <w:pPr>
        <w:spacing w:line="240" w:lineRule="auto" w:before="1"/>
        <w:rPr>
          <w:rFonts w:ascii="宋体" w:hAnsi="宋体" w:cs="宋体" w:eastAsia="宋体" w:hint="default"/>
          <w:sz w:val="15"/>
          <w:szCs w:val="15"/>
        </w:rPr>
      </w:pPr>
    </w:p>
    <w:p>
      <w:pPr>
        <w:pStyle w:val="BodyText"/>
        <w:spacing w:line="240" w:lineRule="auto"/>
        <w:ind w:left="640" w:right="0"/>
        <w:jc w:val="left"/>
      </w:pPr>
      <w:r>
        <w:rPr>
          <w:rFonts w:ascii="宋体" w:hAnsi="宋体" w:cs="宋体" w:eastAsia="宋体" w:hint="default"/>
        </w:rPr>
        <w:t>4.  </w:t>
      </w:r>
      <w:r>
        <w:rPr/>
        <w:t>按其份额确认共同经营因出售产出所产生的收入；</w:t>
      </w:r>
    </w:p>
    <w:p>
      <w:pPr>
        <w:spacing w:line="240" w:lineRule="auto" w:before="0"/>
        <w:rPr>
          <w:rFonts w:ascii="宋体" w:hAnsi="宋体" w:cs="宋体" w:eastAsia="宋体" w:hint="default"/>
          <w:sz w:val="15"/>
          <w:szCs w:val="15"/>
        </w:rPr>
      </w:pPr>
    </w:p>
    <w:p>
      <w:pPr>
        <w:pStyle w:val="BodyText"/>
        <w:spacing w:line="240" w:lineRule="auto"/>
        <w:ind w:left="640" w:right="0"/>
        <w:jc w:val="left"/>
      </w:pPr>
      <w:r>
        <w:rPr>
          <w:rFonts w:ascii="宋体" w:hAnsi="宋体" w:cs="宋体" w:eastAsia="宋体" w:hint="default"/>
        </w:rPr>
        <w:t>5.  </w:t>
      </w:r>
      <w:r>
        <w:rPr/>
        <w:t>确认单独所发生的费用，以及按其份额确认共同经营发生的费用。</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420"/>
        <w:jc w:val="left"/>
      </w:pPr>
      <w:r>
        <w:rPr/>
        <w:t>在编制现金流量表时，将库存现金以及可以随时用于支付的存款确认为现金。现金等价物是指持有的期限短（一般是 指从购买日起三个月内到期）、流动性强、易于转换为已知金额现金及价值变动风险很小的投资。</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left="514" w:right="3912"/>
        <w:jc w:val="left"/>
      </w:pPr>
      <w:r>
        <w:rPr>
          <w:rFonts w:ascii="Times New Roman" w:hAnsi="Times New Roman" w:cs="Times New Roman" w:eastAsia="Times New Roman" w:hint="default"/>
        </w:rPr>
        <w:t>1. </w:t>
      </w:r>
      <w:r>
        <w:rPr/>
        <w:t>外币业务折算 外币业务采用交易发生日的即期汇率作为折算汇率将外币金额折合成人民币记账。</w:t>
      </w:r>
    </w:p>
    <w:p>
      <w:pPr>
        <w:pStyle w:val="BodyText"/>
        <w:spacing w:line="316" w:lineRule="auto" w:before="65"/>
        <w:ind w:left="154" w:right="1032" w:firstLine="360"/>
        <w:jc w:val="left"/>
      </w:pPr>
      <w:r>
        <w:rPr>
          <w:spacing w:val="-2"/>
        </w:rPr>
        <w:t>外币货币性项目余额按资产负债表日即期汇率折算，由此产生的汇兑差额，除属于与购建符合资本化条件的资产相关的</w:t>
      </w:r>
      <w:r>
        <w:rPr/>
        <w:t> 外币专门借款产生的汇兑差额按照借款费用资本化的原则处理外，均计入当期损益。以历史成本计量的外币非货币性项目， </w:t>
      </w:r>
      <w:r>
        <w:rPr>
          <w:spacing w:val="-2"/>
        </w:rPr>
        <w:t>仍采用交易发生日的即期汇率折算，不改变其记账本位币金额。以公允价值计量的外币非货币性项目，采用公允价值确定日</w:t>
      </w:r>
      <w:r>
        <w:rPr>
          <w:spacing w:val="-66"/>
        </w:rPr>
        <w:t> </w:t>
      </w:r>
      <w:r>
        <w:rPr>
          <w:spacing w:val="-66"/>
        </w:rPr>
      </w:r>
      <w:r>
        <w:rPr/>
        <w:t>的即期汇率折算，由此产生的汇兑差额计入当期损益或其他综合收益。</w:t>
      </w:r>
    </w:p>
    <w:p>
      <w:pPr>
        <w:pStyle w:val="BodyText"/>
        <w:spacing w:line="432" w:lineRule="exact" w:before="4"/>
        <w:ind w:left="574" w:right="1118" w:hanging="60"/>
        <w:jc w:val="left"/>
      </w:pPr>
      <w:r>
        <w:rPr>
          <w:rFonts w:ascii="Times New Roman" w:hAnsi="Times New Roman" w:cs="Times New Roman" w:eastAsia="Times New Roman" w:hint="default"/>
        </w:rPr>
        <w:t>2. </w:t>
      </w:r>
      <w:r>
        <w:rPr/>
        <w:t>外币报表折算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316" w:lineRule="auto" w:before="15"/>
        <w:ind w:right="0"/>
        <w:jc w:val="left"/>
      </w:pPr>
      <w:r>
        <w:rPr>
          <w:spacing w:val="-2"/>
        </w:rPr>
        <w:t>项目采用发生时的即期汇率折算。利润表中的收入和费用项目，通常采用年平均汇率折算。按照上述折算产生的外币财务报</w:t>
      </w:r>
      <w:r>
        <w:rPr>
          <w:spacing w:val="-66"/>
        </w:rPr>
        <w:t> </w:t>
      </w:r>
      <w:r>
        <w:rPr>
          <w:spacing w:val="-66"/>
        </w:rPr>
      </w:r>
      <w:r>
        <w:rPr/>
        <w:t>表折算差额，在其他综合收益项目下单独列示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9" w:firstLine="420"/>
        <w:jc w:val="both"/>
      </w:pPr>
      <w:r>
        <w:rPr/>
        <w:t>处置境外经营时，将资产负债表中其他综合收益项目下列示的、与该境外经营相关的外币财务报表折算差额，自其他 </w:t>
      </w:r>
      <w:r>
        <w:rPr>
          <w:spacing w:val="-2"/>
        </w:rPr>
        <w:t>综合收益项目转入处置当期损益；部分处置境外经营的，按处置的比例计算处置部分的外币财务报表折算差额，转入处置当</w:t>
      </w:r>
      <w:r>
        <w:rPr>
          <w:spacing w:val="-66"/>
        </w:rPr>
        <w:t> </w:t>
      </w:r>
      <w:r>
        <w:rPr>
          <w:spacing w:val="-66"/>
        </w:rPr>
      </w:r>
      <w:r>
        <w:rPr/>
        <w:t>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金融工具包括金融资产、金融负债和权益工具。</w:t>
      </w:r>
    </w:p>
    <w:p>
      <w:pPr>
        <w:pStyle w:val="BodyText"/>
        <w:spacing w:line="420" w:lineRule="atLeast" w:before="25"/>
        <w:ind w:left="514" w:right="0"/>
        <w:jc w:val="left"/>
      </w:pPr>
      <w:r>
        <w:rPr>
          <w:rFonts w:ascii="Times New Roman" w:hAnsi="Times New Roman" w:cs="Times New Roman" w:eastAsia="Times New Roman" w:hint="default"/>
        </w:rPr>
        <w:t>1. </w:t>
      </w:r>
      <w:r>
        <w:rPr/>
        <w:t>金融工具的分类 </w:t>
      </w:r>
      <w:r>
        <w:rPr>
          <w:spacing w:val="-2"/>
        </w:rPr>
        <w:t>管理层按照取得持有金融资产和承担金融负债的目的，将其划分为：以公允价值计量且其变动计入当期损益的金融资产</w:t>
      </w:r>
    </w:p>
    <w:p>
      <w:pPr>
        <w:pStyle w:val="BodyText"/>
        <w:spacing w:line="316" w:lineRule="auto" w:before="76"/>
        <w:ind w:left="154" w:right="1032"/>
        <w:jc w:val="left"/>
      </w:pPr>
      <w:r>
        <w:rPr/>
        <w:t>或金融负债，包括交易性金融资产或金融负债和直接指定为以公允价值计量且其变动计入当期损益的金融资产或金融负债； 持有至到期投资；应收款项；可供出售金融资产；其他金融负债等。</w:t>
      </w:r>
    </w:p>
    <w:p>
      <w:pPr>
        <w:pStyle w:val="BodyText"/>
        <w:spacing w:line="240" w:lineRule="auto" w:before="139"/>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金融工具的确认依据和计量方法</w:t>
      </w:r>
    </w:p>
    <w:p>
      <w:pPr>
        <w:pStyle w:val="BodyText"/>
        <w:spacing w:line="420" w:lineRule="atLeast" w:before="12"/>
        <w:ind w:left="513" w:right="0" w:hanging="9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439" w:lineRule="auto" w:before="76"/>
        <w:ind w:left="513" w:right="2833"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15" w:lineRule="auto" w:before="47"/>
        <w:ind w:left="513" w:right="1748"/>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w:t>
      </w:r>
    </w:p>
    <w:p>
      <w:pPr>
        <w:pStyle w:val="BodyText"/>
        <w:spacing w:line="316" w:lineRule="auto" w:before="65"/>
        <w:ind w:right="1132" w:firstLine="360"/>
        <w:jc w:val="both"/>
      </w:pPr>
      <w:r>
        <w:rPr>
          <w:spacing w:val="-2"/>
        </w:rPr>
        <w:t>持有期间按照摊余成本和实际利率计算确认利息收入，计入投资收益。实际利率在取得时确定，在该预期存续期间或适</w:t>
      </w:r>
      <w:r>
        <w:rPr/>
        <w:t> 用的更短期间内保持不变。</w:t>
      </w:r>
    </w:p>
    <w:p>
      <w:pPr>
        <w:pStyle w:val="BodyText"/>
        <w:spacing w:line="240" w:lineRule="auto" w:before="139"/>
        <w:ind w:left="513" w:right="0"/>
        <w:jc w:val="left"/>
      </w:pPr>
      <w:r>
        <w:rPr/>
        <w:t>处置时，将所取得价款与该投资账面价值之间的差额计入投资收益。</w:t>
      </w:r>
    </w:p>
    <w:p>
      <w:pPr>
        <w:pStyle w:val="BodyText"/>
        <w:spacing w:line="420" w:lineRule="atLeast" w:before="25"/>
        <w:ind w:left="513" w:right="1118"/>
        <w:jc w:val="left"/>
      </w:pPr>
      <w:r>
        <w:rPr/>
        <w:t>（</w:t>
      </w:r>
      <w:r>
        <w:rPr>
          <w:rFonts w:ascii="Times New Roman" w:hAnsi="Times New Roman" w:cs="Times New Roman" w:eastAsia="Times New Roman" w:hint="default"/>
        </w:rPr>
        <w:t>3</w:t>
      </w:r>
      <w:r>
        <w:rPr/>
        <w:t>）应收款项 </w:t>
      </w:r>
      <w:r>
        <w:rPr>
          <w:spacing w:val="-2"/>
        </w:rPr>
        <w:t>对外销售商品或提供劳务形成的应收债权，以及持有的其他企业的不包括在活跃市场上有报价的债务工具的债权，包括</w:t>
      </w:r>
    </w:p>
    <w:p>
      <w:pPr>
        <w:pStyle w:val="BodyText"/>
        <w:spacing w:line="316" w:lineRule="auto" w:before="76"/>
        <w:ind w:right="1033"/>
        <w:jc w:val="left"/>
      </w:pPr>
      <w:r>
        <w:rPr/>
        <w:t>应收账款、其他应收款、应收票据、预付账款等，以向购货方应收的合同或协议价款作为初始确认金额；具有融资性质的， 按其现值进行初始确认。</w:t>
      </w:r>
    </w:p>
    <w:p>
      <w:pPr>
        <w:pStyle w:val="BodyText"/>
        <w:spacing w:line="240" w:lineRule="auto" w:before="139"/>
        <w:ind w:left="513" w:right="0"/>
        <w:jc w:val="left"/>
      </w:pPr>
      <w:r>
        <w:rPr/>
        <w:t>收回或处置时，将取得的价款与该应收款项账面价值之间的差额计入当期损益。</w:t>
      </w:r>
    </w:p>
    <w:p>
      <w:pPr>
        <w:pStyle w:val="BodyText"/>
        <w:spacing w:line="420" w:lineRule="atLeast" w:before="25"/>
        <w:ind w:left="514" w:right="0"/>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240" w:lineRule="auto" w:before="76"/>
        <w:ind w:left="154" w:right="0"/>
        <w:jc w:val="left"/>
      </w:pPr>
      <w:r>
        <w:rPr/>
        <w:t>初始确认金额。</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持有期间将取得的利息或现金股利确认为投资收益。期末以公允价值计量且将公允价值变动计入其他综合收益。对被投</w:t>
      </w:r>
      <w:r>
        <w:rPr/>
        <w:t> </w:t>
      </w:r>
      <w:r>
        <w:rPr>
          <w:spacing w:val="-2"/>
        </w:rPr>
        <w:t>资单位不具有控制、共同控制或重大影响并且在活跃市场中没有报价、公允价值不能可靠计量的股权投资，作为可供出售金</w:t>
      </w:r>
      <w:r>
        <w:rPr>
          <w:spacing w:val="-66"/>
        </w:rPr>
        <w:t> </w:t>
      </w:r>
      <w:r>
        <w:rPr>
          <w:spacing w:val="-66"/>
        </w:rPr>
      </w:r>
      <w:r>
        <w:rPr/>
        <w:t>融资产列报，按成本进行后续计量。</w:t>
      </w:r>
    </w:p>
    <w:p>
      <w:pPr>
        <w:pStyle w:val="BodyText"/>
        <w:spacing w:line="316" w:lineRule="auto" w:before="139"/>
        <w:ind w:left="154" w:right="1131" w:firstLine="360"/>
        <w:jc w:val="both"/>
      </w:pPr>
      <w:r>
        <w:rPr>
          <w:spacing w:val="-2"/>
        </w:rPr>
        <w:t>处置时，将取得的价款与该金融资产账面价值之间的差额，计入投资损益；同时，将原其他综合收益的公允价值变动累</w:t>
      </w:r>
      <w:r>
        <w:rPr/>
        <w:t> 计额对应处置部分的金额转出，计入投资损益。</w:t>
      </w:r>
    </w:p>
    <w:p>
      <w:pPr>
        <w:pStyle w:val="BodyText"/>
        <w:spacing w:line="415" w:lineRule="auto" w:before="139"/>
        <w:ind w:left="514" w:right="3732"/>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after="0" w:line="415"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40" w:lineRule="auto" w:before="38"/>
        <w:ind w:left="55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6"/>
        </w:rPr>
        <w:t> </w:t>
      </w:r>
      <w:r>
        <w:rPr/>
        <w:t>金融资产转移的确认依据和计量方法</w:t>
      </w:r>
    </w:p>
    <w:p>
      <w:pPr>
        <w:pStyle w:val="BodyText"/>
        <w:spacing w:line="316" w:lineRule="auto" w:before="171"/>
        <w:ind w:right="1133" w:firstLine="360"/>
        <w:jc w:val="both"/>
      </w:pPr>
      <w:r>
        <w:rPr>
          <w:spacing w:val="-2"/>
        </w:rPr>
        <w:t>发生金融资产转移时，如已将金融资产所有权上几乎所有的风险和报酬转移给转入方，则终止确认该金融资产；如保留</w:t>
      </w:r>
      <w:r>
        <w:rPr/>
        <w:t> 了金融资产所有权上几乎所有的风险和报酬的，则不终止确认该金融资产。</w:t>
      </w:r>
    </w:p>
    <w:p>
      <w:pPr>
        <w:pStyle w:val="BodyText"/>
        <w:spacing w:line="316" w:lineRule="auto" w:before="139"/>
        <w:ind w:right="1132" w:firstLine="360"/>
        <w:jc w:val="both"/>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39"/>
        <w:ind w:left="513" w:right="0"/>
        <w:jc w:val="left"/>
      </w:pPr>
      <w:r>
        <w:rPr/>
        <w:t>（</w:t>
      </w:r>
      <w:r>
        <w:rPr>
          <w:rFonts w:ascii="Times New Roman" w:hAnsi="Times New Roman" w:cs="Times New Roman" w:eastAsia="Times New Roman" w:hint="default"/>
        </w:rPr>
        <w:t>1</w:t>
      </w:r>
      <w:r>
        <w:rPr/>
        <w:t>）所转移金融资产的账面价值；</w:t>
      </w:r>
    </w:p>
    <w:p>
      <w:pPr>
        <w:spacing w:line="240" w:lineRule="auto" w:before="13"/>
        <w:rPr>
          <w:rFonts w:ascii="宋体" w:hAnsi="宋体" w:cs="宋体" w:eastAsia="宋体" w:hint="default"/>
          <w:sz w:val="13"/>
          <w:szCs w:val="13"/>
        </w:rPr>
      </w:pPr>
    </w:p>
    <w:p>
      <w:pPr>
        <w:pStyle w:val="BodyText"/>
        <w:spacing w:line="300" w:lineRule="auto"/>
        <w:ind w:left="154" w:right="1131" w:firstLine="36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6" w:lineRule="auto" w:before="151"/>
        <w:ind w:right="1050" w:firstLine="360"/>
        <w:jc w:val="both"/>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39"/>
        <w:ind w:left="513" w:right="0"/>
        <w:jc w:val="left"/>
      </w:pPr>
      <w:r>
        <w:rPr/>
        <w:t>（</w:t>
      </w:r>
      <w:r>
        <w:rPr>
          <w:rFonts w:ascii="Times New Roman" w:hAnsi="Times New Roman" w:cs="Times New Roman" w:eastAsia="Times New Roman" w:hint="default"/>
        </w:rPr>
        <w:t>1</w:t>
      </w:r>
      <w:r>
        <w:rPr/>
        <w:t>）终止确认部分的账面价值；</w:t>
      </w:r>
    </w:p>
    <w:p>
      <w:pPr>
        <w:spacing w:line="240" w:lineRule="auto" w:before="13"/>
        <w:rPr>
          <w:rFonts w:ascii="宋体" w:hAnsi="宋体" w:cs="宋体" w:eastAsia="宋体" w:hint="default"/>
          <w:sz w:val="13"/>
          <w:szCs w:val="13"/>
        </w:rPr>
      </w:pPr>
    </w:p>
    <w:p>
      <w:pPr>
        <w:pStyle w:val="BodyText"/>
        <w:spacing w:line="300" w:lineRule="auto"/>
        <w:ind w:left="154" w:right="1131" w:firstLine="36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240" w:lineRule="auto" w:before="151"/>
        <w:ind w:left="513" w:right="0"/>
        <w:jc w:val="left"/>
      </w:pPr>
      <w:r>
        <w:rPr/>
        <w:t>金融资产转移不满足终止确认条件的，继续确认该金融资产，所收到的对价确认为一项金融负债。</w:t>
      </w:r>
    </w:p>
    <w:p>
      <w:pPr>
        <w:spacing w:line="240" w:lineRule="auto" w:before="10"/>
        <w:rPr>
          <w:rFonts w:ascii="宋体" w:hAnsi="宋体" w:cs="宋体" w:eastAsia="宋体" w:hint="default"/>
          <w:sz w:val="13"/>
          <w:szCs w:val="13"/>
        </w:rPr>
      </w:pPr>
    </w:p>
    <w:p>
      <w:pPr>
        <w:pStyle w:val="Heading5"/>
        <w:spacing w:line="374" w:lineRule="auto"/>
        <w:ind w:left="55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金融负债终止确认条件</w:t>
      </w:r>
      <w:r>
        <w:rPr>
          <w:w w:val="100"/>
        </w:rPr>
        <w:t> </w:t>
      </w:r>
      <w:r>
        <w:rPr/>
        <w:t>金融负债的现时义务全部或部分已经解除的，则终止确认该金融负债或其一部分；本公司若与债权人签定</w:t>
      </w:r>
    </w:p>
    <w:p>
      <w:pPr>
        <w:pStyle w:val="Heading5"/>
        <w:spacing w:line="200" w:lineRule="exact"/>
        <w:ind w:right="0"/>
        <w:jc w:val="left"/>
      </w:pPr>
      <w:r>
        <w:rPr/>
        <w:t>协议，以承担新金融负债方式替换现存金融负债，且新金融负债与现存金融负债的合同条款实质上不同的，则</w:t>
      </w:r>
    </w:p>
    <w:p>
      <w:pPr>
        <w:pStyle w:val="Heading5"/>
        <w:spacing w:line="240" w:lineRule="auto" w:before="50"/>
        <w:ind w:right="0"/>
        <w:jc w:val="left"/>
      </w:pPr>
      <w:r>
        <w:rPr/>
        <w:t>终止确认现存金融负债，并同时确认新金融负债。</w:t>
      </w:r>
    </w:p>
    <w:p>
      <w:pPr>
        <w:pStyle w:val="Heading5"/>
        <w:spacing w:line="285" w:lineRule="auto" w:before="170"/>
        <w:ind w:right="1135" w:firstLine="399"/>
        <w:jc w:val="both"/>
      </w:pPr>
      <w:r>
        <w:rPr/>
        <w:t>对现存金融负债全部或部分合同条款作出实质性修改的，则终止确认现存金融负债或其一部分，同时将修</w:t>
      </w:r>
      <w:r>
        <w:rPr>
          <w:w w:val="100"/>
        </w:rPr>
        <w:t> </w:t>
      </w:r>
      <w:r>
        <w:rPr/>
        <w:t>改条款后的金融负债确认为一项新金融负债。</w:t>
      </w:r>
    </w:p>
    <w:p>
      <w:pPr>
        <w:pStyle w:val="Heading5"/>
        <w:spacing w:line="285" w:lineRule="auto" w:before="132"/>
        <w:ind w:right="1133" w:firstLine="399"/>
        <w:jc w:val="both"/>
      </w:pPr>
      <w:r>
        <w:rPr/>
        <w:t>金融负债全部或部分终止确认时，终止确认的金融负债账面价值与支付对价（包括转出的非现金资产或承</w:t>
      </w:r>
      <w:r>
        <w:rPr>
          <w:w w:val="100"/>
        </w:rPr>
        <w:t> </w:t>
      </w:r>
      <w:r>
        <w:rPr/>
        <w:t>担的新金融负债）之间的差额，计入当期损益。</w:t>
      </w:r>
    </w:p>
    <w:p>
      <w:pPr>
        <w:pStyle w:val="Heading5"/>
        <w:spacing w:line="285" w:lineRule="auto" w:before="132"/>
        <w:ind w:right="1135" w:firstLine="399"/>
        <w:jc w:val="both"/>
      </w:pPr>
      <w:r>
        <w:rPr/>
        <w:t>若回购部分金融负债的，在回购日按照继续确认部分与终止确认部分的相对公允价值，将该金融负债整体</w:t>
      </w:r>
      <w:r>
        <w:rPr>
          <w:w w:val="100"/>
        </w:rPr>
        <w:t> </w:t>
      </w:r>
      <w:r>
        <w:rPr/>
        <w:t>的账面价值进行分配。分配给终止确认部分的账面价值与支付的对价（包括转出的非现金资产或承担的新金融</w:t>
      </w:r>
      <w:r>
        <w:rPr>
          <w:spacing w:val="-65"/>
        </w:rPr>
        <w:t> </w:t>
      </w:r>
      <w:r>
        <w:rPr>
          <w:spacing w:val="-65"/>
        </w:rPr>
      </w:r>
      <w:r>
        <w:rPr/>
        <w:t>负债）之间的差额，计入当期损益。</w:t>
      </w:r>
    </w:p>
    <w:p>
      <w:pPr>
        <w:pStyle w:val="Heading5"/>
        <w:spacing w:line="386" w:lineRule="auto" w:before="132"/>
        <w:ind w:left="553" w:right="373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金融资产和金融负债公允价值的确定方法</w:t>
      </w:r>
      <w:r>
        <w:rPr>
          <w:w w:val="100"/>
        </w:rPr>
        <w:t> </w:t>
      </w:r>
      <w:r>
        <w:rPr>
          <w:spacing w:val="-1"/>
        </w:rPr>
        <w:t>采用公允价值计量的金融资产和金融负债全部直接参考活跃市场中的报价。</w:t>
      </w:r>
      <w:r>
        <w:rPr>
          <w:spacing w:val="-74"/>
        </w:rPr>
        <w:t> </w:t>
      </w:r>
      <w:r>
        <w:rPr>
          <w:spacing w:val="-74"/>
        </w:rPr>
      </w:r>
      <w:r>
        <w:rPr>
          <w:rFonts w:ascii="Times New Roman" w:hAnsi="Times New Roman" w:cs="Times New Roman" w:eastAsia="Times New Roman" w:hint="default"/>
        </w:rPr>
        <w:t>6.</w:t>
      </w:r>
      <w:r>
        <w:rPr>
          <w:rFonts w:ascii="Times New Roman" w:hAnsi="Times New Roman" w:cs="Times New Roman" w:eastAsia="Times New Roman" w:hint="default"/>
          <w:spacing w:val="47"/>
        </w:rPr>
        <w:t> </w:t>
      </w:r>
      <w:r>
        <w:rPr/>
        <w:t>金融资产（不含应收款项）减值</w:t>
      </w:r>
    </w:p>
    <w:p>
      <w:pPr>
        <w:pStyle w:val="Heading5"/>
        <w:spacing w:line="285" w:lineRule="auto" w:before="20"/>
        <w:ind w:right="0" w:firstLine="399"/>
        <w:jc w:val="left"/>
      </w:pPr>
      <w:r>
        <w:rPr>
          <w:spacing w:val="-2"/>
        </w:rPr>
        <w:t>除以公允价值计量且其变动计入当期损益的金融资产外，于资产负债表日对金融资产的账面价值进行检查，</w:t>
      </w:r>
      <w:r>
        <w:rPr>
          <w:w w:val="100"/>
        </w:rPr>
        <w:t> </w:t>
      </w:r>
      <w:r>
        <w:rPr/>
        <w:t>如果有客观证据表明某项金融资产发生减值的，计提减值准备。</w:t>
      </w:r>
    </w:p>
    <w:p>
      <w:pPr>
        <w:pStyle w:val="BodyText"/>
        <w:spacing w:line="240" w:lineRule="auto" w:before="148"/>
        <w:ind w:left="513" w:right="0"/>
        <w:jc w:val="left"/>
      </w:pPr>
      <w:r>
        <w:rPr/>
        <w:t>（</w:t>
      </w:r>
      <w:r>
        <w:rPr>
          <w:rFonts w:ascii="Times New Roman" w:hAnsi="Times New Roman" w:cs="Times New Roman" w:eastAsia="Times New Roman" w:hint="default"/>
        </w:rPr>
        <w:t>1</w:t>
      </w:r>
      <w:r>
        <w:rPr/>
        <w:t>）可供出售金融资产的减值</w:t>
      </w:r>
    </w:p>
    <w:p>
      <w:pPr>
        <w:spacing w:line="240" w:lineRule="auto" w:before="10"/>
        <w:rPr>
          <w:rFonts w:ascii="宋体" w:hAnsi="宋体" w:cs="宋体" w:eastAsia="宋体" w:hint="default"/>
          <w:sz w:val="12"/>
          <w:szCs w:val="12"/>
        </w:rPr>
      </w:pPr>
    </w:p>
    <w:p>
      <w:pPr>
        <w:pStyle w:val="Heading5"/>
        <w:spacing w:line="285" w:lineRule="auto"/>
        <w:ind w:right="1135" w:firstLine="399"/>
        <w:jc w:val="both"/>
      </w:pPr>
      <w:r>
        <w:rPr/>
        <w:t>期末如果可供出售金融资产的公允价值发生较大幅度下降，或在综合考虑各种相关因素后，预期这种下降</w:t>
      </w:r>
      <w:r>
        <w:rPr>
          <w:w w:val="100"/>
        </w:rPr>
        <w:t> </w:t>
      </w:r>
      <w:r>
        <w:rPr/>
        <w:t>趋势属于非暂时性的，就认定其已发生减值，将原直接计入其他综合收益的公允价值下降形成的累计损失一并</w:t>
      </w:r>
      <w:r>
        <w:rPr>
          <w:spacing w:val="-65"/>
        </w:rPr>
        <w:t> </w:t>
      </w:r>
      <w:r>
        <w:rPr>
          <w:spacing w:val="-65"/>
        </w:rPr>
      </w:r>
      <w:r>
        <w:rPr/>
        <w:t>转出，确认减值损失。</w:t>
      </w:r>
    </w:p>
    <w:p>
      <w:pPr>
        <w:pStyle w:val="Heading5"/>
        <w:spacing w:line="271" w:lineRule="auto" w:before="132"/>
        <w:ind w:right="1131" w:firstLine="399"/>
        <w:jc w:val="both"/>
      </w:pPr>
      <w:r>
        <w:rPr>
          <w:spacing w:val="-1"/>
        </w:rPr>
        <w:t>对于可供出售金融资产由于下列损失事项影响其预计未来现金流量减少</w:t>
      </w:r>
      <w:r>
        <w:rPr>
          <w:rFonts w:ascii="Times New Roman" w:hAnsi="Times New Roman" w:cs="Times New Roman" w:eastAsia="Times New Roman" w:hint="default"/>
          <w:spacing w:val="-1"/>
        </w:rPr>
        <w:t>,</w:t>
      </w:r>
      <w:r>
        <w:rPr>
          <w:spacing w:val="-1"/>
        </w:rPr>
        <w:t>并且能够可靠计量，将认定其发生</w:t>
      </w:r>
      <w:r>
        <w:rPr>
          <w:w w:val="100"/>
        </w:rPr>
        <w:t> </w:t>
      </w:r>
      <w:r>
        <w:rPr/>
        <w:t>减值：</w:t>
      </w:r>
    </w:p>
    <w:p>
      <w:pPr>
        <w:spacing w:after="0" w:line="271" w:lineRule="auto"/>
        <w:jc w:val="both"/>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40" w:lineRule="auto" w:before="38"/>
        <w:ind w:left="553" w:right="0"/>
        <w:jc w:val="left"/>
      </w:pPr>
      <w:r>
        <w:rPr/>
        <w:t>①债务人发生严重财务困难；</w:t>
      </w:r>
    </w:p>
    <w:p>
      <w:pPr>
        <w:pStyle w:val="Heading5"/>
        <w:spacing w:line="240" w:lineRule="auto" w:before="170"/>
        <w:ind w:left="553" w:right="0"/>
        <w:jc w:val="left"/>
      </w:pPr>
      <w:r>
        <w:rPr/>
        <w:t>②债务人违反了合同条款</w:t>
      </w:r>
      <w:r>
        <w:rPr>
          <w:rFonts w:ascii="Times New Roman" w:hAnsi="Times New Roman" w:cs="Times New Roman" w:eastAsia="Times New Roman" w:hint="default"/>
        </w:rPr>
        <w:t>,</w:t>
      </w:r>
      <w:r>
        <w:rPr/>
        <w:t>如偿付利息或本金发生违约或逾期；</w:t>
      </w:r>
    </w:p>
    <w:p>
      <w:pPr>
        <w:pStyle w:val="Heading5"/>
        <w:spacing w:line="240" w:lineRule="auto" w:before="155"/>
        <w:ind w:left="553" w:right="0"/>
        <w:jc w:val="left"/>
      </w:pPr>
      <w:r>
        <w:rPr/>
        <w:t>③本公司出于经济或法律等方面因素的考虑</w:t>
      </w:r>
      <w:r>
        <w:rPr>
          <w:rFonts w:ascii="Times New Roman" w:hAnsi="Times New Roman" w:cs="Times New Roman" w:eastAsia="Times New Roman" w:hint="default"/>
        </w:rPr>
        <w:t>,</w:t>
      </w:r>
      <w:r>
        <w:rPr/>
        <w:t>对发生财务困难的债务人做出让步；</w:t>
      </w:r>
    </w:p>
    <w:p>
      <w:pPr>
        <w:pStyle w:val="Heading5"/>
        <w:spacing w:line="240" w:lineRule="auto" w:before="155"/>
        <w:ind w:left="553" w:right="0"/>
        <w:jc w:val="left"/>
      </w:pPr>
      <w:r>
        <w:rPr/>
        <w:t>④债务人很可能倒闭或进行其他财务重组；</w:t>
      </w:r>
    </w:p>
    <w:p>
      <w:pPr>
        <w:pStyle w:val="Heading5"/>
        <w:spacing w:line="240" w:lineRule="auto" w:before="170"/>
        <w:ind w:left="553" w:right="0"/>
        <w:jc w:val="left"/>
      </w:pPr>
      <w:r>
        <w:rPr/>
        <w:t>⑤因发行方发生重大财务困难</w:t>
      </w:r>
      <w:r>
        <w:rPr>
          <w:rFonts w:ascii="Times New Roman" w:hAnsi="Times New Roman" w:cs="Times New Roman" w:eastAsia="Times New Roman" w:hint="default"/>
        </w:rPr>
        <w:t>,</w:t>
      </w:r>
      <w:r>
        <w:rPr/>
        <w:t>该金融资产无法在活跃市场继续交易；</w:t>
      </w:r>
    </w:p>
    <w:p>
      <w:pPr>
        <w:pStyle w:val="Heading5"/>
        <w:spacing w:line="285" w:lineRule="auto" w:before="155"/>
        <w:ind w:right="0" w:firstLine="399"/>
        <w:jc w:val="left"/>
      </w:pPr>
      <w:r>
        <w:rPr>
          <w:spacing w:val="-1"/>
        </w:rPr>
        <w:t>⑥权益工具发行方经营所处的技术、市场、经济或法律环境等发生重大不利变化，使权益工具投资人可能</w:t>
      </w:r>
      <w:r>
        <w:rPr>
          <w:w w:val="100"/>
        </w:rPr>
        <w:t> </w:t>
      </w:r>
      <w:r>
        <w:rPr/>
        <w:t>无法收回投资成本；</w:t>
      </w:r>
    </w:p>
    <w:p>
      <w:pPr>
        <w:pStyle w:val="Heading5"/>
        <w:spacing w:line="432" w:lineRule="exact" w:before="20"/>
        <w:ind w:left="553" w:right="0"/>
        <w:jc w:val="left"/>
      </w:pPr>
      <w:r>
        <w:rPr/>
        <w:t>⑦权益工具投资的公允价值发生严重或非暂时性下跌。</w:t>
      </w:r>
      <w:r>
        <w:rPr>
          <w:w w:val="100"/>
        </w:rPr>
        <w:t> </w:t>
      </w:r>
      <w:r>
        <w:rPr/>
        <w:t>认定其已发生减值，将原直接计入所有者权益的公允价值下降形成的累计损失一并转出，确认减值损失。</w:t>
      </w:r>
    </w:p>
    <w:p>
      <w:pPr>
        <w:pStyle w:val="Heading5"/>
        <w:spacing w:line="285" w:lineRule="auto"/>
        <w:ind w:right="1132"/>
        <w:jc w:val="both"/>
      </w:pPr>
      <w:r>
        <w:rPr/>
        <w:t>对于已确认减值损失的可供出售债务工具，在随后的会计期间公允价值已上升且客观上与确认原减值损失确认</w:t>
      </w:r>
      <w:r>
        <w:rPr>
          <w:spacing w:val="-63"/>
        </w:rPr>
        <w:t> </w:t>
      </w:r>
      <w:r>
        <w:rPr>
          <w:spacing w:val="-63"/>
        </w:rPr>
      </w:r>
      <w:r>
        <w:rPr/>
        <w:t>后发生的事项有关的，原确认的减值损失予以转回，计入当期损益。可供出售权益工具投资发生的减值损失，</w:t>
      </w:r>
      <w:r>
        <w:rPr>
          <w:spacing w:val="-65"/>
        </w:rPr>
        <w:t> </w:t>
      </w:r>
      <w:r>
        <w:rPr>
          <w:spacing w:val="-65"/>
        </w:rPr>
      </w:r>
      <w:r>
        <w:rPr/>
        <w:t>不得通过损益转回。</w:t>
      </w:r>
    </w:p>
    <w:p>
      <w:pPr>
        <w:pStyle w:val="BodyText"/>
        <w:spacing w:line="240" w:lineRule="auto" w:before="148"/>
        <w:ind w:left="513" w:right="0"/>
        <w:jc w:val="left"/>
      </w:pPr>
      <w:r>
        <w:rPr/>
        <w:t>（</w:t>
      </w:r>
      <w:r>
        <w:rPr>
          <w:rFonts w:ascii="Times New Roman" w:hAnsi="Times New Roman" w:cs="Times New Roman" w:eastAsia="Times New Roman" w:hint="default"/>
        </w:rPr>
        <w:t>2</w:t>
      </w:r>
      <w:r>
        <w:rPr/>
        <w:t>）持有至到期投资的减值准备</w:t>
      </w:r>
    </w:p>
    <w:p>
      <w:pPr>
        <w:spacing w:line="240" w:lineRule="auto" w:before="10"/>
        <w:rPr>
          <w:rFonts w:ascii="宋体" w:hAnsi="宋体" w:cs="宋体" w:eastAsia="宋体" w:hint="default"/>
          <w:sz w:val="12"/>
          <w:szCs w:val="12"/>
        </w:rPr>
      </w:pPr>
    </w:p>
    <w:p>
      <w:pPr>
        <w:pStyle w:val="Heading5"/>
        <w:spacing w:line="240" w:lineRule="auto"/>
        <w:ind w:left="553" w:right="0"/>
        <w:jc w:val="left"/>
      </w:pPr>
      <w:r>
        <w:rPr/>
        <w:t>持有至到期投资减值损失的计量比照应收款项减值损失计量方法处理。</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bookmarkStart w:name="11、应收款项" w:id="182"/>
      <w:bookmarkEnd w:id="18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left="154" w:right="0"/>
        <w:jc w:val="both"/>
      </w:pPr>
      <w:bookmarkStart w:name="（1）单项金额重大并单独计提坏账准备的应收款项" w:id="183"/>
      <w:bookmarkEnd w:id="183"/>
      <w:r>
        <w:rPr/>
      </w:r>
      <w:r>
        <w:rPr/>
        <w:t>（</w:t>
      </w:r>
      <w:r>
        <w:rPr>
          <w:rFonts w:ascii="Times New Roman" w:hAnsi="Times New Roman" w:cs="Times New Roman" w:eastAsia="Times New Roman" w:hint="default"/>
        </w:rPr>
        <w:t>1</w:t>
      </w:r>
      <w:r>
        <w:rPr/>
        <w:t>）单项金额重大并单独计提坏账准备的应收款项</w:t>
      </w:r>
    </w:p>
    <w:p>
      <w:pPr>
        <w:spacing w:line="240" w:lineRule="auto" w:before="1"/>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万元以上（包括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其他应收款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元以上（包括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2）按信用风险特征组合计提坏账准备的应收款项" w:id="184"/>
      <w:bookmarkEnd w:id="184"/>
      <w:r>
        <w:rPr/>
      </w:r>
      <w:r>
        <w:rPr/>
        <w:t>（</w:t>
      </w:r>
      <w:r>
        <w:rPr>
          <w:rFonts w:ascii="Times New Roman" w:hAnsi="Times New Roman" w:cs="Times New Roman" w:eastAsia="Times New Roman" w:hint="default"/>
        </w:rPr>
        <w:t>2</w:t>
      </w:r>
      <w:r>
        <w:rPr/>
        <w:t>）按信用风险特征组合计提坏账准备的应收款项</w:t>
      </w:r>
    </w:p>
    <w:p>
      <w:pPr>
        <w:spacing w:line="240" w:lineRule="auto" w:before="2"/>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6"/>
        <w:ind w:right="0"/>
        <w:jc w:val="left"/>
      </w:pPr>
      <w:bookmarkStart w:name="（3）单项金额不重大但单独计提坏账准备的应收款项" w:id="185"/>
      <w:bookmarkEnd w:id="185"/>
      <w:r>
        <w:rPr/>
      </w:r>
      <w:r>
        <w:rPr/>
        <w:t>（</w:t>
      </w:r>
      <w:r>
        <w:rPr>
          <w:rFonts w:ascii="Times New Roman" w:hAnsi="Times New Roman" w:cs="Times New Roman" w:eastAsia="Times New Roman" w:hint="default"/>
        </w:rPr>
        <w:t>3</w:t>
      </w:r>
      <w:r>
        <w:rPr/>
        <w:t>）单项金额不重大但单独计提坏账准备的应收款项</w:t>
      </w:r>
    </w:p>
    <w:p>
      <w:pPr>
        <w:spacing w:line="240" w:lineRule="auto" w:before="0"/>
        <w:rPr>
          <w:rFonts w:ascii="宋体" w:hAnsi="宋体" w:cs="宋体" w:eastAsia="宋体"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对单项金额不重大但个别信用风险特征明显不同，已有客观 证据表明其发生了减值的应收款项，按账龄分析法计提的坏 账准备不能反映实际情况，本公司单独进行减值测试。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2、存货" w:id="186"/>
      <w:bookmarkEnd w:id="186"/>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7332"/>
        <w:jc w:val="left"/>
      </w:pPr>
      <w:r>
        <w:rPr/>
        <w:t>公司是否需要遵守特殊行业的披露要求 否</w:t>
      </w:r>
    </w:p>
    <w:p>
      <w:pPr>
        <w:pStyle w:val="Heading5"/>
        <w:spacing w:line="384" w:lineRule="auto" w:before="92"/>
        <w:ind w:left="553" w:right="274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存货的分类</w:t>
      </w:r>
      <w:r>
        <w:rPr>
          <w:w w:val="100"/>
        </w:rPr>
        <w:t> </w:t>
      </w:r>
      <w:r>
        <w:rPr>
          <w:spacing w:val="-1"/>
        </w:rPr>
        <w:t>存货分类为：原材料、库存商品、在产品、委托加工物资、发出商品及低值易耗品等。</w:t>
      </w:r>
      <w:r>
        <w:rPr>
          <w:spacing w:val="-71"/>
        </w:rPr>
        <w:t> </w:t>
      </w:r>
      <w:r>
        <w:rPr>
          <w:spacing w:val="-71"/>
        </w:rPr>
      </w: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发出存货的计价方法</w:t>
      </w:r>
    </w:p>
    <w:p>
      <w:pPr>
        <w:pStyle w:val="Heading5"/>
        <w:spacing w:line="240" w:lineRule="auto" w:before="22"/>
        <w:ind w:left="553" w:right="0"/>
        <w:jc w:val="left"/>
      </w:pPr>
      <w:r>
        <w:rPr/>
        <w:t>存货发出时按个别认定法计价。</w:t>
      </w:r>
    </w:p>
    <w:p>
      <w:pPr>
        <w:pStyle w:val="Heading5"/>
        <w:spacing w:line="432" w:lineRule="exact" w:before="58"/>
        <w:ind w:left="55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存货可变现净值的确定依据及存货跌价准备的计提方法</w:t>
      </w:r>
      <w:r>
        <w:rPr>
          <w:w w:val="100"/>
        </w:rPr>
        <w:t> </w:t>
      </w:r>
      <w:r>
        <w:rPr/>
        <w:t>期末对存货进行全面清查后，按存货的成本与可变现净值孰低提取或调整存货跌价准备。</w:t>
      </w:r>
      <w:r>
        <w:rPr>
          <w:w w:val="100"/>
        </w:rPr>
        <w:t> </w:t>
      </w:r>
      <w:r>
        <w:rPr/>
        <w:t>产成品、库存商品和用于出售的材料等直接用于出售的商品存货，在正常生产经营过程中，以该存货的估</w:t>
      </w:r>
    </w:p>
    <w:p>
      <w:pPr>
        <w:pStyle w:val="Heading5"/>
        <w:spacing w:line="285" w:lineRule="auto"/>
        <w:ind w:left="0" w:right="1133"/>
        <w:jc w:val="right"/>
      </w:pPr>
      <w:r>
        <w:rPr/>
        <w:t>计售价减去估计的销售费用和相关税费后的金额，确定其可变现净值；需要经过加工的材料存货，在正常生产</w:t>
      </w:r>
      <w:r>
        <w:rPr>
          <w:spacing w:val="-71"/>
        </w:rPr>
        <w:t> </w:t>
      </w:r>
      <w:r>
        <w:rPr>
          <w:spacing w:val="-71"/>
        </w:rPr>
      </w:r>
      <w:r>
        <w:rPr/>
        <w:t>经营过程中，以所生产的产成品的估计售价减去至完工时估计将要发生的成本、估计的销售费用和相关税费后</w:t>
      </w:r>
      <w:r>
        <w:rPr>
          <w:spacing w:val="-73"/>
        </w:rPr>
        <w:t> </w:t>
      </w:r>
      <w:r>
        <w:rPr>
          <w:spacing w:val="-73"/>
        </w:rPr>
      </w:r>
      <w:r>
        <w:rPr/>
        <w:t>的金额，确定其可变现净值；为执行销售合同或者劳务合同而持有的存货，其可变现净值以合同价格为基础计</w:t>
      </w:r>
      <w:r>
        <w:rPr>
          <w:spacing w:val="-73"/>
        </w:rPr>
        <w:t> </w:t>
      </w:r>
      <w:r>
        <w:rPr>
          <w:spacing w:val="-73"/>
        </w:rPr>
      </w:r>
      <w:r>
        <w:rPr>
          <w:spacing w:val="-1"/>
        </w:rPr>
        <w:t>算，若持有存货的数量多于销售合同订购数量的，超出部分的存货的可变现净值以一般销售价格为基础计算。</w:t>
      </w:r>
    </w:p>
    <w:p>
      <w:pPr>
        <w:pStyle w:val="Heading5"/>
        <w:spacing w:line="285" w:lineRule="auto" w:before="132"/>
        <w:ind w:left="154" w:right="1132" w:firstLine="399"/>
        <w:jc w:val="both"/>
      </w:pPr>
      <w:r>
        <w:rPr/>
        <w:t>期末按照单个存货项目计提存货跌价准备；但对于数量繁多、单价较低的存货，按照存货类别计提存货跌</w:t>
      </w:r>
      <w:r>
        <w:rPr>
          <w:w w:val="100"/>
        </w:rPr>
        <w:t> </w:t>
      </w:r>
      <w:r>
        <w:rPr/>
        <w:t>价准备；与在同一地区生产和销售的产品系列相关、具有相同或类似最终用途或目的，且难以与其他项目分开</w:t>
      </w:r>
      <w:r>
        <w:rPr>
          <w:spacing w:val="-63"/>
        </w:rPr>
        <w:t> </w:t>
      </w:r>
      <w:r>
        <w:rPr>
          <w:spacing w:val="-63"/>
        </w:rPr>
      </w:r>
      <w:r>
        <w:rPr/>
        <w:t>计量的存货，则合并计提存货跌价准备。</w:t>
      </w:r>
    </w:p>
    <w:p>
      <w:pPr>
        <w:pStyle w:val="Heading5"/>
        <w:spacing w:line="285" w:lineRule="auto" w:before="132"/>
        <w:ind w:left="154" w:right="1135" w:firstLine="399"/>
        <w:jc w:val="both"/>
      </w:pPr>
      <w:r>
        <w:rPr/>
        <w:t>以前减记存货价值的影响因素已经消失的，减记的金额予以恢复，并在原已计提的存货跌价准备金额内转</w:t>
      </w:r>
      <w:r>
        <w:rPr>
          <w:w w:val="100"/>
        </w:rPr>
        <w:t> </w:t>
      </w:r>
      <w:r>
        <w:rPr/>
        <w:t>回，转回的金额计入当期损益。</w:t>
      </w:r>
    </w:p>
    <w:p>
      <w:pPr>
        <w:pStyle w:val="Heading5"/>
        <w:spacing w:line="374" w:lineRule="auto" w:before="132"/>
        <w:ind w:left="553" w:right="870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存货的盘存制度</w:t>
      </w:r>
      <w:r>
        <w:rPr>
          <w:w w:val="100"/>
        </w:rPr>
        <w:t> </w:t>
      </w:r>
      <w:r>
        <w:rPr/>
        <w:t>采用永续盘存制。</w:t>
      </w:r>
    </w:p>
    <w:p>
      <w:pPr>
        <w:pStyle w:val="Heading5"/>
        <w:spacing w:line="374" w:lineRule="auto" w:before="58"/>
        <w:ind w:left="553" w:right="776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低值易耗品的摊销方法</w:t>
      </w:r>
      <w:r>
        <w:rPr>
          <w:w w:val="100"/>
        </w:rPr>
        <w:t> </w:t>
      </w:r>
      <w:r>
        <w:rPr>
          <w:spacing w:val="-1"/>
        </w:rPr>
        <w:t>低值易耗品采用一次转销法。</w:t>
      </w:r>
    </w:p>
    <w:p>
      <w:pPr>
        <w:spacing w:after="0" w:line="374" w:lineRule="auto"/>
        <w:jc w:val="left"/>
        <w:sectPr>
          <w:footerReference w:type="default" r:id="rId20"/>
          <w:pgSz w:w="11910" w:h="16840"/>
          <w:pgMar w:footer="979" w:header="747" w:top="1060" w:bottom="1160" w:left="980" w:right="0"/>
          <w:pgNumType w:start="101"/>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3、持有待售资产" w:id="187"/>
      <w:bookmarkEnd w:id="187"/>
      <w:r>
        <w:rPr>
          <w:b w:val="0"/>
          <w:bCs w:val="0"/>
        </w:rPr>
      </w:r>
      <w:r>
        <w:rPr>
          <w:rFonts w:ascii="Times New Roman" w:hAnsi="Times New Roman" w:cs="Times New Roman" w:eastAsia="Times New Roman" w:hint="default"/>
        </w:rPr>
        <w:t>13</w:t>
      </w:r>
      <w:r>
        <w:rPr/>
        <w:t>、持有待售资产</w:t>
      </w:r>
      <w:r>
        <w:rPr>
          <w:b w:val="0"/>
          <w:bCs w:val="0"/>
        </w:rPr>
      </w:r>
    </w:p>
    <w:p>
      <w:pPr>
        <w:pStyle w:val="BodyText"/>
        <w:spacing w:line="420" w:lineRule="atLeast" w:before="176"/>
        <w:ind w:left="514" w:right="0"/>
        <w:jc w:val="left"/>
      </w:pPr>
      <w:r>
        <w:rPr>
          <w:rFonts w:ascii="Times New Roman" w:hAnsi="Times New Roman" w:cs="Times New Roman" w:eastAsia="Times New Roman" w:hint="default"/>
        </w:rPr>
        <w:t>1. </w:t>
      </w:r>
      <w:r>
        <w:rPr/>
        <w:t>持有待售的非流动资产或处置组的确认标准 </w:t>
      </w:r>
      <w:r>
        <w:rPr>
          <w:spacing w:val="-2"/>
        </w:rPr>
        <w:t>公司主要通过出售（包括具有商业实质的非货币性资产交换，下同）而非持续使用一项非流动资产或处置组收回其账面</w:t>
      </w:r>
    </w:p>
    <w:p>
      <w:pPr>
        <w:pStyle w:val="BodyText"/>
        <w:spacing w:line="439" w:lineRule="auto" w:before="77"/>
        <w:ind w:left="514" w:right="4812" w:hanging="360"/>
        <w:jc w:val="left"/>
      </w:pPr>
      <w:r>
        <w:rPr/>
        <w:t>价值的，应当将其划分为持有待售类别。 公司将同时满足下列条件的非流动资产或处置组划分为持有待售类别：</w:t>
      </w:r>
    </w:p>
    <w:p>
      <w:pPr>
        <w:pStyle w:val="BodyText"/>
        <w:spacing w:line="240" w:lineRule="auto" w:before="47"/>
        <w:ind w:left="514"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spacing w:line="240" w:lineRule="auto" w:before="13"/>
        <w:rPr>
          <w:rFonts w:ascii="宋体" w:hAnsi="宋体" w:cs="宋体" w:eastAsia="宋体" w:hint="default"/>
          <w:sz w:val="13"/>
          <w:szCs w:val="13"/>
        </w:rPr>
      </w:pPr>
    </w:p>
    <w:p>
      <w:pPr>
        <w:pStyle w:val="BodyText"/>
        <w:spacing w:line="300" w:lineRule="auto"/>
        <w:ind w:left="154" w:right="1131" w:firstLine="360"/>
        <w:jc w:val="both"/>
      </w:pPr>
      <w:r>
        <w:rPr/>
        <w:t>（</w:t>
      </w:r>
      <w:r>
        <w:rPr>
          <w:rFonts w:ascii="Times New Roman" w:hAnsi="Times New Roman" w:cs="Times New Roman" w:eastAsia="Times New Roman" w:hint="default"/>
        </w:rPr>
        <w:t>2</w:t>
      </w:r>
      <w:r>
        <w:rPr/>
        <w:t>）出售极可能发生，即公司已经就一项出售计划作出决议且获得确定的购买承诺，预计出售将在一年内完成。有关 规定要求公司相关权力机构或者监管部门批准后方可出售的，已经获得批准。</w:t>
      </w:r>
    </w:p>
    <w:p>
      <w:pPr>
        <w:pStyle w:val="BodyText"/>
        <w:spacing w:line="316" w:lineRule="auto" w:before="151"/>
        <w:ind w:right="1133" w:firstLine="360"/>
        <w:jc w:val="both"/>
      </w:pPr>
      <w:r>
        <w:rPr>
          <w:spacing w:val="-2"/>
        </w:rPr>
        <w:t>确定的购买承诺，是指公司与其他方签订的具有法律约束力的购买协议，该协议包含交易价格、时间和足够严厉的违约</w:t>
      </w:r>
      <w:r>
        <w:rPr/>
        <w:t> 惩罚等重要条款，使协议出现重大调整或者撤销的可能性极小。</w:t>
      </w:r>
    </w:p>
    <w:p>
      <w:pPr>
        <w:pStyle w:val="BodyText"/>
        <w:spacing w:line="432" w:lineRule="exact" w:before="3"/>
        <w:ind w:left="513" w:right="0"/>
        <w:jc w:val="left"/>
      </w:pPr>
      <w:r>
        <w:rPr>
          <w:rFonts w:ascii="Times New Roman" w:hAnsi="Times New Roman" w:cs="Times New Roman" w:eastAsia="Times New Roman" w:hint="default"/>
        </w:rPr>
        <w:t>2. </w:t>
      </w:r>
      <w:r>
        <w:rPr/>
        <w:t>持有待售的非流动资产或处置组的会计处理方法 </w:t>
      </w:r>
      <w:r>
        <w:rPr>
          <w:spacing w:val="-2"/>
        </w:rPr>
        <w:t>公司初始计量或在资产负债表日重新计量持有待售的非流动资产或处置组时，其账面价值高于公允价值减去出售费用后</w:t>
      </w:r>
    </w:p>
    <w:p>
      <w:pPr>
        <w:pStyle w:val="BodyText"/>
        <w:spacing w:line="316" w:lineRule="auto" w:before="15"/>
        <w:ind w:right="0"/>
        <w:jc w:val="left"/>
      </w:pPr>
      <w:r>
        <w:rPr>
          <w:spacing w:val="-2"/>
        </w:rPr>
        <w:t>的净额的，将账面价值减记至公允价值减去出售费用后的净额，减记的金额确认为资产减值损失，计入当期损益，同时计提</w:t>
      </w:r>
      <w:r>
        <w:rPr>
          <w:spacing w:val="-66"/>
        </w:rPr>
        <w:t> </w:t>
      </w:r>
      <w:r>
        <w:rPr>
          <w:spacing w:val="-66"/>
        </w:rPr>
      </w:r>
      <w:r>
        <w:rPr/>
        <w:t>持有待售资产减值准备。</w:t>
      </w:r>
    </w:p>
    <w:p>
      <w:pPr>
        <w:pStyle w:val="BodyText"/>
        <w:spacing w:line="312" w:lineRule="auto" w:before="139"/>
        <w:ind w:right="1132" w:firstLine="360"/>
        <w:jc w:val="both"/>
      </w:pPr>
      <w:r>
        <w:rPr/>
        <w:t>（</w:t>
      </w:r>
      <w:r>
        <w:rPr>
          <w:rFonts w:ascii="Times New Roman" w:hAnsi="Times New Roman" w:cs="Times New Roman" w:eastAsia="Times New Roman" w:hint="default"/>
        </w:rPr>
        <w:t>1</w:t>
      </w:r>
      <w:r>
        <w:rPr/>
        <w:t>）对于持有待售的固定资产，应当调整该项固定资产的预计净残值，使该项固定资产的预计净残值能够反映其公允 </w:t>
      </w:r>
      <w:r>
        <w:rPr>
          <w:spacing w:val="-2"/>
        </w:rPr>
        <w:t>价值减去处置费用后的金额，但不得超过符合持有待售条件时该项固定资产的原账面价值，原账面价值高于调整后预计净残</w:t>
      </w:r>
      <w:r>
        <w:rPr>
          <w:spacing w:val="-64"/>
        </w:rPr>
        <w:t> </w:t>
      </w:r>
      <w:r>
        <w:rPr>
          <w:spacing w:val="-64"/>
        </w:rPr>
      </w:r>
      <w:r>
        <w:rPr>
          <w:spacing w:val="-2"/>
        </w:rPr>
        <w:t>值的差额，应作为资产减值损失计入当期损益。持有待售的固定资产不计提折旧，按照账面价值与公允价值减去处置费用后</w:t>
      </w:r>
      <w:r>
        <w:rPr>
          <w:spacing w:val="-66"/>
        </w:rPr>
        <w:t> </w:t>
      </w:r>
      <w:r>
        <w:rPr>
          <w:spacing w:val="-66"/>
        </w:rPr>
      </w:r>
      <w:r>
        <w:rPr/>
        <w:t>的净额孰低进行计量。</w:t>
      </w:r>
    </w:p>
    <w:p>
      <w:pPr>
        <w:pStyle w:val="BodyText"/>
        <w:spacing w:line="240" w:lineRule="auto" w:before="143"/>
        <w:ind w:left="514" w:right="0"/>
        <w:jc w:val="left"/>
      </w:pPr>
      <w:r>
        <w:rPr/>
        <w:t>（</w:t>
      </w:r>
      <w:r>
        <w:rPr>
          <w:rFonts w:ascii="Times New Roman" w:hAnsi="Times New Roman" w:cs="Times New Roman" w:eastAsia="Times New Roman" w:hint="default"/>
        </w:rPr>
        <w:t>2</w:t>
      </w:r>
      <w:r>
        <w:rPr/>
        <w:t>）对于持有待售的联营企业或合营企业的权益性投资，自划分至持有待售之日起，停止按权益法核算。</w:t>
      </w:r>
    </w:p>
    <w:p>
      <w:pPr>
        <w:spacing w:line="240" w:lineRule="auto" w:before="13"/>
        <w:rPr>
          <w:rFonts w:ascii="宋体" w:hAnsi="宋体" w:cs="宋体" w:eastAsia="宋体" w:hint="default"/>
          <w:sz w:val="13"/>
          <w:szCs w:val="13"/>
        </w:rPr>
      </w:pPr>
    </w:p>
    <w:p>
      <w:pPr>
        <w:pStyle w:val="BodyText"/>
        <w:spacing w:line="309" w:lineRule="auto"/>
        <w:ind w:right="1131" w:firstLine="360"/>
        <w:jc w:val="both"/>
      </w:pPr>
      <w:r>
        <w:rPr/>
        <w:t>（</w:t>
      </w:r>
      <w:r>
        <w:rPr>
          <w:rFonts w:ascii="Times New Roman" w:hAnsi="Times New Roman" w:cs="Times New Roman" w:eastAsia="Times New Roman" w:hint="default"/>
        </w:rPr>
        <w:t>3</w:t>
      </w:r>
      <w:r>
        <w:rPr/>
        <w:t>）对于出售的对子公司的投资将导致本公司丧失对子公司的控制权的，无论出售后本公司是否保留少数股东权益， </w:t>
      </w:r>
      <w:r>
        <w:rPr>
          <w:spacing w:val="-2"/>
        </w:rPr>
        <w:t>本公司在拟出售的对子公司投资满足持有待售类别划分条件时，在母公司个别财务报表中将对子公司投资整体划分为持有待</w:t>
      </w:r>
      <w:r>
        <w:rPr>
          <w:spacing w:val="-64"/>
        </w:rPr>
        <w:t> </w:t>
      </w:r>
      <w:r>
        <w:rPr>
          <w:spacing w:val="-64"/>
        </w:rPr>
      </w:r>
      <w:r>
        <w:rPr/>
        <w:t>售类别，在合并财务报表中将子公司所有资产和负债划分为持有待售类别。</w:t>
      </w:r>
    </w:p>
    <w:p>
      <w:pPr>
        <w:pStyle w:val="BodyText"/>
        <w:spacing w:line="240" w:lineRule="auto" w:before="144"/>
        <w:ind w:left="51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不再满足持有待售确认条件时的会计处理</w:t>
      </w:r>
    </w:p>
    <w:p>
      <w:pPr>
        <w:spacing w:line="240" w:lineRule="auto" w:before="13"/>
        <w:rPr>
          <w:rFonts w:ascii="宋体" w:hAnsi="宋体" w:cs="宋体" w:eastAsia="宋体" w:hint="default"/>
          <w:sz w:val="13"/>
          <w:szCs w:val="13"/>
        </w:rPr>
      </w:pPr>
    </w:p>
    <w:p>
      <w:pPr>
        <w:pStyle w:val="BodyText"/>
        <w:spacing w:line="300" w:lineRule="auto"/>
        <w:ind w:left="154" w:right="1141" w:firstLine="360"/>
        <w:jc w:val="both"/>
      </w:pPr>
      <w:r>
        <w:rPr/>
        <w:t>（</w:t>
      </w:r>
      <w:r>
        <w:rPr>
          <w:rFonts w:ascii="Times New Roman" w:hAnsi="Times New Roman" w:cs="Times New Roman" w:eastAsia="Times New Roman" w:hint="default"/>
        </w:rPr>
        <w:t>1</w:t>
      </w:r>
      <w:r>
        <w:rPr/>
        <w:t>）某项资产或处置组被划归为持有待售，但后来不再满足持有待售固定资产确认条件的，本公司停止将其划归为持 有待售，并按照下列两项金额中较低者计量：</w:t>
      </w:r>
    </w:p>
    <w:p>
      <w:pPr>
        <w:pStyle w:val="BodyText"/>
        <w:spacing w:line="316" w:lineRule="auto" w:before="151"/>
        <w:ind w:left="154" w:right="1050" w:firstLine="360"/>
        <w:jc w:val="both"/>
      </w:pPr>
      <w:r>
        <w:rPr/>
        <w:t>①该资产或处置组被划归为持有待售之前的账面价值，按照其假定在没有被划归为持有待售的情况下原应确认的折旧、 摊销或减值进行调整后的金额；</w:t>
      </w:r>
    </w:p>
    <w:p>
      <w:pPr>
        <w:pStyle w:val="BodyText"/>
        <w:spacing w:line="240" w:lineRule="auto" w:before="139"/>
        <w:ind w:left="514" w:right="0"/>
        <w:jc w:val="left"/>
      </w:pPr>
      <w:r>
        <w:rPr/>
        <w:t>②决定不再出售之日的再收回金额。</w:t>
      </w:r>
    </w:p>
    <w:p>
      <w:pPr>
        <w:spacing w:line="240" w:lineRule="auto" w:before="0"/>
        <w:rPr>
          <w:rFonts w:ascii="宋体" w:hAnsi="宋体" w:cs="宋体" w:eastAsia="宋体" w:hint="default"/>
          <w:sz w:val="15"/>
          <w:szCs w:val="15"/>
        </w:rPr>
      </w:pPr>
    </w:p>
    <w:p>
      <w:pPr>
        <w:pStyle w:val="BodyText"/>
        <w:spacing w:line="300" w:lineRule="auto"/>
        <w:ind w:right="1141" w:firstLine="360"/>
        <w:jc w:val="both"/>
      </w:pPr>
      <w:r>
        <w:rPr/>
        <w:t>（</w:t>
      </w:r>
      <w:r>
        <w:rPr>
          <w:rFonts w:ascii="Times New Roman" w:hAnsi="Times New Roman" w:cs="Times New Roman" w:eastAsia="Times New Roman" w:hint="default"/>
        </w:rPr>
        <w:t>2</w:t>
      </w:r>
      <w:r>
        <w:rPr/>
        <w:t>）已划分为持有待售的对联营企业或合营企业的权益性投资，不再符合持有待售资产分类条件的，本公司从其被分 类为持有待售资产之日起采用权益法进行追溯调整。</w:t>
      </w:r>
    </w:p>
    <w:p>
      <w:pPr>
        <w:pStyle w:val="BodyText"/>
        <w:spacing w:line="415" w:lineRule="auto" w:before="151"/>
        <w:ind w:left="514" w:right="0"/>
        <w:jc w:val="left"/>
      </w:pPr>
      <w:r>
        <w:rPr>
          <w:rFonts w:ascii="Times New Roman" w:hAnsi="Times New Roman" w:cs="Times New Roman" w:eastAsia="Times New Roman" w:hint="default"/>
        </w:rPr>
        <w:t>4. </w:t>
      </w:r>
      <w:r>
        <w:rPr/>
        <w:t>其他持有待售非流动资产的会计处理 </w:t>
      </w:r>
      <w:r>
        <w:rPr>
          <w:spacing w:val="-4"/>
        </w:rPr>
        <w:t>符合持有待售条件的无形资产等其他非流动资产，比照上述原则处理，此处所指其他非流动资产不包括递延所得税资产、</w:t>
      </w:r>
    </w:p>
    <w:p>
      <w:pPr>
        <w:pStyle w:val="BodyText"/>
        <w:spacing w:line="194" w:lineRule="exact"/>
        <w:ind w:left="154" w:right="0"/>
        <w:jc w:val="left"/>
      </w:pPr>
      <w:r>
        <w:rPr/>
        <w:t>职工薪酬形成的资产、《企业会计准则第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金融工具确认和计量》规范的金融资产、以公允价值计量的投资性房地产</w:t>
      </w:r>
    </w:p>
    <w:p>
      <w:pPr>
        <w:pStyle w:val="BodyText"/>
        <w:spacing w:line="240" w:lineRule="auto" w:before="63"/>
        <w:ind w:left="154" w:right="0"/>
        <w:jc w:val="left"/>
      </w:pPr>
      <w:r>
        <w:rPr/>
        <w:t>和生物资产、保险合同中产生的合同权利。</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14、长期股权投资" w:id="188"/>
      <w:bookmarkEnd w:id="18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1" w:right="0"/>
        <w:jc w:val="left"/>
      </w:pPr>
      <w:r>
        <w:rPr>
          <w:rFonts w:ascii="宋体" w:hAnsi="宋体" w:cs="宋体" w:eastAsia="宋体" w:hint="default"/>
        </w:rPr>
        <w:t>1.</w:t>
      </w:r>
      <w:r>
        <w:rPr/>
        <w:t>长期股权投资的分类及其判断依据</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w:t>
      </w:r>
      <w:r>
        <w:rPr>
          <w:rFonts w:ascii="Times New Roman" w:hAnsi="Times New Roman" w:cs="Times New Roman" w:eastAsia="Times New Roman" w:hint="default"/>
        </w:rPr>
        <w:t>1</w:t>
      </w:r>
      <w:r>
        <w:rPr/>
        <w:t>）长期股权投资的分类</w:t>
      </w:r>
    </w:p>
    <w:p>
      <w:pPr>
        <w:spacing w:line="240" w:lineRule="auto" w:before="10"/>
        <w:rPr>
          <w:rFonts w:ascii="宋体" w:hAnsi="宋体" w:cs="宋体" w:eastAsia="宋体" w:hint="default"/>
          <w:sz w:val="12"/>
          <w:szCs w:val="12"/>
        </w:rPr>
      </w:pPr>
    </w:p>
    <w:p>
      <w:pPr>
        <w:pStyle w:val="Heading5"/>
        <w:spacing w:line="285" w:lineRule="auto"/>
        <w:ind w:right="0" w:firstLine="399"/>
        <w:jc w:val="left"/>
      </w:pPr>
      <w:r>
        <w:rPr/>
        <w:t>长期股权投资分为三类，即是指投资方对被投资单位实施控制、重大影响的权益性投资，以及对其合营企</w:t>
      </w:r>
      <w:r>
        <w:rPr>
          <w:w w:val="100"/>
        </w:rPr>
        <w:t> </w:t>
      </w:r>
      <w:r>
        <w:rPr/>
        <w:t>业的权益性投资。</w:t>
      </w:r>
    </w:p>
    <w:p>
      <w:pPr>
        <w:pStyle w:val="Heading5"/>
        <w:spacing w:line="240" w:lineRule="auto" w:before="132"/>
        <w:ind w:left="553" w:right="0"/>
        <w:jc w:val="left"/>
      </w:pPr>
      <w:r>
        <w:rPr/>
        <w:t>（</w:t>
      </w:r>
      <w:r>
        <w:rPr>
          <w:rFonts w:ascii="Times New Roman" w:hAnsi="Times New Roman" w:cs="Times New Roman" w:eastAsia="Times New Roman" w:hint="default"/>
        </w:rPr>
        <w:t>2</w:t>
      </w:r>
      <w:r>
        <w:rPr/>
        <w:t>）长期股权投资类别的判断依据</w:t>
      </w:r>
    </w:p>
    <w:p>
      <w:pPr>
        <w:pStyle w:val="Heading5"/>
        <w:spacing w:line="240" w:lineRule="auto" w:before="155"/>
        <w:ind w:left="553" w:right="0"/>
        <w:jc w:val="left"/>
      </w:pPr>
      <w:r>
        <w:rPr/>
        <w:t>①确定对被投资单位控制的依据详见本附注四、（六）；</w:t>
      </w:r>
    </w:p>
    <w:p>
      <w:pPr>
        <w:pStyle w:val="Heading5"/>
        <w:spacing w:line="430" w:lineRule="atLeast" w:before="2"/>
        <w:ind w:left="553" w:right="0"/>
        <w:jc w:val="left"/>
      </w:pPr>
      <w:r>
        <w:rPr/>
        <w:t>②确定对被投资单位具有重大影响的依据：</w:t>
      </w:r>
      <w:r>
        <w:rPr>
          <w:w w:val="100"/>
        </w:rPr>
        <w:t> </w:t>
      </w:r>
      <w:r>
        <w:rPr/>
        <w:t>重大影响，是指对一个企业的财务和经营决策有参与决策的权力，但并不能够控制或者与其他方一起共同</w:t>
      </w:r>
    </w:p>
    <w:p>
      <w:pPr>
        <w:pStyle w:val="Heading5"/>
        <w:spacing w:line="396" w:lineRule="auto" w:before="50"/>
        <w:ind w:left="553" w:right="2653" w:hanging="400"/>
        <w:jc w:val="left"/>
      </w:pPr>
      <w:r>
        <w:rPr/>
        <w:t>控制这些政策的制定。</w:t>
      </w:r>
      <w:r>
        <w:rPr>
          <w:w w:val="100"/>
        </w:rPr>
        <w:t> </w:t>
      </w:r>
      <w:r>
        <w:rPr>
          <w:spacing w:val="-1"/>
        </w:rPr>
        <w:t>公司通常通过以下一种或几种情形判断是否对被投资单位具有重大影响：</w:t>
      </w:r>
    </w:p>
    <w:p>
      <w:pPr>
        <w:pStyle w:val="Heading5"/>
        <w:spacing w:line="285" w:lineRule="auto" w:before="40"/>
        <w:ind w:right="1169" w:firstLine="399"/>
        <w:jc w:val="both"/>
      </w:pPr>
      <w:r>
        <w:rPr>
          <w:spacing w:val="-1"/>
        </w:rPr>
        <w:t>在被投资单位的董事会或类似权力机构中派有代表。在这种情况下，由于在被投资单位的董事会或类似权</w:t>
      </w:r>
      <w:r>
        <w:rPr>
          <w:w w:val="100"/>
        </w:rPr>
        <w:t> </w:t>
      </w:r>
      <w:r>
        <w:rPr>
          <w:spacing w:val="-1"/>
        </w:rPr>
        <w:t>力机构中派有代表，并相应享有实质性的参与决策权，投资方可以通过该代表参与被投资单位财务和经营政策</w:t>
      </w:r>
      <w:r>
        <w:rPr>
          <w:spacing w:val="-63"/>
        </w:rPr>
        <w:t> </w:t>
      </w:r>
      <w:r>
        <w:rPr>
          <w:spacing w:val="-63"/>
        </w:rPr>
      </w:r>
      <w:r>
        <w:rPr/>
        <w:t>的制定，达到对被投资单位施加重大影响。</w:t>
      </w:r>
    </w:p>
    <w:p>
      <w:pPr>
        <w:pStyle w:val="Heading5"/>
        <w:spacing w:line="285" w:lineRule="auto" w:before="132"/>
        <w:ind w:right="0" w:firstLine="399"/>
        <w:jc w:val="left"/>
      </w:pPr>
      <w:r>
        <w:rPr>
          <w:spacing w:val="-1"/>
        </w:rPr>
        <w:t>参与被投资单位财务和经营政策制定过程。这种情况下，在制定政策过程中可以为其自身利益提出建议和</w:t>
      </w:r>
      <w:r>
        <w:rPr>
          <w:w w:val="100"/>
        </w:rPr>
        <w:t> </w:t>
      </w:r>
      <w:r>
        <w:rPr/>
        <w:t>意见，从而可以对被投资单位施加重大影响。</w:t>
      </w:r>
    </w:p>
    <w:p>
      <w:pPr>
        <w:pStyle w:val="Heading5"/>
        <w:spacing w:line="285" w:lineRule="auto" w:before="132"/>
        <w:ind w:right="0" w:firstLine="399"/>
        <w:jc w:val="left"/>
      </w:pPr>
      <w:r>
        <w:rPr>
          <w:spacing w:val="-1"/>
        </w:rPr>
        <w:t>与被投资单位之间发生重要交易。有关的交易因对被投资单位的日常经营具有重要性，进而一定程度上可</w:t>
      </w:r>
      <w:r>
        <w:rPr>
          <w:w w:val="100"/>
        </w:rPr>
        <w:t> </w:t>
      </w:r>
      <w:r>
        <w:rPr/>
        <w:t>以影响到被投资单位的生产经营决策。</w:t>
      </w:r>
    </w:p>
    <w:p>
      <w:pPr>
        <w:pStyle w:val="Heading5"/>
        <w:spacing w:line="285" w:lineRule="auto" w:before="132"/>
        <w:ind w:right="0" w:firstLine="399"/>
        <w:jc w:val="left"/>
      </w:pPr>
      <w:r>
        <w:rPr>
          <w:spacing w:val="-1"/>
        </w:rPr>
        <w:t>向被投资单位派出管理人员。在这种情况下，管理人员有权力主导被投资单位的相关活动，从而能够对被</w:t>
      </w:r>
      <w:r>
        <w:rPr>
          <w:w w:val="100"/>
        </w:rPr>
        <w:t> </w:t>
      </w:r>
      <w:r>
        <w:rPr/>
        <w:t>投资单位施加重大影响。</w:t>
      </w:r>
    </w:p>
    <w:p>
      <w:pPr>
        <w:pStyle w:val="Heading5"/>
        <w:spacing w:line="396" w:lineRule="auto" w:before="132"/>
        <w:ind w:right="0" w:firstLine="399"/>
        <w:jc w:val="left"/>
      </w:pPr>
      <w:r>
        <w:rPr>
          <w:spacing w:val="-1"/>
        </w:rPr>
        <w:t>向被投资单位提供关键技术资料。因被投资单位的生产经营需要依赖投资方的技术或技术资料，表明投</w:t>
      </w:r>
      <w:r>
        <w:rPr>
          <w:w w:val="100"/>
        </w:rPr>
        <w:t> </w:t>
      </w:r>
      <w:r>
        <w:rPr/>
        <w:t>资方对被投资单位具有重大影响。</w:t>
      </w:r>
    </w:p>
    <w:p>
      <w:pPr>
        <w:pStyle w:val="Heading5"/>
        <w:spacing w:line="285" w:lineRule="auto" w:before="40"/>
        <w:ind w:left="154" w:right="0" w:firstLine="399"/>
        <w:jc w:val="left"/>
      </w:pPr>
      <w:r>
        <w:rPr>
          <w:spacing w:val="-1"/>
        </w:rPr>
        <w:t>公司在判断是否对被投资方具有重大影响时，不限于是否存在上述一种或多种情形，还需要综合考虑所有</w:t>
      </w:r>
      <w:r>
        <w:rPr>
          <w:w w:val="100"/>
        </w:rPr>
        <w:t> </w:t>
      </w:r>
      <w:r>
        <w:rPr/>
        <w:t>事实和情况来做出综合的判断。</w:t>
      </w:r>
    </w:p>
    <w:p>
      <w:pPr>
        <w:pStyle w:val="Heading5"/>
        <w:spacing w:line="240" w:lineRule="auto" w:before="132"/>
        <w:ind w:left="553" w:right="0"/>
        <w:jc w:val="left"/>
      </w:pPr>
      <w:r>
        <w:rPr/>
        <w:t>投资方对被投资单位具有重大影响的权益性投资，即对联营企业投资。</w:t>
      </w:r>
    </w:p>
    <w:p>
      <w:pPr>
        <w:pStyle w:val="Heading5"/>
        <w:spacing w:line="396" w:lineRule="auto" w:before="170"/>
        <w:ind w:left="553" w:right="3913"/>
        <w:jc w:val="left"/>
      </w:pPr>
      <w:r>
        <w:rPr/>
        <w:t>③确定被投资单位是否为合营企业的依据：</w:t>
      </w:r>
      <w:r>
        <w:rPr>
          <w:w w:val="100"/>
        </w:rPr>
        <w:t> </w:t>
      </w:r>
      <w:r>
        <w:rPr/>
        <w:t>本公司的合营企业是指本公司仅对合营安排的净资产享有权利。</w:t>
      </w:r>
      <w:r>
        <w:rPr>
          <w:w w:val="100"/>
        </w:rPr>
        <w:t> </w:t>
      </w:r>
      <w:r>
        <w:rPr>
          <w:spacing w:val="-1"/>
        </w:rPr>
        <w:t>合营安排的定义、分类以及共同控制的判断标准详见本附注四、（七）。</w:t>
      </w:r>
      <w:r>
        <w:rPr>
          <w:spacing w:val="-76"/>
        </w:rPr>
        <w:t> </w:t>
      </w:r>
      <w:r>
        <w:rPr>
          <w:spacing w:val="-76"/>
        </w:rPr>
      </w: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长期股权投资初始成本的确定</w:t>
      </w:r>
    </w:p>
    <w:p>
      <w:pPr>
        <w:pStyle w:val="Heading5"/>
        <w:spacing w:line="374" w:lineRule="auto" w:before="11"/>
        <w:ind w:left="553" w:right="0"/>
        <w:jc w:val="left"/>
      </w:pPr>
      <w:r>
        <w:rPr/>
        <w:t>（</w:t>
      </w:r>
      <w:r>
        <w:rPr>
          <w:rFonts w:ascii="Times New Roman" w:hAnsi="Times New Roman" w:cs="Times New Roman" w:eastAsia="Times New Roman" w:hint="default"/>
        </w:rPr>
        <w:t>1</w:t>
      </w:r>
      <w:r>
        <w:rPr/>
        <w:t>）企业合并形成的长期股权投资</w:t>
      </w:r>
      <w:r>
        <w:rPr>
          <w:w w:val="100"/>
        </w:rPr>
        <w:t> </w:t>
      </w:r>
      <w:r>
        <w:rPr/>
        <w:t>同一控制下的企业合并：公司以支付现金、转让非现金资产或承担债务方式以及以发行权益性证券作为合</w:t>
      </w:r>
    </w:p>
    <w:p>
      <w:pPr>
        <w:pStyle w:val="Heading5"/>
        <w:spacing w:line="200" w:lineRule="exact"/>
        <w:ind w:left="154" w:right="0"/>
        <w:jc w:val="both"/>
      </w:pPr>
      <w:r>
        <w:rPr/>
        <w:t>并对价的，在合并日按照取得被合并方所有者权益在最终控制方合并财务报表中的账面价值的份额作为长期股</w:t>
      </w:r>
    </w:p>
    <w:p>
      <w:pPr>
        <w:pStyle w:val="Heading5"/>
        <w:spacing w:line="285" w:lineRule="auto" w:before="50"/>
        <w:ind w:left="154" w:right="1032"/>
        <w:jc w:val="both"/>
      </w:pPr>
      <w:r>
        <w:rPr/>
        <w:t>权投资的初始投资成本。长期股权投资初始投资成本与支付合并对价之间的差额，调整资本公积（资本溢价或</w:t>
      </w:r>
      <w:r>
        <w:rPr>
          <w:spacing w:val="-65"/>
        </w:rPr>
        <w:t> </w:t>
      </w:r>
      <w:r>
        <w:rPr>
          <w:spacing w:val="-65"/>
        </w:rPr>
      </w:r>
      <w:r>
        <w:rPr/>
        <w:t>股本溢价）；资本公积（资本溢价或股本溢价）不足冲减的，调整留存收益。合并方以发行权益性证券作为合</w:t>
      </w:r>
      <w:r>
        <w:rPr>
          <w:spacing w:val="-65"/>
        </w:rPr>
        <w:t> </w:t>
      </w:r>
      <w:r>
        <w:rPr>
          <w:spacing w:val="-65"/>
        </w:rPr>
      </w:r>
      <w:r>
        <w:rPr>
          <w:spacing w:val="-2"/>
        </w:rPr>
        <w:t>并对价的，按照发行股份的面值总额作为股本，长期股权投资初始投资成本与所发行股份面值总额之间的差额，</w:t>
      </w:r>
    </w:p>
    <w:p>
      <w:pPr>
        <w:spacing w:after="0" w:line="285" w:lineRule="auto"/>
        <w:jc w:val="both"/>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40" w:lineRule="auto" w:before="38"/>
        <w:ind w:right="0"/>
        <w:jc w:val="both"/>
      </w:pPr>
      <w:r>
        <w:rPr/>
        <w:t>调整资本公（资本溢价或股本溢价）；资本公积（资本溢价或股本溢价）不足冲减的，调整留存收益。</w:t>
      </w:r>
    </w:p>
    <w:p>
      <w:pPr>
        <w:pStyle w:val="Heading5"/>
        <w:spacing w:line="285" w:lineRule="auto" w:before="170"/>
        <w:ind w:right="1134" w:firstLine="399"/>
        <w:jc w:val="both"/>
      </w:pPr>
      <w:r>
        <w:rPr/>
        <w:t>非同一控制下的企业合并：公司按照购买日确定的合并成本作为长期股权投资的初始投资成本。合并成本</w:t>
      </w:r>
      <w:r>
        <w:rPr>
          <w:w w:val="100"/>
        </w:rPr>
        <w:t> </w:t>
      </w:r>
      <w:r>
        <w:rPr/>
        <w:t>为购买日购买方为取得对被购买方的控制权而付出的资产、发生或承担的负债以及发行的权益性证券的公允价</w:t>
      </w:r>
      <w:r>
        <w:rPr>
          <w:spacing w:val="-64"/>
        </w:rPr>
        <w:t> </w:t>
      </w:r>
      <w:r>
        <w:rPr>
          <w:spacing w:val="-64"/>
        </w:rPr>
      </w:r>
      <w:r>
        <w:rPr/>
        <w:t>值。购买方作为合并对价发行的权益性证券或债务性证券的交易费用，计入权益性证券或债务性证券的初始确</w:t>
      </w:r>
      <w:r>
        <w:rPr>
          <w:spacing w:val="-65"/>
        </w:rPr>
        <w:t> </w:t>
      </w:r>
      <w:r>
        <w:rPr>
          <w:spacing w:val="-65"/>
        </w:rPr>
      </w:r>
      <w:r>
        <w:rPr/>
        <w:t>认金额。通过多次交易分步实现的非同一控制下企业合并，以购买日之前所持被购买方的股权投资的账面价值</w:t>
      </w:r>
      <w:r>
        <w:rPr>
          <w:spacing w:val="-65"/>
        </w:rPr>
        <w:t> </w:t>
      </w:r>
      <w:r>
        <w:rPr>
          <w:spacing w:val="-65"/>
        </w:rPr>
      </w:r>
      <w:r>
        <w:rPr/>
        <w:t>与购买日新增投资成本之和，作为该项投资的初始投资成本。本公司将合并协议约定的或有对价作为企业合并</w:t>
      </w:r>
      <w:r>
        <w:rPr>
          <w:spacing w:val="-65"/>
        </w:rPr>
        <w:t> </w:t>
      </w:r>
      <w:r>
        <w:rPr>
          <w:spacing w:val="-65"/>
        </w:rPr>
      </w:r>
      <w:r>
        <w:rPr/>
        <w:t>转移对价的一部分，按照其在购买日的公允价值计入企业合并成本。</w:t>
      </w:r>
    </w:p>
    <w:p>
      <w:pPr>
        <w:pStyle w:val="Heading5"/>
        <w:spacing w:line="285" w:lineRule="auto" w:before="132"/>
        <w:ind w:right="1131" w:firstLine="399"/>
        <w:jc w:val="both"/>
      </w:pPr>
      <w:r>
        <w:rPr/>
        <w:t>合并方或购买方为企业合并而发生的审计、法律服务、评估咨询等中介费用以及其他相关管理费用于发生</w:t>
      </w:r>
      <w:r>
        <w:rPr>
          <w:w w:val="100"/>
        </w:rPr>
        <w:t> </w:t>
      </w:r>
      <w:r>
        <w:rPr/>
        <w:t>时计入当期损益。</w:t>
      </w:r>
    </w:p>
    <w:p>
      <w:pPr>
        <w:pStyle w:val="Heading5"/>
        <w:spacing w:line="374" w:lineRule="auto" w:before="132"/>
        <w:ind w:left="553" w:right="0"/>
        <w:jc w:val="left"/>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以支付现金方式取得的长期股权投资，按照实际支付的购买价款作为初始投资成本。初始投资成本包括与</w:t>
      </w:r>
    </w:p>
    <w:p>
      <w:pPr>
        <w:pStyle w:val="Heading5"/>
        <w:spacing w:line="200" w:lineRule="exact"/>
        <w:ind w:right="0"/>
        <w:jc w:val="both"/>
      </w:pPr>
      <w:r>
        <w:rPr/>
        <w:t>取得长期股权投资直接相关的费用、税金及其他必要支出。</w:t>
      </w:r>
    </w:p>
    <w:p>
      <w:pPr>
        <w:pStyle w:val="Heading5"/>
        <w:spacing w:line="430" w:lineRule="atLeast" w:before="2"/>
        <w:ind w:left="553" w:right="0"/>
        <w:jc w:val="left"/>
      </w:pPr>
      <w:r>
        <w:rPr/>
        <w:t>以发行权益性证券取得的长期股权投资，按照发行权益性证券的公允价值作为初始投资成本。</w:t>
      </w:r>
      <w:r>
        <w:rPr>
          <w:w w:val="100"/>
        </w:rPr>
        <w:t> </w:t>
      </w:r>
      <w:r>
        <w:rPr/>
        <w:t>在非货币性资产交换具备商业实质和换入资产或换出资产的公允价值能够可靠计量的前提下，非货币性资</w:t>
      </w:r>
    </w:p>
    <w:p>
      <w:pPr>
        <w:pStyle w:val="Heading5"/>
        <w:spacing w:line="285" w:lineRule="auto" w:before="50"/>
        <w:ind w:right="1133"/>
        <w:jc w:val="both"/>
      </w:pPr>
      <w:r>
        <w:rPr/>
        <w:t>产交换换入的长期股权投资以换出资产的公允价值为基础确定其初始投资成本，除非有确凿证据表明换入资产</w:t>
      </w:r>
      <w:r>
        <w:rPr>
          <w:spacing w:val="-65"/>
        </w:rPr>
        <w:t> </w:t>
      </w:r>
      <w:r>
        <w:rPr>
          <w:spacing w:val="-65"/>
        </w:rPr>
      </w:r>
      <w:r>
        <w:rPr/>
        <w:t>的公允价值更加可靠；不满足上述前提的非货币性资产交换，以换出资产的账面价值和应支付的相关税费作为</w:t>
      </w:r>
      <w:r>
        <w:rPr>
          <w:spacing w:val="-64"/>
        </w:rPr>
        <w:t> </w:t>
      </w:r>
      <w:r>
        <w:rPr>
          <w:spacing w:val="-64"/>
        </w:rPr>
      </w:r>
      <w:r>
        <w:rPr/>
        <w:t>换入长期股权投资的初始投资成本。</w:t>
      </w:r>
    </w:p>
    <w:p>
      <w:pPr>
        <w:pStyle w:val="Heading5"/>
        <w:spacing w:line="386" w:lineRule="auto" w:before="132"/>
        <w:ind w:left="553" w:right="3278"/>
        <w:jc w:val="left"/>
      </w:pPr>
      <w:r>
        <w:rPr>
          <w:spacing w:val="-1"/>
        </w:rPr>
        <w:t>通过债务重组取得的长期股权投资，其初始投资成本按照公允价值为基础确定。</w:t>
      </w:r>
      <w:r>
        <w:rPr>
          <w:spacing w:val="-73"/>
        </w:rPr>
        <w:t> </w:t>
      </w:r>
      <w:r>
        <w:rPr>
          <w:spacing w:val="-73"/>
        </w:rPr>
      </w: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长期股权投资的后续计量及损益确认方法</w:t>
      </w:r>
      <w:r>
        <w:rPr>
          <w:w w:val="100"/>
        </w:rPr>
        <w:t> </w:t>
      </w:r>
      <w:r>
        <w:rPr/>
        <w:t>本公司能够对被投资单位实施控制的长期股权投资采用成本法核算。</w:t>
      </w:r>
    </w:p>
    <w:p>
      <w:pPr>
        <w:pStyle w:val="Heading5"/>
        <w:spacing w:line="285" w:lineRule="auto" w:before="48"/>
        <w:ind w:right="1135" w:firstLine="399"/>
        <w:jc w:val="both"/>
      </w:pPr>
      <w:r>
        <w:rPr/>
        <w:t>采用成本法核算的长期股权投资按照初始投资成本计价。追加或收回投资调整长期股权投资的成本。被投</w:t>
      </w:r>
      <w:r>
        <w:rPr>
          <w:w w:val="100"/>
        </w:rPr>
        <w:t> </w:t>
      </w:r>
      <w:r>
        <w:rPr/>
        <w:t>资单位宣告分派的现金股利或利润，确认为当期投资收益。</w:t>
      </w:r>
    </w:p>
    <w:p>
      <w:pPr>
        <w:pStyle w:val="Heading5"/>
        <w:spacing w:line="285" w:lineRule="auto" w:before="132"/>
        <w:ind w:right="1130" w:firstLine="399"/>
        <w:jc w:val="both"/>
      </w:pPr>
      <w:r>
        <w:rPr/>
        <w:t>对合营企业和联营企业的长期股权投资，采用权益法核算。初始投资成本大于投资时应享有被投资单位可</w:t>
      </w:r>
      <w:r>
        <w:rPr>
          <w:w w:val="100"/>
        </w:rPr>
        <w:t> </w:t>
      </w:r>
      <w:r>
        <w:rPr/>
        <w:t>辨认净资产公允价值份额的差额，不调整长期股权投资的初始投资成本；初始投资成本小于投资时应享有被投</w:t>
      </w:r>
      <w:r>
        <w:rPr>
          <w:spacing w:val="-65"/>
        </w:rPr>
        <w:t> </w:t>
      </w:r>
      <w:r>
        <w:rPr>
          <w:spacing w:val="-65"/>
        </w:rPr>
      </w:r>
      <w:r>
        <w:rPr/>
        <w:t>资单位可辨认净资产公允价值份额的差额，计入当期损益，同时调整长期股权投资的成本。</w:t>
      </w:r>
    </w:p>
    <w:p>
      <w:pPr>
        <w:pStyle w:val="Heading5"/>
        <w:spacing w:line="285" w:lineRule="auto" w:before="132"/>
        <w:ind w:right="1132" w:firstLine="399"/>
        <w:jc w:val="both"/>
      </w:pPr>
      <w:r>
        <w:rPr/>
        <w:t>本公司取得长期股权投资后，按照应享有或应分担的被投资单位实现的净损益和其他综合收益的份额，分</w:t>
      </w:r>
      <w:r>
        <w:rPr>
          <w:w w:val="100"/>
        </w:rPr>
        <w:t> </w:t>
      </w:r>
      <w:r>
        <w:rPr/>
        <w:t>别确认投资收益和其他综合收益，同时调整长期股权投资的账面价值；本公司按照被投资单位宣告分派的利润</w:t>
      </w:r>
      <w:r>
        <w:rPr>
          <w:spacing w:val="-65"/>
        </w:rPr>
        <w:t> </w:t>
      </w:r>
      <w:r>
        <w:rPr>
          <w:spacing w:val="-65"/>
        </w:rPr>
      </w:r>
      <w:r>
        <w:rPr/>
        <w:t>或现金股利计算应享有的部分，相应减少长期股权投资的账面价值；本公司对于被投资单位除净损益、其他综</w:t>
      </w:r>
      <w:r>
        <w:rPr>
          <w:spacing w:val="-63"/>
        </w:rPr>
        <w:t> </w:t>
      </w:r>
      <w:r>
        <w:rPr>
          <w:spacing w:val="-63"/>
        </w:rPr>
      </w:r>
      <w:r>
        <w:rPr/>
        <w:t>合收益和利润分配以外所有者权益的其他变动，调整长期股权投资的账面价值并计入所有者权益。</w:t>
      </w:r>
    </w:p>
    <w:p>
      <w:pPr>
        <w:pStyle w:val="Heading5"/>
        <w:spacing w:line="285" w:lineRule="auto" w:before="132"/>
        <w:ind w:right="1135" w:firstLine="399"/>
        <w:jc w:val="both"/>
      </w:pPr>
      <w:r>
        <w:rPr/>
        <w:t>本公司在确认应享有被投资单位净损益的份额时，以取得投资时被投资单位可辨认净资产的公允价值为基</w:t>
      </w:r>
      <w:r>
        <w:rPr>
          <w:w w:val="100"/>
        </w:rPr>
        <w:t> </w:t>
      </w:r>
      <w:r>
        <w:rPr/>
        <w:t>础，对被投资单位的净利润进行调整后确认。</w:t>
      </w:r>
    </w:p>
    <w:p>
      <w:pPr>
        <w:pStyle w:val="Heading5"/>
        <w:spacing w:line="285" w:lineRule="auto" w:before="132"/>
        <w:ind w:right="1135" w:firstLine="399"/>
        <w:jc w:val="both"/>
      </w:pPr>
      <w:r>
        <w:rPr/>
        <w:t>被投资单位采用的会计政策及会计期间与本公司不一致的，按照本公司的会计政策及会计期间对被投资单</w:t>
      </w:r>
      <w:r>
        <w:rPr>
          <w:w w:val="100"/>
        </w:rPr>
        <w:t> </w:t>
      </w:r>
      <w:r>
        <w:rPr/>
        <w:t>位的财务报表进行调整，并据以确认投资收益和其他综合收益等。</w:t>
      </w:r>
    </w:p>
    <w:p>
      <w:pPr>
        <w:pStyle w:val="Heading5"/>
        <w:spacing w:line="285" w:lineRule="auto" w:before="132"/>
        <w:ind w:right="1135" w:firstLine="399"/>
        <w:jc w:val="both"/>
      </w:pPr>
      <w:r>
        <w:rPr/>
        <w:t>本公司确认被投资单位发生的净亏损，以长期股权投资的账面价值以及其他实质上构成对被投资单位净投</w:t>
      </w:r>
      <w:r>
        <w:rPr>
          <w:w w:val="100"/>
        </w:rPr>
        <w:t> </w:t>
      </w:r>
      <w:r>
        <w:rPr/>
        <w:t>资的长期权益减记至零为限，本公司负有承担额外损失义务的除外。</w:t>
      </w:r>
    </w:p>
    <w:p>
      <w:pPr>
        <w:pStyle w:val="Heading5"/>
        <w:spacing w:line="432" w:lineRule="exact" w:before="20"/>
        <w:ind w:left="553" w:right="0"/>
        <w:jc w:val="left"/>
      </w:pPr>
      <w:r>
        <w:rPr>
          <w:spacing w:val="-2"/>
        </w:rPr>
        <w:t>被投资单位以后实现净利润的，本公司在其收益分享额弥补未确认的亏损分担额后，恢复确认收益分享额。</w:t>
      </w:r>
      <w:r>
        <w:rPr>
          <w:spacing w:val="-81"/>
        </w:rPr>
        <w:t> </w:t>
      </w:r>
      <w:r>
        <w:rPr>
          <w:spacing w:val="-81"/>
        </w:rPr>
      </w:r>
      <w:r>
        <w:rPr/>
        <w:t>本公司计算确认应享有或应分担被投资单位的净损益时，与联营企业、合营企业之间发生的未实现内部交</w:t>
      </w:r>
    </w:p>
    <w:p>
      <w:pPr>
        <w:pStyle w:val="Heading5"/>
        <w:spacing w:line="254" w:lineRule="exact"/>
        <w:ind w:right="0"/>
        <w:jc w:val="both"/>
      </w:pPr>
      <w:r>
        <w:rPr/>
        <w:t>易损益按照应享有的比例计算归属于本公司的部分，予以抵销，在此基础上确认投资收益。</w:t>
      </w:r>
    </w:p>
    <w:p>
      <w:pPr>
        <w:spacing w:after="0" w:line="254" w:lineRule="exact"/>
        <w:jc w:val="both"/>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71" w:lineRule="auto" w:before="38"/>
        <w:ind w:left="154" w:right="1129" w:firstLine="399"/>
        <w:jc w:val="both"/>
      </w:pPr>
      <w:r>
        <w:rPr>
          <w:spacing w:val="-2"/>
        </w:rPr>
        <w:t>本公司与被投资单位发生的未实现内部交易损失，按照《企业会计准则第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资产减值》等的有关规定</w:t>
      </w:r>
      <w:r>
        <w:rPr>
          <w:w w:val="100"/>
        </w:rPr>
        <w:t> </w:t>
      </w:r>
      <w:r>
        <w:rPr/>
        <w:t>属于资产减值损失的，全额确认交易损失。</w:t>
      </w:r>
    </w:p>
    <w:p>
      <w:pPr>
        <w:pStyle w:val="Heading5"/>
        <w:spacing w:line="276" w:lineRule="auto" w:before="144"/>
        <w:ind w:right="1133" w:firstLine="399"/>
        <w:jc w:val="both"/>
        <w:rPr>
          <w:sz w:val="22"/>
          <w:szCs w:val="22"/>
        </w:rPr>
      </w:pPr>
      <w:r>
        <w:rPr/>
        <w:t>本公司因追加投资等原因能够对被投资单位施加重大影响或实施共同控制但不构成控制的，按照《企业会</w:t>
      </w:r>
      <w:r>
        <w:rPr>
          <w:w w:val="100"/>
        </w:rPr>
        <w:t> </w:t>
      </w:r>
      <w:r>
        <w:rPr/>
        <w:t>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金融工具确认和计量》确定的原持有的股权投资的公允价值加上新增投资成本之和，作为改</w:t>
      </w:r>
      <w:r>
        <w:rPr>
          <w:spacing w:val="-65"/>
        </w:rPr>
        <w:t> </w:t>
      </w:r>
      <w:r>
        <w:rPr>
          <w:spacing w:val="-65"/>
        </w:rPr>
      </w:r>
      <w:r>
        <w:rPr/>
        <w:t>按权益法核算的初始投资成本。原持有的股权投资分类为可供出售金融资产的，其公允价值与账面价值之间的</w:t>
      </w:r>
      <w:r>
        <w:rPr>
          <w:spacing w:val="-65"/>
        </w:rPr>
        <w:t> </w:t>
      </w:r>
      <w:r>
        <w:rPr>
          <w:spacing w:val="-65"/>
        </w:rPr>
      </w:r>
      <w:r>
        <w:rPr/>
        <w:t>差额，以及原计入其他综合收益的累计公允价值变动转入改按权</w:t>
      </w:r>
      <w:r>
        <w:rPr>
          <w:sz w:val="22"/>
          <w:szCs w:val="22"/>
        </w:rPr>
        <w:t>益法核算的当期损益。</w:t>
      </w:r>
    </w:p>
    <w:p>
      <w:pPr>
        <w:pStyle w:val="Heading5"/>
        <w:spacing w:line="240" w:lineRule="auto" w:before="128"/>
        <w:ind w:left="553" w:right="0"/>
        <w:jc w:val="left"/>
      </w:pPr>
      <w:r>
        <w:rPr/>
        <w:t>本公司因处置部分股权投资等原因丧失了对被投资单位的共同控制或重大影响的，处置后的剩余股权改按</w:t>
      </w:r>
    </w:p>
    <w:p>
      <w:pPr>
        <w:pStyle w:val="Heading5"/>
        <w:spacing w:line="278" w:lineRule="auto" w:before="50"/>
        <w:ind w:left="154" w:right="1130"/>
        <w:jc w:val="both"/>
      </w:pPr>
      <w:r>
        <w:rPr/>
        <w:t>《企业会计准则第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金融工具确认和计量》核算，其在丧失共同控制或重大影响之日的公允价值与账面</w:t>
      </w:r>
      <w:r>
        <w:rPr>
          <w:spacing w:val="-66"/>
        </w:rPr>
        <w:t> </w:t>
      </w:r>
      <w:r>
        <w:rPr>
          <w:spacing w:val="-66"/>
        </w:rPr>
      </w:r>
      <w:r>
        <w:rPr/>
        <w:t>价值之间的差额计入当期损益。原股权投资因采用权益法核算而确认的其他综合收益，在终止采用权益法核算</w:t>
      </w:r>
      <w:r>
        <w:rPr>
          <w:spacing w:val="-61"/>
        </w:rPr>
        <w:t> </w:t>
      </w:r>
      <w:r>
        <w:rPr>
          <w:spacing w:val="-61"/>
        </w:rPr>
      </w:r>
      <w:r>
        <w:rPr/>
        <w:t>时采用与被投资单位直接处置相关资产或负债相同的基础进行会计处理。</w:t>
      </w:r>
    </w:p>
    <w:p>
      <w:pPr>
        <w:pStyle w:val="Heading5"/>
        <w:spacing w:line="285" w:lineRule="auto" w:before="138"/>
        <w:ind w:left="154" w:right="1135" w:firstLine="399"/>
        <w:jc w:val="both"/>
      </w:pPr>
      <w:r>
        <w:rPr/>
        <w:t>本公司因处置部分权益性投资等原因丧失了对被投资单位的控制的，在编制个别财务报表时，处置后的剩</w:t>
      </w:r>
      <w:r>
        <w:rPr>
          <w:w w:val="100"/>
        </w:rPr>
        <w:t> </w:t>
      </w:r>
      <w:r>
        <w:rPr/>
        <w:t>余股权能够对被投资单位实施共同控制或施加重大影响的，改按权益法核算，并对该剩余股权视同自取得时即</w:t>
      </w:r>
      <w:r>
        <w:rPr>
          <w:spacing w:val="-65"/>
        </w:rPr>
        <w:t> </w:t>
      </w:r>
      <w:r>
        <w:rPr>
          <w:spacing w:val="-65"/>
        </w:rPr>
      </w:r>
      <w:r>
        <w:rPr/>
        <w:t>采用权益法核算进行调整；处置后的剩余股权不能对被投资单位实施共同控制或施加重大影响的，改按《企业</w:t>
      </w:r>
      <w:r>
        <w:rPr>
          <w:spacing w:val="-65"/>
        </w:rPr>
        <w:t> </w:t>
      </w:r>
      <w:r>
        <w:rPr>
          <w:spacing w:val="-65"/>
        </w:rPr>
      </w:r>
      <w:r>
        <w:rPr/>
        <w:t>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金融工具确认和计量》的有关规定进行会计处理。</w:t>
      </w:r>
    </w:p>
    <w:p>
      <w:pPr>
        <w:pStyle w:val="Heading5"/>
        <w:spacing w:line="285" w:lineRule="auto" w:before="113"/>
        <w:ind w:left="154" w:right="1135" w:firstLine="399"/>
        <w:jc w:val="both"/>
      </w:pPr>
      <w:r>
        <w:rPr/>
        <w:t>处置长期股权投资，其账面价值与实际取得价款之间的差额，计入当期损益。采用权益法核算的长期股权</w:t>
      </w:r>
      <w:r>
        <w:rPr>
          <w:w w:val="100"/>
        </w:rPr>
        <w:t> </w:t>
      </w:r>
      <w:r>
        <w:rPr/>
        <w:t>投资，在处置该项投资时，采用与被投资单位直接处置相关资产或负债相同的基础，按相应比例对原计入其他</w:t>
      </w:r>
      <w:r>
        <w:rPr>
          <w:spacing w:val="-65"/>
        </w:rPr>
        <w:t> </w:t>
      </w:r>
      <w:r>
        <w:rPr>
          <w:spacing w:val="-65"/>
        </w:rPr>
      </w:r>
      <w:r>
        <w:rPr/>
        <w:t>综合收益的部分进行会计处理。</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bookmarkStart w:name="15、投资性房地产" w:id="189"/>
      <w:bookmarkEnd w:id="18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7692"/>
        <w:jc w:val="left"/>
      </w:pPr>
      <w:r>
        <w:rPr/>
        <w:t>投资性房产计量模式：成本法计量 折旧或摊销方法</w:t>
      </w:r>
    </w:p>
    <w:p>
      <w:pPr>
        <w:pStyle w:val="BodyText"/>
        <w:spacing w:line="316" w:lineRule="auto" w:before="108"/>
        <w:ind w:left="154" w:right="1131" w:firstLine="360"/>
        <w:jc w:val="both"/>
      </w:pPr>
      <w:r>
        <w:rPr>
          <w:spacing w:val="-2"/>
        </w:rPr>
        <w:t>公司对投资性房地产采用成本模式计量。对按照成本模式计量的投资性房地产－出租用建筑物采用与本公司固定资产相</w:t>
      </w:r>
      <w:r>
        <w:rPr/>
        <w:t> 同的折旧政策，出租用土地使用权采用与本公司与无形资产相同的摊销政策。</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6、固定资产" w:id="190"/>
      <w:bookmarkEnd w:id="19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left="454" w:right="0"/>
        <w:jc w:val="left"/>
      </w:pPr>
      <w:bookmarkStart w:name="（1）确认条件" w:id="191"/>
      <w:bookmarkEnd w:id="191"/>
      <w:r>
        <w:rPr/>
      </w:r>
      <w:r>
        <w:rPr/>
        <w:t>（</w:t>
      </w:r>
      <w:r>
        <w:rPr>
          <w:rFonts w:ascii="Times New Roman" w:hAnsi="Times New Roman" w:cs="Times New Roman" w:eastAsia="Times New Roman" w:hint="default"/>
        </w:rPr>
        <w:t>1</w:t>
      </w:r>
      <w:r>
        <w:rPr/>
        <w:t>）确认条件</w:t>
      </w:r>
    </w:p>
    <w:p>
      <w:pPr>
        <w:spacing w:line="240" w:lineRule="auto" w:before="12"/>
        <w:rPr>
          <w:rFonts w:ascii="宋体" w:hAnsi="宋体" w:cs="宋体" w:eastAsia="宋体" w:hint="default"/>
          <w:sz w:val="26"/>
          <w:szCs w:val="26"/>
        </w:rPr>
      </w:pPr>
    </w:p>
    <w:p>
      <w:pPr>
        <w:pStyle w:val="BodyText"/>
        <w:spacing w:line="309" w:lineRule="auto"/>
        <w:ind w:left="154" w:right="1131" w:firstLine="360"/>
        <w:jc w:val="both"/>
      </w:pPr>
      <w:r>
        <w:rPr>
          <w:spacing w:val="-2"/>
        </w:rPr>
        <w:t>固定资产指为生产商品、提供劳务、出租或经营管理而持有，并且使用寿命超过一个会计年度的有形资产。固定资产分</w:t>
      </w:r>
      <w:r>
        <w:rPr/>
        <w:t> </w:t>
      </w:r>
      <w:r>
        <w:rPr>
          <w:spacing w:val="-4"/>
        </w:rPr>
        <w:t>类为：房屋及建筑物、机器设备、电子设备、运输设备、其他设备。固定资产在同时满足下列条件时予以确认：（</w:t>
      </w:r>
      <w:r>
        <w:rPr>
          <w:rFonts w:ascii="Times New Roman" w:hAnsi="Times New Roman" w:cs="Times New Roman" w:eastAsia="Times New Roman" w:hint="default"/>
          <w:spacing w:val="-4"/>
        </w:rPr>
        <w:t>1</w:t>
      </w:r>
      <w:r>
        <w:rPr>
          <w:spacing w:val="-4"/>
        </w:rPr>
        <w:t>）与该固</w:t>
      </w:r>
      <w:r>
        <w:rPr>
          <w:spacing w:val="-46"/>
        </w:rPr>
        <w:t> </w:t>
      </w:r>
      <w:r>
        <w:rPr>
          <w:spacing w:val="-46"/>
        </w:rPr>
      </w:r>
      <w:r>
        <w:rPr>
          <w:spacing w:val="-3"/>
        </w:rPr>
        <w:t>定资产有关的经济利益很可能流入企业；（</w:t>
      </w:r>
      <w:r>
        <w:rPr>
          <w:rFonts w:ascii="Times New Roman" w:hAnsi="Times New Roman" w:cs="Times New Roman" w:eastAsia="Times New Roman" w:hint="default"/>
          <w:spacing w:val="-3"/>
        </w:rPr>
        <w:t>2</w:t>
      </w:r>
      <w:r>
        <w:rPr>
          <w:spacing w:val="-3"/>
        </w:rPr>
        <w:t>）该固定资产的成本能够可靠地计量。</w:t>
      </w:r>
    </w:p>
    <w:p>
      <w:pPr>
        <w:spacing w:line="240" w:lineRule="auto" w:before="13"/>
        <w:rPr>
          <w:rFonts w:ascii="宋体" w:hAnsi="宋体" w:cs="宋体" w:eastAsia="宋体" w:hint="default"/>
          <w:sz w:val="21"/>
          <w:szCs w:val="21"/>
        </w:rPr>
      </w:pPr>
    </w:p>
    <w:p>
      <w:pPr>
        <w:pStyle w:val="Heading5"/>
        <w:spacing w:line="240" w:lineRule="auto"/>
        <w:ind w:left="453" w:right="0"/>
        <w:jc w:val="left"/>
      </w:pPr>
      <w:bookmarkStart w:name="（2）折旧方法" w:id="192"/>
      <w:bookmarkEnd w:id="192"/>
      <w:r>
        <w:rPr/>
      </w:r>
      <w:r>
        <w:rPr/>
        <w:t>（</w:t>
      </w:r>
      <w:r>
        <w:rPr>
          <w:rFonts w:ascii="Times New Roman" w:hAnsi="Times New Roman" w:cs="Times New Roman" w:eastAsia="Times New Roman" w:hint="default"/>
        </w:rPr>
        <w:t>2</w:t>
      </w:r>
      <w:r>
        <w:rPr/>
        <w:t>）折旧方法</w:t>
      </w:r>
    </w:p>
    <w:p>
      <w:pPr>
        <w:spacing w:line="240" w:lineRule="auto" w:before="2"/>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right="1131" w:firstLine="420"/>
        <w:jc w:val="both"/>
      </w:pPr>
      <w:r>
        <w:rPr/>
        <w:t>固定资产折旧采用年限平均法分类计提，根据固定资产类别、预计使用寿命和预计净残值率确定折旧率。</w:t>
      </w:r>
      <w:r>
        <w:rPr>
          <w:w w:val="100"/>
        </w:rPr>
        <w:t> </w:t>
      </w:r>
      <w:r>
        <w:rPr/>
        <w:t>如固定资产各组成部分的使用寿命不同或者以不同方式为企业提供经济利益，则选择不同折旧率或折旧方法，</w:t>
      </w:r>
      <w:r>
        <w:rPr>
          <w:spacing w:val="-65"/>
        </w:rPr>
        <w:t> </w:t>
      </w:r>
      <w:r>
        <w:rPr>
          <w:spacing w:val="-65"/>
        </w:rPr>
      </w:r>
      <w:r>
        <w:rPr/>
        <w:t>分别计提折旧。</w:t>
      </w:r>
    </w:p>
    <w:p>
      <w:pPr>
        <w:spacing w:line="240" w:lineRule="auto" w:before="13"/>
        <w:rPr>
          <w:rFonts w:ascii="宋体" w:hAnsi="宋体" w:cs="宋体" w:eastAsia="宋体" w:hint="default"/>
          <w:sz w:val="23"/>
          <w:szCs w:val="23"/>
        </w:rPr>
      </w:pPr>
    </w:p>
    <w:p>
      <w:pPr>
        <w:pStyle w:val="Heading5"/>
        <w:spacing w:line="240" w:lineRule="auto"/>
        <w:ind w:left="453" w:right="0"/>
        <w:jc w:val="left"/>
      </w:pPr>
      <w:bookmarkStart w:name="（3）融资租入固定资产的认定依据、计价和折旧方法" w:id="193"/>
      <w:bookmarkEnd w:id="193"/>
      <w:r>
        <w:rPr/>
      </w:r>
      <w:r>
        <w:rPr/>
        <w:t>（</w:t>
      </w:r>
      <w:r>
        <w:rPr>
          <w:rFonts w:ascii="Times New Roman" w:hAnsi="Times New Roman" w:cs="Times New Roman" w:eastAsia="Times New Roman" w:hint="default"/>
        </w:rPr>
        <w:t>3</w:t>
      </w:r>
      <w:r>
        <w:rPr/>
        <w:t>）融资租入固定资产的认定依据、计价和折旧方法</w:t>
      </w:r>
    </w:p>
    <w:p>
      <w:pPr>
        <w:spacing w:line="240" w:lineRule="auto" w:before="11"/>
        <w:rPr>
          <w:rFonts w:ascii="宋体" w:hAnsi="宋体" w:cs="宋体" w:eastAsia="宋体" w:hint="default"/>
          <w:sz w:val="26"/>
          <w:szCs w:val="26"/>
        </w:rPr>
      </w:pPr>
    </w:p>
    <w:p>
      <w:pPr>
        <w:pStyle w:val="BodyText"/>
        <w:spacing w:line="309" w:lineRule="auto"/>
        <w:ind w:right="0" w:firstLine="360"/>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w:t>
      </w:r>
      <w:r>
        <w:rPr/>
        <w:t> </w:t>
      </w:r>
      <w:r>
        <w:rPr>
          <w:spacing w:val="-5"/>
        </w:rPr>
        <w:t>权归属于本公司；（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w:t>
      </w:r>
      <w:r>
        <w:rPr>
          <w:spacing w:val="-73"/>
        </w:rPr>
        <w:t> </w:t>
      </w:r>
      <w:r>
        <w:rPr>
          <w:spacing w:val="-73"/>
        </w:rPr>
      </w:r>
      <w:r>
        <w:rPr>
          <w:spacing w:val="-2"/>
        </w:rPr>
        <w:t>资产使用寿命的大部分；（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）租赁开始日的最低租赁付款额现值，与该资产的公允价值不存在较大的差异。在承租开始日，</w:t>
      </w:r>
      <w:r>
        <w:rPr>
          <w:spacing w:val="-70"/>
        </w:rPr>
        <w:t>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spacing w:val="-4"/>
        </w:rPr>
        <w:t>账价值，其差额作为未确认的融资费。融资租赁方式租入的固定资产，能合理确定租赁期届满时将会取得租赁资产所有权的，</w:t>
      </w:r>
      <w:r>
        <w:rPr>
          <w:spacing w:val="-44"/>
        </w:rPr>
        <w:t> </w:t>
      </w:r>
      <w:r>
        <w:rPr>
          <w:spacing w:val="-44"/>
        </w:rPr>
      </w:r>
      <w:r>
        <w:rPr>
          <w:spacing w:val="-2"/>
        </w:rPr>
        <w:t>在租赁资产尚可使用年限内计提折旧；无法合理确定租赁期届满时能够取得租赁资产所有权的，在租赁期与租赁资产尚可使</w:t>
      </w:r>
      <w:r>
        <w:rPr>
          <w:spacing w:val="-64"/>
        </w:rPr>
        <w:t> </w:t>
      </w:r>
      <w:r>
        <w:rPr>
          <w:spacing w:val="-64"/>
        </w:rPr>
      </w:r>
      <w:r>
        <w:rPr/>
        <w:t>用年限两者中较短的期间内计提折旧。</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17、在建工程" w:id="194"/>
      <w:bookmarkEnd w:id="19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604" w:right="7332" w:hanging="90"/>
        <w:jc w:val="left"/>
      </w:pPr>
      <w:r>
        <w:rPr/>
        <w:t>公司是否需要遵守特殊行业的披露要求 否</w:t>
      </w:r>
    </w:p>
    <w:p>
      <w:pPr>
        <w:pStyle w:val="Heading5"/>
        <w:spacing w:line="240" w:lineRule="auto" w:before="92"/>
        <w:ind w:left="553" w:right="0"/>
        <w:jc w:val="left"/>
      </w:pPr>
      <w:r>
        <w:rPr/>
        <w:t>在建工程以立项项目分类核算。</w:t>
      </w:r>
    </w:p>
    <w:p>
      <w:pPr>
        <w:pStyle w:val="Heading5"/>
        <w:spacing w:line="285" w:lineRule="auto" w:before="169"/>
        <w:ind w:right="1133" w:firstLine="399"/>
        <w:jc w:val="both"/>
      </w:pPr>
      <w:r>
        <w:rPr/>
        <w:t>在建工程项目按建造该项资产达到预定可使用状态前所发生的全部支出，作为固定资产的入账价值。所建</w:t>
      </w:r>
      <w:r>
        <w:rPr>
          <w:w w:val="100"/>
        </w:rPr>
        <w:t> </w:t>
      </w:r>
      <w:r>
        <w:rPr/>
        <w:t>造的固定资产在建工程已达到预定可使用状态，但尚未办理竣工决算的，自达到预定可使用状态之日起，根据</w:t>
      </w:r>
      <w:r>
        <w:rPr>
          <w:spacing w:val="-65"/>
        </w:rPr>
        <w:t> </w:t>
      </w:r>
      <w:r>
        <w:rPr>
          <w:spacing w:val="-65"/>
        </w:rPr>
      </w:r>
      <w:r>
        <w:rPr/>
        <w:t>工程预算、造价或者工程实际成本等，按估计的价值转入固定资产，并按本公司固定资产折旧政策计提固定资</w:t>
      </w:r>
      <w:r>
        <w:rPr>
          <w:spacing w:val="-65"/>
        </w:rPr>
        <w:t> </w:t>
      </w:r>
      <w:r>
        <w:rPr>
          <w:spacing w:val="-65"/>
        </w:rPr>
      </w:r>
      <w:r>
        <w:rPr/>
        <w:t>产的折旧，待办理竣工决算后，再按实际成本调整原来的暂估价值，但不调整原已计提的折旧额。</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18、借款费用" w:id="195"/>
      <w:bookmarkEnd w:id="19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10"/>
        <w:rPr>
          <w:rFonts w:ascii="宋体" w:hAnsi="宋体" w:cs="宋体" w:eastAsia="宋体" w:hint="default"/>
          <w:b/>
          <w:bCs/>
          <w:sz w:val="16"/>
          <w:szCs w:val="16"/>
        </w:rPr>
      </w:pPr>
    </w:p>
    <w:p>
      <w:pPr>
        <w:pStyle w:val="Heading5"/>
        <w:spacing w:line="432" w:lineRule="exact"/>
        <w:ind w:left="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借款费用资本化的确认原则</w:t>
      </w:r>
      <w:r>
        <w:rPr>
          <w:w w:val="100"/>
        </w:rPr>
        <w:t> </w:t>
      </w:r>
      <w:r>
        <w:rPr/>
        <w:t>借款费用，包括借款利息、折价或者溢价的摊销、辅助费用以及因外币借款而发生的汇兑差额等。</w:t>
      </w:r>
      <w:r>
        <w:rPr>
          <w:w w:val="100"/>
        </w:rPr>
        <w:t> </w:t>
      </w:r>
      <w:r>
        <w:rPr/>
        <w:t>公司发生的借款费用，可直接归属于符合资本化条件的资产的购建或者生产的，予以资本化，计入相关资</w:t>
      </w:r>
    </w:p>
    <w:p>
      <w:pPr>
        <w:pStyle w:val="Heading5"/>
        <w:spacing w:line="254" w:lineRule="exact"/>
        <w:ind w:left="154" w:right="0"/>
        <w:jc w:val="left"/>
      </w:pPr>
      <w:r>
        <w:rPr/>
        <w:t>产成本；其他借款费用，在发生时根据其发生额确认为费用，计入当期损益。</w:t>
      </w:r>
    </w:p>
    <w:p>
      <w:pPr>
        <w:pStyle w:val="Heading5"/>
        <w:spacing w:line="285" w:lineRule="auto" w:before="170"/>
        <w:ind w:left="154" w:right="0" w:firstLine="399"/>
        <w:jc w:val="left"/>
      </w:pPr>
      <w:r>
        <w:rPr/>
        <w:t>符合资本化条件的资产，是指需要经过相当长时间的购建或者生产活动才能达到预定可使用或者可销售状</w:t>
      </w:r>
      <w:r>
        <w:rPr>
          <w:w w:val="100"/>
        </w:rPr>
        <w:t> </w:t>
      </w:r>
      <w:r>
        <w:rPr/>
        <w:t>态的固定资产、投资性房地产和存货等资产。</w:t>
      </w:r>
    </w:p>
    <w:p>
      <w:pPr>
        <w:pStyle w:val="Heading5"/>
        <w:spacing w:line="240" w:lineRule="auto" w:before="132"/>
        <w:ind w:left="553" w:right="0"/>
        <w:jc w:val="left"/>
      </w:pPr>
      <w:r>
        <w:rPr/>
        <w:t>借款费用同时满足下列条件时开始资本化：</w:t>
      </w:r>
    </w:p>
    <w:p>
      <w:pPr>
        <w:pStyle w:val="Heading5"/>
        <w:spacing w:line="271" w:lineRule="auto" w:before="170"/>
        <w:ind w:left="154" w:right="0" w:firstLine="399"/>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）资产支出已经发生，资产支出包括为购建或者生产符合资本化条件的资产而以支付现金、转移非现金</w:t>
      </w:r>
      <w:r>
        <w:rPr>
          <w:w w:val="100"/>
        </w:rPr>
        <w:t> </w:t>
      </w:r>
      <w:r>
        <w:rPr/>
        <w:t>资产或者承担带息债务形式发生的支出；</w:t>
      </w:r>
    </w:p>
    <w:p>
      <w:pPr>
        <w:pStyle w:val="Heading5"/>
        <w:spacing w:line="240" w:lineRule="auto" w:before="144"/>
        <w:ind w:left="553" w:right="0"/>
        <w:jc w:val="left"/>
      </w:pPr>
      <w:r>
        <w:rPr/>
        <w:t>（</w:t>
      </w:r>
      <w:r>
        <w:rPr>
          <w:rFonts w:ascii="Times New Roman" w:hAnsi="Times New Roman" w:cs="Times New Roman" w:eastAsia="Times New Roman" w:hint="default"/>
        </w:rPr>
        <w:t>2</w:t>
      </w:r>
      <w:r>
        <w:rPr/>
        <w:t>）借款费用已经发生；</w:t>
      </w:r>
    </w:p>
    <w:p>
      <w:pPr>
        <w:pStyle w:val="Heading5"/>
        <w:spacing w:line="240" w:lineRule="auto" w:before="155"/>
        <w:ind w:left="553"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Heading5"/>
        <w:spacing w:line="374" w:lineRule="auto" w:before="155"/>
        <w:ind w:left="553" w:right="0" w:firstLine="10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借款费用资本化期间</w:t>
      </w:r>
      <w:r>
        <w:rPr>
          <w:w w:val="100"/>
        </w:rPr>
        <w:t> </w:t>
      </w:r>
      <w:r>
        <w:rPr/>
        <w:t>资本化期间，指从借款费用开始资本化时点到停止资本化时点的期间，借款费用暂停资本化的期间不包括</w:t>
      </w:r>
    </w:p>
    <w:p>
      <w:pPr>
        <w:pStyle w:val="Heading5"/>
        <w:spacing w:line="199" w:lineRule="exact"/>
        <w:ind w:left="154" w:right="0"/>
        <w:jc w:val="left"/>
      </w:pPr>
      <w:r>
        <w:rPr/>
        <w:t>在内。</w:t>
      </w:r>
    </w:p>
    <w:p>
      <w:pPr>
        <w:spacing w:after="0" w:line="199" w:lineRule="exact"/>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40" w:lineRule="auto" w:before="38"/>
        <w:ind w:left="553" w:right="0"/>
        <w:jc w:val="left"/>
      </w:pPr>
      <w:r>
        <w:rPr/>
        <w:t>当购建或者生产符合资本化条件的资产达到预定可使用或者可销售状态时，借款费用停止资本化。</w:t>
      </w:r>
    </w:p>
    <w:p>
      <w:pPr>
        <w:pStyle w:val="Heading5"/>
        <w:spacing w:line="285" w:lineRule="auto" w:before="170"/>
        <w:ind w:right="1118" w:firstLine="399"/>
        <w:jc w:val="left"/>
      </w:pPr>
      <w:r>
        <w:rPr/>
        <w:t>当购建或者生产符合资本化条件的资产中部分项目分别完工且可单独使用时，该部分资产借款费用停止资</w:t>
      </w:r>
      <w:r>
        <w:rPr>
          <w:w w:val="100"/>
        </w:rPr>
        <w:t> </w:t>
      </w:r>
      <w:r>
        <w:rPr/>
        <w:t>本化。</w:t>
      </w:r>
    </w:p>
    <w:p>
      <w:pPr>
        <w:pStyle w:val="Heading5"/>
        <w:spacing w:line="285" w:lineRule="auto" w:before="132"/>
        <w:ind w:right="0" w:firstLine="399"/>
        <w:jc w:val="left"/>
      </w:pPr>
      <w:r>
        <w:rPr/>
        <w:t>购建或者生产的资产的各部分分别完工，但必须等到整体完工后才可使用或可对外销售的，在该资产整体</w:t>
      </w:r>
      <w:r>
        <w:rPr>
          <w:w w:val="100"/>
        </w:rPr>
        <w:t> </w:t>
      </w:r>
      <w:r>
        <w:rPr/>
        <w:t>完工时停止借款费用资本化。</w:t>
      </w:r>
    </w:p>
    <w:p>
      <w:pPr>
        <w:pStyle w:val="Heading5"/>
        <w:spacing w:line="432" w:lineRule="exact" w:before="20"/>
        <w:ind w:left="55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借款费用暂停资本化期间</w:t>
      </w:r>
      <w:r>
        <w:rPr>
          <w:w w:val="100"/>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w:t>
      </w:r>
    </w:p>
    <w:p>
      <w:pPr>
        <w:pStyle w:val="Heading5"/>
        <w:spacing w:line="285" w:lineRule="auto"/>
        <w:ind w:right="1135"/>
        <w:jc w:val="both"/>
      </w:pPr>
      <w:r>
        <w:rPr/>
        <w:t>暂停资本化；该项中断如是所购建或生产的符合资本化条件的资产达到预定可使用状态或者可销售状态必要的</w:t>
      </w:r>
      <w:r>
        <w:rPr>
          <w:spacing w:val="-65"/>
        </w:rPr>
        <w:t> </w:t>
      </w:r>
      <w:r>
        <w:rPr>
          <w:spacing w:val="-65"/>
        </w:rPr>
      </w:r>
      <w:r>
        <w:rPr/>
        <w:t>程序，则借款费用继续资本化。在中断期间发生的借款费用确认为当期损益，直至资产的购建或者生产活动重</w:t>
      </w:r>
      <w:r>
        <w:rPr>
          <w:spacing w:val="-65"/>
        </w:rPr>
        <w:t> </w:t>
      </w:r>
      <w:r>
        <w:rPr>
          <w:spacing w:val="-65"/>
        </w:rPr>
      </w:r>
      <w:r>
        <w:rPr/>
        <w:t>新开始后借款费用继续资本化。</w:t>
      </w:r>
    </w:p>
    <w:p>
      <w:pPr>
        <w:pStyle w:val="Heading5"/>
        <w:spacing w:line="374" w:lineRule="auto" w:before="132"/>
        <w:ind w:left="55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借款费用资本化金额的计算方法</w:t>
      </w:r>
      <w:r>
        <w:rPr>
          <w:w w:val="100"/>
        </w:rPr>
        <w:t> </w:t>
      </w:r>
      <w:r>
        <w:rPr/>
        <w:t>对于为购建或者生产符合资本化条件的资产而借入的专门借款，以专门借款当期实际发生的借款费用及其</w:t>
      </w:r>
    </w:p>
    <w:p>
      <w:pPr>
        <w:pStyle w:val="Heading5"/>
        <w:spacing w:line="200" w:lineRule="exact"/>
        <w:ind w:right="0"/>
        <w:jc w:val="both"/>
      </w:pPr>
      <w:r>
        <w:rPr/>
        <w:t>辅助费，减去尚未动用的借款资金存入银行取得的利息收入或进行暂时性投资取得的投资收益后的金额，来确</w:t>
      </w:r>
    </w:p>
    <w:p>
      <w:pPr>
        <w:pStyle w:val="Heading5"/>
        <w:spacing w:line="240" w:lineRule="auto" w:before="50"/>
        <w:ind w:right="0"/>
        <w:jc w:val="both"/>
      </w:pPr>
      <w:r>
        <w:rPr/>
        <w:t>定借款费用的资本化金额。</w:t>
      </w:r>
    </w:p>
    <w:p>
      <w:pPr>
        <w:pStyle w:val="Heading5"/>
        <w:spacing w:line="285" w:lineRule="auto" w:before="170"/>
        <w:ind w:right="1135" w:firstLine="399"/>
        <w:jc w:val="both"/>
      </w:pPr>
      <w:r>
        <w:rPr/>
        <w:t>对于为购建或者生产符合资本化条件的资产而占用的一般借款，根据累计资产支出超过专门借款部分的资</w:t>
      </w:r>
      <w:r>
        <w:rPr>
          <w:w w:val="100"/>
        </w:rPr>
        <w:t> </w:t>
      </w:r>
      <w:r>
        <w:rPr/>
        <w:t>产支出加权平均数乘以所占用一般借款的资本化率，计算确定一般借款应予资本化的利息金额。资本化率根据</w:t>
      </w:r>
      <w:r>
        <w:rPr>
          <w:spacing w:val="-65"/>
        </w:rPr>
        <w:t> </w:t>
      </w:r>
      <w:r>
        <w:rPr>
          <w:spacing w:val="-65"/>
        </w:rPr>
      </w:r>
      <w:r>
        <w:rPr/>
        <w:t>一般借款加权平均利率计算确定。</w:t>
      </w:r>
    </w:p>
    <w:p>
      <w:pPr>
        <w:pStyle w:val="Heading5"/>
        <w:spacing w:line="285" w:lineRule="auto" w:before="132"/>
        <w:ind w:right="1118" w:firstLine="399"/>
        <w:jc w:val="left"/>
      </w:pPr>
      <w:r>
        <w:rPr/>
        <w:t>借款存在折价或者溢价的，按照实际利率法确定每一会计期间应摊销的折价或者溢价金额，调整每期利息</w:t>
      </w:r>
      <w:r>
        <w:rPr>
          <w:w w:val="100"/>
        </w:rPr>
        <w:t> </w:t>
      </w:r>
      <w:r>
        <w:rPr/>
        <w:t>金额。</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bookmarkStart w:name="19、生物资产" w:id="196"/>
      <w:bookmarkEnd w:id="19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both"/>
        <w:rPr>
          <w:b w:val="0"/>
          <w:bCs w:val="0"/>
        </w:rPr>
      </w:pPr>
      <w:bookmarkStart w:name="20、油气资产" w:id="197"/>
      <w:bookmarkEnd w:id="19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both"/>
        <w:rPr>
          <w:b w:val="0"/>
          <w:bCs w:val="0"/>
        </w:rPr>
      </w:pPr>
      <w:bookmarkStart w:name="21、无形资产" w:id="198"/>
      <w:bookmarkEnd w:id="19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76" w:right="0"/>
        <w:jc w:val="left"/>
        <w:rPr>
          <w:b w:val="0"/>
          <w:bCs w:val="0"/>
        </w:rPr>
      </w:pPr>
      <w:bookmarkStart w:name="（1）计价方法、使用寿命、减值测试" w:id="199"/>
      <w:bookmarkEnd w:id="19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6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无形资产的计价方法</w:t>
      </w:r>
    </w:p>
    <w:p>
      <w:pPr>
        <w:pStyle w:val="Heading5"/>
        <w:spacing w:line="374" w:lineRule="auto" w:before="155"/>
        <w:ind w:left="553" w:right="0"/>
        <w:jc w:val="left"/>
      </w:pPr>
      <w:r>
        <w:rPr/>
        <w:t>（</w:t>
      </w:r>
      <w:r>
        <w:rPr>
          <w:rFonts w:ascii="Times New Roman" w:hAnsi="Times New Roman" w:cs="Times New Roman" w:eastAsia="Times New Roman" w:hint="default"/>
        </w:rPr>
        <w:t>1</w:t>
      </w:r>
      <w:r>
        <w:rPr/>
        <w:t>）取得无形资产时按成本进行初始计量</w:t>
      </w:r>
      <w:r>
        <w:rPr>
          <w:w w:val="100"/>
        </w:rPr>
        <w:t> </w:t>
      </w:r>
      <w:r>
        <w:rPr/>
        <w:t>外购无形资产的成本，包括购买价款、相关税费以及直接归属于使该项资产达到预定用途所发生的其他支</w:t>
      </w:r>
    </w:p>
    <w:p>
      <w:pPr>
        <w:pStyle w:val="Heading5"/>
        <w:spacing w:line="200" w:lineRule="exact"/>
        <w:ind w:left="154" w:right="0"/>
        <w:jc w:val="both"/>
      </w:pPr>
      <w:r>
        <w:rPr/>
        <w:t>出。购买无形资产的价款超过正常信用条件延期支付，实质上具有融资性质的，无形资产的成本以购买价款的</w:t>
      </w:r>
    </w:p>
    <w:p>
      <w:pPr>
        <w:pStyle w:val="Heading5"/>
        <w:spacing w:line="240" w:lineRule="auto" w:before="50"/>
        <w:ind w:left="154" w:right="0"/>
        <w:jc w:val="both"/>
      </w:pPr>
      <w:r>
        <w:rPr/>
        <w:t>现值为基础确定。</w:t>
      </w:r>
    </w:p>
    <w:p>
      <w:pPr>
        <w:pStyle w:val="Heading5"/>
        <w:spacing w:line="285" w:lineRule="auto" w:before="170"/>
        <w:ind w:left="154" w:right="0" w:firstLine="399"/>
        <w:jc w:val="left"/>
      </w:pPr>
      <w:r>
        <w:rPr/>
        <w:t>债务重组取得债务人用以抵债的无形资产，以该无形资产的公允价值为基础确定其入账价值，并将重组债</w:t>
      </w:r>
      <w:r>
        <w:rPr>
          <w:w w:val="100"/>
        </w:rPr>
        <w:t> </w:t>
      </w:r>
      <w:r>
        <w:rPr/>
        <w:t>务的账面价值与该用以抵债的无形资产公允价值之间的差额，计入当期损益；</w:t>
      </w:r>
    </w:p>
    <w:p>
      <w:pPr>
        <w:pStyle w:val="Heading5"/>
        <w:spacing w:line="240" w:lineRule="auto" w:before="132"/>
        <w:ind w:left="553" w:right="0"/>
        <w:jc w:val="left"/>
      </w:pPr>
      <w:r>
        <w:rPr/>
        <w:t>在非货币性资产交换具备商业实质且换入资产或换出资产的公允价值能够可靠计量的前提下，非货币性资</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right="1133"/>
        <w:jc w:val="both"/>
      </w:pPr>
      <w:r>
        <w:rPr/>
        <w:t>产交换换入的无形资产以换出资产的公允价值为基础确定其入账价值，除非有确凿证据表明换入资产的公允价</w:t>
      </w:r>
      <w:r>
        <w:rPr>
          <w:spacing w:val="-64"/>
        </w:rPr>
        <w:t> </w:t>
      </w:r>
      <w:r>
        <w:rPr>
          <w:spacing w:val="-64"/>
        </w:rPr>
      </w:r>
      <w:r>
        <w:rPr/>
        <w:t>值更加可靠；不满足上述前提的非货币性资产交换，以换出资产的账面价值和应支付的相关税费作为换入无形</w:t>
      </w:r>
      <w:r>
        <w:rPr>
          <w:spacing w:val="-65"/>
        </w:rPr>
        <w:t> </w:t>
      </w:r>
      <w:r>
        <w:rPr>
          <w:spacing w:val="-65"/>
        </w:rPr>
      </w:r>
      <w:r>
        <w:rPr/>
        <w:t>资产的成本，不确认损益。</w:t>
      </w:r>
    </w:p>
    <w:p>
      <w:pPr>
        <w:pStyle w:val="Heading5"/>
        <w:spacing w:line="285" w:lineRule="auto" w:before="132"/>
        <w:ind w:right="1135" w:firstLine="399"/>
        <w:jc w:val="both"/>
      </w:pPr>
      <w:r>
        <w:rPr/>
        <w:t>以同一控制下的企业吸收合并方式取得的无形资产按被合并方的账面价值确定其入账价值；以非同一控制</w:t>
      </w:r>
      <w:r>
        <w:rPr>
          <w:w w:val="100"/>
        </w:rPr>
        <w:t> </w:t>
      </w:r>
      <w:r>
        <w:rPr/>
        <w:t>下的企业吸收合并方式取得的无形资产按公允价值确定其入账价值。</w:t>
      </w:r>
    </w:p>
    <w:p>
      <w:pPr>
        <w:pStyle w:val="Heading5"/>
        <w:spacing w:line="285" w:lineRule="auto" w:before="132"/>
        <w:ind w:right="1131" w:firstLine="399"/>
        <w:jc w:val="both"/>
      </w:pPr>
      <w:r>
        <w:rPr/>
        <w:t>内部自行开发的无形资产，其成本包括：开发该无形资产时耗用的材料、劳务成本、注册费、在开发过程</w:t>
      </w:r>
      <w:r>
        <w:rPr>
          <w:w w:val="100"/>
        </w:rPr>
        <w:t> </w:t>
      </w:r>
      <w:r>
        <w:rPr/>
        <w:t>中使用的其他专利权和特许权的摊销以及满足资本化条件的利息费用，以及为使该无形资产达到预定用途前所</w:t>
      </w:r>
      <w:r>
        <w:rPr>
          <w:spacing w:val="-61"/>
        </w:rPr>
        <w:t> </w:t>
      </w:r>
      <w:r>
        <w:rPr>
          <w:spacing w:val="-61"/>
        </w:rPr>
      </w:r>
      <w:r>
        <w:rPr/>
        <w:t>发生的其他直接费用。</w:t>
      </w:r>
    </w:p>
    <w:p>
      <w:pPr>
        <w:pStyle w:val="Heading5"/>
        <w:spacing w:line="374" w:lineRule="auto" w:before="132"/>
        <w:ind w:left="553" w:right="5733"/>
        <w:jc w:val="left"/>
      </w:pPr>
      <w:r>
        <w:rPr/>
        <w:t>（</w:t>
      </w:r>
      <w:r>
        <w:rPr>
          <w:rFonts w:ascii="Times New Roman" w:hAnsi="Times New Roman" w:cs="Times New Roman" w:eastAsia="Times New Roman" w:hint="default"/>
        </w:rPr>
        <w:t>2</w:t>
      </w:r>
      <w:r>
        <w:rPr/>
        <w:t>）后续计量</w:t>
      </w:r>
      <w:r>
        <w:rPr>
          <w:w w:val="100"/>
        </w:rPr>
        <w:t> </w:t>
      </w:r>
      <w:r>
        <w:rPr>
          <w:spacing w:val="-1"/>
        </w:rPr>
        <w:t>在取得无形资产时分析判断其使用寿命。</w:t>
      </w:r>
    </w:p>
    <w:p>
      <w:pPr>
        <w:pStyle w:val="Heading5"/>
        <w:spacing w:line="285" w:lineRule="auto" w:before="58"/>
        <w:ind w:right="1135" w:firstLine="399"/>
        <w:jc w:val="both"/>
      </w:pPr>
      <w:r>
        <w:rPr/>
        <w:t>对于使用寿命有限的无形资产，在为企业带来经济利益的期限内按直线法摊销；无法预见无形资产为企业</w:t>
      </w:r>
      <w:r>
        <w:rPr>
          <w:w w:val="100"/>
        </w:rPr>
        <w:t> </w:t>
      </w:r>
      <w:r>
        <w:rPr/>
        <w:t>带来经济利益期限的，视为使用寿命不确定的无形资产，不予摊销。</w:t>
      </w:r>
    </w:p>
    <w:p>
      <w:pPr>
        <w:pStyle w:val="Heading5"/>
        <w:spacing w:line="240" w:lineRule="auto" w:before="132"/>
        <w:ind w:left="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使用寿命有限的无形资产的使用寿命估计情况</w:t>
      </w:r>
    </w:p>
    <w:p>
      <w:pPr>
        <w:spacing w:line="240" w:lineRule="auto" w:before="1"/>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843"/>
        <w:gridCol w:w="2269"/>
        <w:gridCol w:w="5529"/>
      </w:tblGrid>
      <w:tr>
        <w:trPr>
          <w:trHeight w:val="321"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预计使用寿命</w:t>
            </w:r>
          </w:p>
        </w:tc>
        <w:tc>
          <w:tcPr>
            <w:tcW w:w="5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依据</w:t>
            </w:r>
          </w:p>
        </w:tc>
      </w:tr>
      <w:tr>
        <w:trPr>
          <w:trHeight w:val="664" w:hRule="exact"/>
        </w:trPr>
        <w:tc>
          <w:tcPr>
            <w:tcW w:w="1843"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15"/>
              <w:ind w:left="4"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2269" w:type="dxa"/>
            <w:tcBorders>
              <w:top w:val="single" w:sz="8" w:space="0" w:color="000000"/>
              <w:left w:val="single" w:sz="4" w:space="0" w:color="000000"/>
              <w:bottom w:val="single" w:sz="4" w:space="0" w:color="FFFFFF"/>
              <w:right w:val="single" w:sz="4"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sz w:val="20"/>
                <w:szCs w:val="20"/>
              </w:rPr>
              <w:t>土地使用权的有效期</w:t>
            </w:r>
          </w:p>
        </w:tc>
        <w:tc>
          <w:tcPr>
            <w:tcW w:w="5529" w:type="dxa"/>
            <w:tcBorders>
              <w:top w:val="single" w:sz="8" w:space="0" w:color="000000"/>
              <w:left w:val="single" w:sz="4" w:space="0" w:color="000000"/>
              <w:bottom w:val="single" w:sz="4" w:space="0" w:color="FFFFFF"/>
              <w:right w:val="single" w:sz="4" w:space="0" w:color="000000"/>
            </w:tcBorders>
          </w:tcPr>
          <w:p>
            <w:pPr>
              <w:pStyle w:val="TableParagraph"/>
              <w:spacing w:line="285" w:lineRule="auto" w:before="10"/>
              <w:ind w:left="4" w:right="3"/>
              <w:jc w:val="left"/>
              <w:rPr>
                <w:rFonts w:ascii="宋体" w:hAnsi="宋体" w:cs="宋体" w:eastAsia="宋体" w:hint="default"/>
                <w:sz w:val="20"/>
                <w:szCs w:val="20"/>
              </w:rPr>
            </w:pPr>
            <w:r>
              <w:rPr>
                <w:rFonts w:ascii="宋体" w:hAnsi="宋体" w:cs="宋体" w:eastAsia="宋体" w:hint="default"/>
                <w:spacing w:val="-4"/>
                <w:w w:val="100"/>
                <w:sz w:val="20"/>
                <w:szCs w:val="20"/>
              </w:rPr>
              <w:t>对于使用寿命有限的无形资产，在为企业带来经济利益的期限内</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按直线法摊销。</w:t>
            </w:r>
          </w:p>
        </w:tc>
      </w:tr>
      <w:tr>
        <w:trPr>
          <w:trHeight w:val="654" w:hRule="exact"/>
        </w:trPr>
        <w:tc>
          <w:tcPr>
            <w:tcW w:w="1843"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商标</w:t>
            </w:r>
          </w:p>
        </w:tc>
        <w:tc>
          <w:tcPr>
            <w:tcW w:w="226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5529" w:type="dxa"/>
            <w:tcBorders>
              <w:top w:val="single" w:sz="4" w:space="0" w:color="FFFFFF"/>
              <w:left w:val="single" w:sz="4" w:space="0" w:color="000000"/>
              <w:bottom w:val="single" w:sz="4" w:space="0" w:color="FFFFFF"/>
              <w:right w:val="single" w:sz="4" w:space="0" w:color="000000"/>
            </w:tcBorders>
          </w:tcPr>
          <w:p>
            <w:pPr>
              <w:pStyle w:val="TableParagraph"/>
              <w:spacing w:line="285" w:lineRule="auto" w:before="5"/>
              <w:ind w:left="4" w:right="3"/>
              <w:jc w:val="left"/>
              <w:rPr>
                <w:rFonts w:ascii="宋体" w:hAnsi="宋体" w:cs="宋体" w:eastAsia="宋体" w:hint="default"/>
                <w:sz w:val="20"/>
                <w:szCs w:val="20"/>
              </w:rPr>
            </w:pPr>
            <w:r>
              <w:rPr>
                <w:rFonts w:ascii="宋体" w:hAnsi="宋体" w:cs="宋体" w:eastAsia="宋体" w:hint="default"/>
                <w:spacing w:val="-4"/>
                <w:w w:val="100"/>
                <w:sz w:val="20"/>
                <w:szCs w:val="20"/>
              </w:rPr>
              <w:t>对于使用寿命有限的无形资产，在为企业带来经济利益的期限内</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按直线法摊销。</w:t>
            </w:r>
          </w:p>
        </w:tc>
      </w:tr>
      <w:tr>
        <w:trPr>
          <w:trHeight w:val="654" w:hRule="exact"/>
        </w:trPr>
        <w:tc>
          <w:tcPr>
            <w:tcW w:w="1843"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专利技术</w:t>
            </w:r>
          </w:p>
        </w:tc>
        <w:tc>
          <w:tcPr>
            <w:tcW w:w="226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年</w:t>
            </w:r>
          </w:p>
        </w:tc>
        <w:tc>
          <w:tcPr>
            <w:tcW w:w="5529" w:type="dxa"/>
            <w:tcBorders>
              <w:top w:val="single" w:sz="4" w:space="0" w:color="FFFFFF"/>
              <w:left w:val="single" w:sz="4" w:space="0" w:color="000000"/>
              <w:bottom w:val="single" w:sz="4" w:space="0" w:color="FFFFFF"/>
              <w:right w:val="single" w:sz="4" w:space="0" w:color="000000"/>
            </w:tcBorders>
          </w:tcPr>
          <w:p>
            <w:pPr>
              <w:pStyle w:val="TableParagraph"/>
              <w:spacing w:line="285" w:lineRule="auto" w:before="5"/>
              <w:ind w:left="4" w:right="3"/>
              <w:jc w:val="left"/>
              <w:rPr>
                <w:rFonts w:ascii="宋体" w:hAnsi="宋体" w:cs="宋体" w:eastAsia="宋体" w:hint="default"/>
                <w:sz w:val="20"/>
                <w:szCs w:val="20"/>
              </w:rPr>
            </w:pPr>
            <w:r>
              <w:rPr>
                <w:rFonts w:ascii="宋体" w:hAnsi="宋体" w:cs="宋体" w:eastAsia="宋体" w:hint="default"/>
                <w:spacing w:val="-4"/>
                <w:w w:val="100"/>
                <w:sz w:val="20"/>
                <w:szCs w:val="20"/>
              </w:rPr>
              <w:t>对于使用寿命有限的无形资产，在为企业带来经济利益的期限内</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按直线法摊销。</w:t>
            </w:r>
          </w:p>
        </w:tc>
      </w:tr>
      <w:tr>
        <w:trPr>
          <w:trHeight w:val="654" w:hRule="exact"/>
        </w:trPr>
        <w:tc>
          <w:tcPr>
            <w:tcW w:w="1843"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非专利技术</w:t>
            </w:r>
          </w:p>
        </w:tc>
        <w:tc>
          <w:tcPr>
            <w:tcW w:w="226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5-10</w:t>
            </w:r>
            <w:r>
              <w:rPr>
                <w:rFonts w:ascii="宋体" w:hAnsi="宋体" w:cs="宋体" w:eastAsia="宋体" w:hint="default"/>
                <w:sz w:val="20"/>
                <w:szCs w:val="20"/>
              </w:rPr>
              <w:t>年</w:t>
            </w:r>
          </w:p>
        </w:tc>
        <w:tc>
          <w:tcPr>
            <w:tcW w:w="5529" w:type="dxa"/>
            <w:tcBorders>
              <w:top w:val="single" w:sz="4" w:space="0" w:color="FFFFFF"/>
              <w:left w:val="single" w:sz="4" w:space="0" w:color="000000"/>
              <w:bottom w:val="single" w:sz="4" w:space="0" w:color="FFFFFF"/>
              <w:right w:val="single" w:sz="4" w:space="0" w:color="000000"/>
            </w:tcBorders>
          </w:tcPr>
          <w:p>
            <w:pPr>
              <w:pStyle w:val="TableParagraph"/>
              <w:spacing w:line="285" w:lineRule="auto" w:before="5"/>
              <w:ind w:left="4" w:right="3"/>
              <w:jc w:val="left"/>
              <w:rPr>
                <w:rFonts w:ascii="宋体" w:hAnsi="宋体" w:cs="宋体" w:eastAsia="宋体" w:hint="default"/>
                <w:sz w:val="20"/>
                <w:szCs w:val="20"/>
              </w:rPr>
            </w:pPr>
            <w:r>
              <w:rPr>
                <w:rFonts w:ascii="宋体" w:hAnsi="宋体" w:cs="宋体" w:eastAsia="宋体" w:hint="default"/>
                <w:spacing w:val="-4"/>
                <w:w w:val="100"/>
                <w:sz w:val="20"/>
                <w:szCs w:val="20"/>
              </w:rPr>
              <w:t>对于使用寿命有限的无形资产，在为企业带来经济利益的期限内</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按直线法摊销。</w:t>
            </w:r>
          </w:p>
        </w:tc>
      </w:tr>
      <w:tr>
        <w:trPr>
          <w:trHeight w:val="654" w:hRule="exact"/>
        </w:trPr>
        <w:tc>
          <w:tcPr>
            <w:tcW w:w="1843"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商标</w:t>
            </w:r>
          </w:p>
        </w:tc>
        <w:tc>
          <w:tcPr>
            <w:tcW w:w="226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5529" w:type="dxa"/>
            <w:tcBorders>
              <w:top w:val="single" w:sz="4" w:space="0" w:color="FFFFFF"/>
              <w:left w:val="single" w:sz="4" w:space="0" w:color="000000"/>
              <w:bottom w:val="single" w:sz="4" w:space="0" w:color="FFFFFF"/>
              <w:right w:val="single" w:sz="4" w:space="0" w:color="000000"/>
            </w:tcBorders>
          </w:tcPr>
          <w:p>
            <w:pPr>
              <w:pStyle w:val="TableParagraph"/>
              <w:spacing w:line="285" w:lineRule="auto" w:before="5"/>
              <w:ind w:left="4" w:right="3"/>
              <w:jc w:val="left"/>
              <w:rPr>
                <w:rFonts w:ascii="宋体" w:hAnsi="宋体" w:cs="宋体" w:eastAsia="宋体" w:hint="default"/>
                <w:sz w:val="20"/>
                <w:szCs w:val="20"/>
              </w:rPr>
            </w:pPr>
            <w:r>
              <w:rPr>
                <w:rFonts w:ascii="宋体" w:hAnsi="宋体" w:cs="宋体" w:eastAsia="宋体" w:hint="default"/>
                <w:spacing w:val="-4"/>
                <w:w w:val="100"/>
                <w:sz w:val="20"/>
                <w:szCs w:val="20"/>
              </w:rPr>
              <w:t>对于使用寿命有限的无形资产，在为企业带来经济利益的期限内</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按直线法摊销。</w:t>
            </w:r>
          </w:p>
        </w:tc>
      </w:tr>
      <w:tr>
        <w:trPr>
          <w:trHeight w:val="654" w:hRule="exact"/>
        </w:trPr>
        <w:tc>
          <w:tcPr>
            <w:tcW w:w="1843"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软件使用费</w:t>
            </w:r>
          </w:p>
        </w:tc>
        <w:tc>
          <w:tcPr>
            <w:tcW w:w="226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5529" w:type="dxa"/>
            <w:tcBorders>
              <w:top w:val="single" w:sz="4" w:space="0" w:color="FFFFFF"/>
              <w:left w:val="single" w:sz="4" w:space="0" w:color="000000"/>
              <w:bottom w:val="single" w:sz="4" w:space="0" w:color="000000"/>
              <w:right w:val="single" w:sz="4" w:space="0" w:color="000000"/>
            </w:tcBorders>
          </w:tcPr>
          <w:p>
            <w:pPr>
              <w:pStyle w:val="TableParagraph"/>
              <w:spacing w:line="285" w:lineRule="auto" w:before="5"/>
              <w:ind w:left="4" w:right="3"/>
              <w:jc w:val="left"/>
              <w:rPr>
                <w:rFonts w:ascii="宋体" w:hAnsi="宋体" w:cs="宋体" w:eastAsia="宋体" w:hint="default"/>
                <w:sz w:val="20"/>
                <w:szCs w:val="20"/>
              </w:rPr>
            </w:pPr>
            <w:r>
              <w:rPr>
                <w:rFonts w:ascii="宋体" w:hAnsi="宋体" w:cs="宋体" w:eastAsia="宋体" w:hint="default"/>
                <w:spacing w:val="-4"/>
                <w:w w:val="100"/>
                <w:sz w:val="20"/>
                <w:szCs w:val="20"/>
              </w:rPr>
              <w:t>对于使用寿命有限的无形资产，在为企业带来经济利益的期限内</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按直线法摊销。</w:t>
            </w:r>
          </w:p>
        </w:tc>
      </w:tr>
    </w:tbl>
    <w:p>
      <w:pPr>
        <w:spacing w:line="240" w:lineRule="auto" w:before="10"/>
        <w:rPr>
          <w:rFonts w:ascii="宋体" w:hAnsi="宋体" w:cs="宋体" w:eastAsia="宋体" w:hint="default"/>
          <w:sz w:val="5"/>
          <w:szCs w:val="5"/>
        </w:rPr>
      </w:pPr>
    </w:p>
    <w:p>
      <w:pPr>
        <w:spacing w:line="408" w:lineRule="auto" w:before="38"/>
        <w:ind w:left="513" w:right="3913" w:firstLine="39"/>
        <w:jc w:val="left"/>
        <w:rPr>
          <w:rFonts w:ascii="宋体" w:hAnsi="宋体" w:cs="宋体" w:eastAsia="宋体" w:hint="default"/>
          <w:sz w:val="18"/>
          <w:szCs w:val="18"/>
        </w:rPr>
      </w:pPr>
      <w:r>
        <w:rPr>
          <w:rFonts w:ascii="宋体" w:hAnsi="宋体" w:cs="宋体" w:eastAsia="宋体" w:hint="default"/>
          <w:sz w:val="20"/>
          <w:szCs w:val="20"/>
        </w:rPr>
        <w:t>每期末，对使用寿命有限的无形资产的使用寿命及摊销方法进行复核。</w:t>
      </w:r>
      <w:r>
        <w:rPr>
          <w:rFonts w:ascii="宋体" w:hAnsi="宋体" w:cs="宋体" w:eastAsia="宋体" w:hint="default"/>
          <w:w w:val="100"/>
          <w:sz w:val="20"/>
          <w:szCs w:val="20"/>
        </w:rPr>
        <w:t> </w:t>
      </w:r>
      <w:r>
        <w:rPr>
          <w:rFonts w:ascii="宋体" w:hAnsi="宋体" w:cs="宋体" w:eastAsia="宋体" w:hint="default"/>
          <w:sz w:val="20"/>
          <w:szCs w:val="20"/>
        </w:rPr>
        <w:t>经复核，本年期末无形资产的使用寿命及摊销方法与以前估计未有不同。</w:t>
      </w:r>
      <w:r>
        <w:rPr>
          <w:rFonts w:ascii="宋体" w:hAnsi="宋体" w:cs="宋体" w:eastAsia="宋体" w:hint="default"/>
          <w:w w:val="100"/>
          <w:sz w:val="20"/>
          <w:szCs w:val="20"/>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使用寿命不确定的无形资产的判断依据 截至资产负债表日</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本公司没有使用寿命不确定的无形资产。</w:t>
      </w:r>
    </w:p>
    <w:p>
      <w:pPr>
        <w:pStyle w:val="BodyText"/>
        <w:spacing w:line="415" w:lineRule="auto" w:before="43"/>
        <w:ind w:left="514" w:right="5667"/>
        <w:jc w:val="left"/>
      </w:pPr>
      <w:r>
        <w:rPr>
          <w:rFonts w:ascii="Times New Roman" w:hAnsi="Times New Roman" w:cs="Times New Roman" w:eastAsia="Times New Roman" w:hint="default"/>
        </w:rPr>
        <w:t>4. </w:t>
      </w:r>
      <w:r>
        <w:rPr/>
        <w:t>使用寿命不确定的无形资产使用寿命复核 截至资产负债表日</w:t>
      </w:r>
      <w:r>
        <w:rPr>
          <w:rFonts w:ascii="Times New Roman" w:hAnsi="Times New Roman" w:cs="Times New Roman" w:eastAsia="Times New Roman" w:hint="default"/>
        </w:rPr>
        <w:t>,</w:t>
      </w:r>
      <w:r>
        <w:rPr/>
        <w:t>本公司没有使用寿命不确定的无形资产。</w:t>
      </w:r>
    </w:p>
    <w:p>
      <w:pPr>
        <w:spacing w:line="240" w:lineRule="auto" w:before="10"/>
        <w:rPr>
          <w:rFonts w:ascii="宋体" w:hAnsi="宋体" w:cs="宋体" w:eastAsia="宋体" w:hint="default"/>
          <w:sz w:val="14"/>
          <w:szCs w:val="14"/>
        </w:rPr>
      </w:pPr>
    </w:p>
    <w:p>
      <w:pPr>
        <w:pStyle w:val="Heading3"/>
        <w:spacing w:line="240" w:lineRule="auto"/>
        <w:ind w:left="566" w:right="0"/>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spacing w:line="398" w:lineRule="auto" w:before="0"/>
        <w:ind w:left="553" w:right="1748" w:firstLine="50"/>
        <w:jc w:val="left"/>
        <w:rPr>
          <w:rFonts w:ascii="宋体" w:hAnsi="宋体" w:cs="宋体" w:eastAsia="宋体" w:hint="default"/>
          <w:sz w:val="20"/>
          <w:szCs w:val="20"/>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划分内部研究开发项目的研究阶段和开发阶段具体标准 </w:t>
      </w:r>
      <w:r>
        <w:rPr>
          <w:rFonts w:ascii="宋体" w:hAnsi="宋体" w:cs="宋体" w:eastAsia="宋体" w:hint="default"/>
          <w:sz w:val="20"/>
          <w:szCs w:val="20"/>
        </w:rPr>
        <w:t>内部研究开发项目的支出分为研究阶段支出和开发阶段支出。</w:t>
      </w:r>
      <w:r>
        <w:rPr>
          <w:rFonts w:ascii="宋体" w:hAnsi="宋体" w:cs="宋体" w:eastAsia="宋体" w:hint="default"/>
          <w:w w:val="100"/>
          <w:sz w:val="20"/>
          <w:szCs w:val="20"/>
        </w:rPr>
        <w:t> </w:t>
      </w:r>
      <w:r>
        <w:rPr>
          <w:rFonts w:ascii="宋体" w:hAnsi="宋体" w:cs="宋体" w:eastAsia="宋体" w:hint="default"/>
          <w:spacing w:val="-1"/>
          <w:sz w:val="20"/>
          <w:szCs w:val="20"/>
        </w:rPr>
        <w:t>研究阶段：为获取并理解新的科学或技术知识等而进行的独创性的有计划调查、研究活动的阶段。</w:t>
      </w:r>
    </w:p>
    <w:p>
      <w:pPr>
        <w:spacing w:after="0" w:line="398"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right="1135" w:firstLine="399"/>
        <w:jc w:val="both"/>
      </w:pPr>
      <w:r>
        <w:rPr/>
        <w:t>开发阶段：在进行商业性生产或使用前，将研究成果或其他知识应用于某项计划或设计，以生产出新的或</w:t>
      </w:r>
      <w:r>
        <w:rPr>
          <w:w w:val="100"/>
        </w:rPr>
        <w:t> </w:t>
      </w:r>
      <w:r>
        <w:rPr/>
        <w:t>具有实质性改进的材料、装置、产品等活动的阶段。</w:t>
      </w:r>
    </w:p>
    <w:p>
      <w:pPr>
        <w:pStyle w:val="Heading5"/>
        <w:spacing w:line="374" w:lineRule="auto" w:before="132"/>
        <w:ind w:left="553" w:right="174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开发阶段支出符合资本化的具体标准</w:t>
      </w:r>
      <w:r>
        <w:rPr>
          <w:w w:val="100"/>
        </w:rPr>
        <w:t> </w:t>
      </w:r>
      <w:r>
        <w:rPr>
          <w:spacing w:val="-1"/>
        </w:rPr>
        <w:t>内部研究开发项目开发阶段的支出，同时满足下列条件时确认为无形资产：</w:t>
      </w:r>
    </w:p>
    <w:p>
      <w:pPr>
        <w:pStyle w:val="Heading5"/>
        <w:spacing w:line="240" w:lineRule="auto" w:before="58"/>
        <w:ind w:left="55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5"/>
        <w:spacing w:line="240" w:lineRule="auto" w:before="155"/>
        <w:ind w:left="553" w:right="0"/>
        <w:jc w:val="left"/>
      </w:pPr>
      <w:r>
        <w:rPr/>
        <w:t>（</w:t>
      </w:r>
      <w:r>
        <w:rPr>
          <w:rFonts w:ascii="Times New Roman" w:hAnsi="Times New Roman" w:cs="Times New Roman" w:eastAsia="Times New Roman" w:hint="default"/>
        </w:rPr>
        <w:t>2</w:t>
      </w:r>
      <w:r>
        <w:rPr/>
        <w:t>）具有完成该无形资产并使用或出售的意图；</w:t>
      </w:r>
    </w:p>
    <w:p>
      <w:pPr>
        <w:pStyle w:val="Heading5"/>
        <w:spacing w:line="271" w:lineRule="auto" w:before="155"/>
        <w:ind w:right="1131" w:firstLine="399"/>
        <w:jc w:val="both"/>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）无形资产产生经济利益的方式，包括能够证明运用该无形资产生产的产品存在市场或无形资产自身存</w:t>
      </w:r>
      <w:r>
        <w:rPr>
          <w:w w:val="100"/>
        </w:rPr>
        <w:t> </w:t>
      </w:r>
      <w:r>
        <w:rPr/>
        <w:t>在市场，无形资产将在内部使用的，能够证明其有用性；</w:t>
      </w:r>
    </w:p>
    <w:p>
      <w:pPr>
        <w:pStyle w:val="Heading5"/>
        <w:spacing w:line="271" w:lineRule="auto" w:before="144"/>
        <w:ind w:right="1131" w:firstLine="399"/>
        <w:jc w:val="both"/>
      </w:pPr>
      <w:r>
        <w:rPr>
          <w:spacing w:val="-2"/>
        </w:rPr>
        <w:t>（</w:t>
      </w: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）有足够的技术、财务资源和其他资源支持，以完成该无形资产的开发，并有能力使用或出售该无形资</w:t>
      </w:r>
      <w:r>
        <w:rPr>
          <w:w w:val="100"/>
        </w:rPr>
        <w:t> </w:t>
      </w:r>
      <w:r>
        <w:rPr/>
        <w:t>产；</w:t>
      </w:r>
    </w:p>
    <w:p>
      <w:pPr>
        <w:pStyle w:val="Heading5"/>
        <w:spacing w:line="374" w:lineRule="auto" w:before="144"/>
        <w:ind w:left="553" w:right="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t>开发阶段的支出，若不满足上列条件的，于发生时计入当期损益。研究阶段的支出，在发生时计入当期损</w:t>
      </w:r>
    </w:p>
    <w:p>
      <w:pPr>
        <w:pStyle w:val="Heading5"/>
        <w:spacing w:line="200" w:lineRule="exact"/>
        <w:ind w:right="0"/>
        <w:jc w:val="left"/>
      </w:pPr>
      <w:r>
        <w:rPr/>
        <w:t>益。</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2、长期资产减值" w:id="201"/>
      <w:bookmarkEnd w:id="201"/>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3"/>
        <w:rPr>
          <w:rFonts w:ascii="宋体" w:hAnsi="宋体" w:cs="宋体" w:eastAsia="宋体" w:hint="default"/>
          <w:b/>
          <w:bCs/>
          <w:sz w:val="25"/>
          <w:szCs w:val="25"/>
        </w:rPr>
      </w:pPr>
    </w:p>
    <w:p>
      <w:pPr>
        <w:pStyle w:val="Heading5"/>
        <w:spacing w:line="285" w:lineRule="auto"/>
        <w:ind w:left="154" w:right="1133" w:firstLine="420"/>
        <w:jc w:val="both"/>
      </w:pPr>
      <w:r>
        <w:rPr/>
        <w:t>在每个资产负债表日判断长期股权投资、采用成本模式计量的投资性房地产、固定资产、在建工程、使用</w:t>
      </w:r>
      <w:r>
        <w:rPr>
          <w:w w:val="100"/>
        </w:rPr>
        <w:t> </w:t>
      </w:r>
      <w:r>
        <w:rPr/>
        <w:t>寿命确定的无形资产等是否存在减值迹象，对存在减值迹象的，估计其可收回金额，可收回金额低于其账面价</w:t>
      </w:r>
      <w:r>
        <w:rPr>
          <w:spacing w:val="-65"/>
        </w:rPr>
        <w:t> </w:t>
      </w:r>
      <w:r>
        <w:rPr>
          <w:spacing w:val="-65"/>
        </w:rPr>
      </w:r>
      <w:r>
        <w:rPr/>
        <w:t>值的，将资产的账面价值减记至可收回金额，减记的金额确认相应的减值损失，计入当期损益，同时计提相应</w:t>
      </w:r>
      <w:r>
        <w:rPr>
          <w:spacing w:val="-65"/>
        </w:rPr>
        <w:t> </w:t>
      </w:r>
      <w:r>
        <w:rPr>
          <w:spacing w:val="-65"/>
        </w:rPr>
      </w:r>
      <w:r>
        <w:rPr/>
        <w:t>的减值准备。</w:t>
      </w:r>
    </w:p>
    <w:p>
      <w:pPr>
        <w:pStyle w:val="Heading5"/>
        <w:spacing w:line="285" w:lineRule="auto" w:before="132"/>
        <w:ind w:left="154" w:right="1131" w:firstLine="420"/>
        <w:jc w:val="both"/>
      </w:pPr>
      <w:r>
        <w:rPr/>
        <w:t>资产可收回金额的估计，根据其公允价值减去处置费用后的净额与其预计未来现金流量的现值两者之间较</w:t>
      </w:r>
      <w:r>
        <w:rPr>
          <w:w w:val="100"/>
        </w:rPr>
        <w:t> </w:t>
      </w:r>
      <w:r>
        <w:rPr/>
        <w:t>高者确定。企业以单项资产为基础估计其可收回金额，在难以对单项资产可回收金额进行估计的情况下，以资</w:t>
      </w:r>
      <w:r>
        <w:rPr>
          <w:spacing w:val="-65"/>
        </w:rPr>
        <w:t> </w:t>
      </w:r>
      <w:r>
        <w:rPr>
          <w:spacing w:val="-65"/>
        </w:rPr>
      </w:r>
      <w:r>
        <w:rPr/>
        <w:t>产所属的资产组为基础确定资产组的可收回金额。</w:t>
      </w:r>
    </w:p>
    <w:p>
      <w:pPr>
        <w:pStyle w:val="Heading5"/>
        <w:spacing w:line="285" w:lineRule="auto" w:before="132"/>
        <w:ind w:right="1133" w:firstLine="420"/>
        <w:jc w:val="both"/>
      </w:pPr>
      <w:r>
        <w:rPr/>
        <w:t>资产减值损失确认后，减值资产的折旧或者摊销费用在未来期间做相应调整，使资产在剩余寿命内，系统</w:t>
      </w:r>
      <w:r>
        <w:rPr>
          <w:w w:val="100"/>
        </w:rPr>
        <w:t> </w:t>
      </w:r>
      <w:r>
        <w:rPr/>
        <w:t>地分摊调整后的资产账面价值。</w:t>
      </w:r>
    </w:p>
    <w:p>
      <w:pPr>
        <w:pStyle w:val="Heading5"/>
        <w:spacing w:line="285" w:lineRule="auto" w:before="132"/>
        <w:ind w:right="1133" w:firstLine="420"/>
        <w:jc w:val="both"/>
      </w:pPr>
      <w:r>
        <w:rPr/>
        <w:t>对于使用寿命不确定的无形资产、尚未达到使用状态的无形资以及合并所形成的商誉每年年度终了进行减</w:t>
      </w:r>
      <w:r>
        <w:rPr>
          <w:w w:val="100"/>
        </w:rPr>
        <w:t> </w:t>
      </w:r>
      <w:r>
        <w:rPr/>
        <w:t>值测试。</w:t>
      </w:r>
    </w:p>
    <w:p>
      <w:pPr>
        <w:pStyle w:val="Heading5"/>
        <w:spacing w:line="285" w:lineRule="auto" w:before="132"/>
        <w:ind w:right="1133" w:firstLine="420"/>
        <w:jc w:val="both"/>
      </w:pPr>
      <w:r>
        <w:rPr/>
        <w:t>关于商誉减值测试，对于因企业合并形成的商誉的账面价值，自购买日起按照合理的方法分摊至相关的资</w:t>
      </w:r>
      <w:r>
        <w:rPr>
          <w:w w:val="100"/>
        </w:rPr>
        <w:t> </w:t>
      </w:r>
      <w:r>
        <w:rPr/>
        <w:t>产组；难以分摊至相关的资产组的，将其分摊至相关的资产组组合。在将商誉的账面价值分摊至相关的资产组</w:t>
      </w:r>
      <w:r>
        <w:rPr>
          <w:spacing w:val="-65"/>
        </w:rPr>
        <w:t> </w:t>
      </w:r>
      <w:r>
        <w:rPr>
          <w:spacing w:val="-65"/>
        </w:rPr>
      </w:r>
      <w:r>
        <w:rPr/>
        <w:t>或者资产组组合时，按照各资产组或者资产组组合的公允价值占相关资产组或者资产组组合公允价值总额的比</w:t>
      </w:r>
      <w:r>
        <w:rPr>
          <w:spacing w:val="-65"/>
        </w:rPr>
        <w:t> </w:t>
      </w:r>
      <w:r>
        <w:rPr>
          <w:spacing w:val="-65"/>
        </w:rPr>
      </w:r>
      <w:r>
        <w:rPr/>
        <w:t>例进行分摊。公允价值难以可靠计量的，按照各资产组或者资产组组合的账面价值占相关资产组或者资产组组</w:t>
      </w:r>
      <w:r>
        <w:rPr>
          <w:spacing w:val="-65"/>
        </w:rPr>
        <w:t> </w:t>
      </w:r>
      <w:r>
        <w:rPr>
          <w:spacing w:val="-65"/>
        </w:rPr>
      </w:r>
      <w:r>
        <w:rPr/>
        <w:t>合账面价值总额的比例进行分摊。</w:t>
      </w:r>
    </w:p>
    <w:p>
      <w:pPr>
        <w:pStyle w:val="Heading5"/>
        <w:spacing w:line="285" w:lineRule="auto" w:before="132"/>
        <w:ind w:right="1133" w:firstLine="420"/>
        <w:jc w:val="both"/>
      </w:pPr>
      <w:r>
        <w:rPr/>
        <w:t>在对包含商誉的相关资产组或者资产组组合进行减值测试时，如与商誉相关的资产组或者资产组组合存在</w:t>
      </w:r>
      <w:r>
        <w:rPr>
          <w:w w:val="100"/>
        </w:rPr>
        <w:t> </w:t>
      </w:r>
      <w:r>
        <w:rPr/>
        <w:t>减值迹象的，先对不包含商誉的资产组或者资产组组合进行减值测试，计算可收回金额，并与相关账面价值相</w:t>
      </w:r>
      <w:r>
        <w:rPr>
          <w:spacing w:val="-65"/>
        </w:rPr>
        <w:t> </w:t>
      </w:r>
      <w:r>
        <w:rPr>
          <w:spacing w:val="-65"/>
        </w:rPr>
      </w:r>
      <w:r>
        <w:rPr/>
        <w:t>比较，确认相应的减值损失。再对包含商誉的资产组或者资产组组合进行减值测试，比较这些相关资产组或者</w:t>
      </w:r>
      <w:r>
        <w:rPr>
          <w:spacing w:val="-64"/>
        </w:rPr>
        <w:t> </w:t>
      </w:r>
      <w:r>
        <w:rPr>
          <w:spacing w:val="-64"/>
        </w:rPr>
      </w:r>
      <w:r>
        <w:rPr/>
        <w:t>资产组组合的账面价值（包括所分摊的商誉的账面价值部分）与其可收回金额，如相关资产组或者资产组组合</w:t>
      </w:r>
      <w:r>
        <w:rPr>
          <w:spacing w:val="-65"/>
        </w:rPr>
        <w:t> </w:t>
      </w:r>
      <w:r>
        <w:rPr>
          <w:spacing w:val="-65"/>
        </w:rPr>
      </w:r>
      <w:r>
        <w:rPr/>
        <w:t>的可收回金额低于其账面价值的，确认商誉的减值损失。</w:t>
      </w:r>
    </w:p>
    <w:p>
      <w:pPr>
        <w:spacing w:after="0" w:line="285"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3、长期待摊费用" w:id="202"/>
      <w:bookmarkEnd w:id="20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3"/>
        <w:rPr>
          <w:rFonts w:ascii="宋体" w:hAnsi="宋体" w:cs="宋体" w:eastAsia="宋体" w:hint="default"/>
          <w:b/>
          <w:bCs/>
          <w:sz w:val="25"/>
          <w:szCs w:val="25"/>
        </w:rPr>
      </w:pPr>
    </w:p>
    <w:p>
      <w:pPr>
        <w:pStyle w:val="Heading5"/>
        <w:spacing w:line="278" w:lineRule="auto"/>
        <w:ind w:left="154" w:right="1131" w:firstLine="399"/>
        <w:jc w:val="both"/>
      </w:pPr>
      <w:r>
        <w:rPr>
          <w:spacing w:val="-2"/>
        </w:rPr>
        <w:t>对于已经发生但应由本期和以后各期负担的分摊期限在</w:t>
      </w:r>
      <w:r>
        <w:rPr>
          <w:rFonts w:ascii="Times New Roman" w:hAnsi="Times New Roman" w:cs="Times New Roman" w:eastAsia="Times New Roman" w:hint="default"/>
          <w:spacing w:val="-2"/>
        </w:rPr>
        <w:t>1</w:t>
      </w:r>
      <w:r>
        <w:rPr>
          <w:spacing w:val="-2"/>
        </w:rPr>
        <w:t>年以上的各项费用，包括经营租入固定资产改良支</w:t>
      </w:r>
      <w:r>
        <w:rPr>
          <w:w w:val="100"/>
        </w:rPr>
        <w:t> </w:t>
      </w:r>
      <w:r>
        <w:rPr/>
        <w:t>出，作为长期待摊费用按预计受益年限分期摊销。如果长期待摊费用项目不能使以后会计期间受益的，则将其</w:t>
      </w:r>
      <w:r>
        <w:rPr>
          <w:spacing w:val="-65"/>
        </w:rPr>
        <w:t> </w:t>
      </w:r>
      <w:r>
        <w:rPr>
          <w:spacing w:val="-65"/>
        </w:rPr>
      </w:r>
      <w:r>
        <w:rPr/>
        <w:t>尚未摊销的摊余价值全部转入当期损益。</w:t>
      </w:r>
    </w:p>
    <w:p>
      <w:pPr>
        <w:spacing w:line="240" w:lineRule="auto" w:before="9"/>
        <w:rPr>
          <w:rFonts w:ascii="宋体" w:hAnsi="宋体" w:cs="宋体" w:eastAsia="宋体" w:hint="default"/>
          <w:sz w:val="23"/>
          <w:szCs w:val="23"/>
        </w:rPr>
      </w:pPr>
    </w:p>
    <w:p>
      <w:pPr>
        <w:pStyle w:val="Heading3"/>
        <w:spacing w:line="240" w:lineRule="auto"/>
        <w:ind w:left="154" w:right="0"/>
        <w:jc w:val="left"/>
        <w:rPr>
          <w:b w:val="0"/>
          <w:bCs w:val="0"/>
        </w:rPr>
      </w:pPr>
      <w:bookmarkStart w:name="24、职工薪酬" w:id="203"/>
      <w:bookmarkEnd w:id="203"/>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5"/>
        <w:rPr>
          <w:rFonts w:ascii="宋体" w:hAnsi="宋体" w:cs="宋体" w:eastAsia="宋体" w:hint="default"/>
          <w:b/>
          <w:bCs/>
          <w:sz w:val="25"/>
          <w:szCs w:val="25"/>
        </w:rPr>
      </w:pPr>
    </w:p>
    <w:p>
      <w:pPr>
        <w:pStyle w:val="Heading5"/>
        <w:spacing w:line="547" w:lineRule="auto"/>
        <w:ind w:left="553" w:right="1032"/>
        <w:jc w:val="left"/>
      </w:pPr>
      <w:bookmarkStart w:name="1. 短期薪酬的会计处理方法" w:id="204"/>
      <w:bookmarkEnd w:id="204"/>
      <w:r>
        <w:rPr/>
      </w: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短期薪酬的会计处理方法</w:t>
      </w:r>
      <w:r>
        <w:rPr>
          <w:w w:val="100"/>
        </w:rPr>
        <w:t> </w:t>
      </w:r>
      <w:r>
        <w:rPr>
          <w:spacing w:val="-3"/>
        </w:rPr>
        <w:t>在职工为公司提供服务的会计期间，将实际发生的短期薪酬确认为负债，并计入当期损益或相关资产成本。</w:t>
      </w:r>
      <w:r>
        <w:rPr>
          <w:spacing w:val="-53"/>
        </w:rPr>
        <w:t> </w:t>
      </w:r>
      <w:r>
        <w:rPr>
          <w:spacing w:val="-53"/>
        </w:rPr>
      </w:r>
      <w:bookmarkStart w:name="2. 离职后福利的会计处理方法" w:id="205"/>
      <w:bookmarkEnd w:id="205"/>
      <w:r>
        <w:rPr>
          <w:spacing w:val="-53"/>
        </w:rPr>
      </w: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离职后福利的会计处理方法</w:t>
      </w:r>
    </w:p>
    <w:p>
      <w:pPr>
        <w:pStyle w:val="Heading5"/>
        <w:spacing w:line="240" w:lineRule="auto" w:before="51"/>
        <w:ind w:left="574" w:right="0"/>
        <w:jc w:val="left"/>
      </w:pPr>
      <w:r>
        <w:rPr/>
        <w:t>离职后福利计划分类为设定提存计划和设定受益计划。</w:t>
      </w:r>
    </w:p>
    <w:p>
      <w:pPr>
        <w:pStyle w:val="Heading5"/>
        <w:spacing w:line="285" w:lineRule="auto" w:before="170"/>
        <w:ind w:left="154" w:right="1133" w:firstLine="420"/>
        <w:jc w:val="both"/>
      </w:pPr>
      <w:r>
        <w:rPr/>
        <w:t>在职工为公司提供服务的会计期间，将根据设定提存计划计算的应缴存金额确认为负债，并计入当期损益</w:t>
      </w:r>
      <w:r>
        <w:rPr>
          <w:w w:val="100"/>
        </w:rPr>
        <w:t> </w:t>
      </w:r>
      <w:r>
        <w:rPr/>
        <w:t>或相关资产成本。根据设定提存计划，预期不会在职工提供相关服务的年度报告期结束后十二个月内支付全部</w:t>
      </w:r>
      <w:r>
        <w:rPr>
          <w:spacing w:val="-65"/>
        </w:rPr>
        <w:t> </w:t>
      </w:r>
      <w:r>
        <w:rPr>
          <w:spacing w:val="-65"/>
        </w:rPr>
      </w:r>
      <w:r>
        <w:rPr/>
        <w:t>应缴存金额的，根据资产负债表日与设定受益计划义务期限和币种相匹配的国债或活跃市场上的高质量公司债</w:t>
      </w:r>
      <w:r>
        <w:rPr>
          <w:spacing w:val="-65"/>
        </w:rPr>
        <w:t> </w:t>
      </w:r>
      <w:r>
        <w:rPr>
          <w:spacing w:val="-65"/>
        </w:rPr>
      </w:r>
      <w:r>
        <w:rPr/>
        <w:t>券的市场收益率，将全部应缴存金额以折现后的金额计量应付职工薪酬。</w:t>
      </w:r>
    </w:p>
    <w:p>
      <w:pPr>
        <w:pStyle w:val="Heading5"/>
        <w:spacing w:line="285" w:lineRule="auto" w:before="132"/>
        <w:ind w:left="154" w:right="1133" w:firstLine="420"/>
        <w:jc w:val="both"/>
      </w:pPr>
      <w:r>
        <w:rPr/>
        <w:t>公司根据资产负债表日与设定受益计划义务期限和币种相匹配的国债或活跃市场上的高质量公司债券的市</w:t>
      </w:r>
      <w:r>
        <w:rPr>
          <w:w w:val="100"/>
        </w:rPr>
        <w:t> </w:t>
      </w:r>
      <w:r>
        <w:rPr/>
        <w:t>场收益率对所有设定受益计划义务予以折现，包括预期在职工提供服务的年度报告期间结束后的十二个月内支</w:t>
      </w:r>
      <w:r>
        <w:rPr>
          <w:spacing w:val="-65"/>
        </w:rPr>
        <w:t> </w:t>
      </w:r>
      <w:r>
        <w:rPr>
          <w:spacing w:val="-65"/>
        </w:rPr>
      </w:r>
      <w:r>
        <w:rPr/>
        <w:t>付的义务。</w:t>
      </w:r>
    </w:p>
    <w:p>
      <w:pPr>
        <w:pStyle w:val="Heading5"/>
        <w:spacing w:line="285" w:lineRule="auto" w:before="132"/>
        <w:ind w:left="154" w:right="1133" w:firstLine="420"/>
        <w:jc w:val="both"/>
      </w:pPr>
      <w:r>
        <w:rPr/>
        <w:t>设定受益计划存在资产的，将设定受益计划义务现值减去设定受益计划资产公允价值所形成的赤字或盈余</w:t>
      </w:r>
      <w:r>
        <w:rPr>
          <w:w w:val="100"/>
        </w:rPr>
        <w:t> </w:t>
      </w:r>
      <w:r>
        <w:rPr/>
        <w:t>确认为一项设定受益计划净负债或净资产。设定受益计划存在盈余的，企业以设定受益计划的盈余和资产上限</w:t>
      </w:r>
      <w:r>
        <w:rPr>
          <w:spacing w:val="-65"/>
        </w:rPr>
        <w:t> </w:t>
      </w:r>
      <w:r>
        <w:rPr>
          <w:spacing w:val="-65"/>
        </w:rPr>
      </w:r>
      <w:r>
        <w:rPr/>
        <w:t>两项的孰低者计量设定受益计划净资产。其中，资产上限，是指企业可从设定受益计划退款或减少未来对设定</w:t>
      </w:r>
      <w:r>
        <w:rPr>
          <w:spacing w:val="-65"/>
        </w:rPr>
        <w:t> </w:t>
      </w:r>
      <w:r>
        <w:rPr>
          <w:spacing w:val="-65"/>
        </w:rPr>
      </w:r>
      <w:r>
        <w:rPr/>
        <w:t>受益计划缴存资金而获得的经济利益的现值。</w:t>
      </w:r>
    </w:p>
    <w:p>
      <w:pPr>
        <w:pStyle w:val="Heading5"/>
        <w:spacing w:line="285" w:lineRule="auto" w:before="132"/>
        <w:ind w:left="154" w:right="1133" w:firstLine="420"/>
        <w:jc w:val="both"/>
      </w:pPr>
      <w:r>
        <w:rPr/>
        <w:t>报告期末，将设定受益计划产生的职工薪酬成本中的服务成本和设定受益计划净负债或净资产的利息净额</w:t>
      </w:r>
      <w:r>
        <w:rPr>
          <w:w w:val="100"/>
        </w:rPr>
        <w:t> </w:t>
      </w:r>
      <w:r>
        <w:rPr/>
        <w:t>部分计入当期损益或资产成本；重新计量设定受益计划净负债或净资产所产生的变动。计入其他综合收益，并</w:t>
      </w:r>
      <w:r>
        <w:rPr>
          <w:spacing w:val="-65"/>
        </w:rPr>
        <w:t> </w:t>
      </w:r>
      <w:r>
        <w:rPr>
          <w:spacing w:val="-65"/>
        </w:rPr>
      </w:r>
      <w:r>
        <w:rPr/>
        <w:t>且在后续会计期间不允许转回至损益，可以在权益范围内转移。</w:t>
      </w:r>
    </w:p>
    <w:p>
      <w:pPr>
        <w:pStyle w:val="Heading5"/>
        <w:spacing w:line="285" w:lineRule="auto" w:before="132"/>
        <w:ind w:right="1133" w:firstLine="420"/>
        <w:jc w:val="both"/>
      </w:pPr>
      <w:r>
        <w:rPr/>
        <w:t>在设定受益计划下，在修改设定受益计划与确认相关重组费用或辞退福利孰早日将过去服务成本确认为当</w:t>
      </w:r>
      <w:r>
        <w:rPr>
          <w:w w:val="100"/>
        </w:rPr>
        <w:t> </w:t>
      </w:r>
      <w:r>
        <w:rPr/>
        <w:t>期费用。</w:t>
      </w:r>
    </w:p>
    <w:p>
      <w:pPr>
        <w:pStyle w:val="Heading5"/>
        <w:spacing w:line="285" w:lineRule="auto" w:before="132"/>
        <w:ind w:right="0"/>
        <w:jc w:val="left"/>
      </w:pPr>
      <w:r>
        <w:rPr/>
        <w:t>企业在设定受益计划结算时，确认结算利得或损失。该利得或损失是在结算日确定的设定受益计划义务现值与</w:t>
      </w:r>
      <w:r>
        <w:rPr>
          <w:spacing w:val="-65"/>
        </w:rPr>
        <w:t> </w:t>
      </w:r>
      <w:r>
        <w:rPr>
          <w:spacing w:val="-65"/>
        </w:rPr>
      </w:r>
      <w:r>
        <w:rPr/>
        <w:t>结算价格的差。</w:t>
      </w:r>
    </w:p>
    <w:p>
      <w:pPr>
        <w:pStyle w:val="Heading5"/>
        <w:spacing w:line="612" w:lineRule="exact" w:before="57"/>
        <w:ind w:left="553" w:right="1748"/>
        <w:jc w:val="left"/>
      </w:pPr>
      <w:bookmarkStart w:name="3. 辞退福利的会计处理方法" w:id="206"/>
      <w:bookmarkEnd w:id="206"/>
      <w:r>
        <w:rPr/>
      </w: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辞退福利的会计处理方法</w:t>
      </w:r>
      <w:r>
        <w:rPr>
          <w:w w:val="100"/>
        </w:rPr>
        <w:t> </w:t>
      </w:r>
      <w:r>
        <w:rPr>
          <w:spacing w:val="-1"/>
        </w:rPr>
        <w:t>在下列两者孰早日确认辞退福利产生的职工薪酬负债，并计入当期损益：</w:t>
      </w:r>
    </w:p>
    <w:p>
      <w:pPr>
        <w:pStyle w:val="Heading5"/>
        <w:spacing w:line="240" w:lineRule="auto" w:before="76"/>
        <w:ind w:left="553" w:right="0"/>
        <w:jc w:val="left"/>
      </w:pPr>
      <w:r>
        <w:rPr/>
        <w:t>（</w:t>
      </w:r>
      <w:r>
        <w:rPr>
          <w:rFonts w:ascii="Times New Roman" w:hAnsi="Times New Roman" w:cs="Times New Roman" w:eastAsia="Times New Roman" w:hint="default"/>
        </w:rPr>
        <w:t>1</w:t>
      </w:r>
      <w:r>
        <w:rPr/>
        <w:t>）企业不能单方面撤回因解除劳动关系计划或裁减建议所提供的辞退福利时；</w:t>
      </w:r>
    </w:p>
    <w:p>
      <w:pPr>
        <w:pStyle w:val="Heading5"/>
        <w:spacing w:line="240" w:lineRule="auto" w:before="155"/>
        <w:ind w:left="553" w:right="0"/>
        <w:jc w:val="left"/>
      </w:pPr>
      <w:r>
        <w:rPr/>
        <w:t>（</w:t>
      </w:r>
      <w:r>
        <w:rPr>
          <w:rFonts w:ascii="Times New Roman" w:hAnsi="Times New Roman" w:cs="Times New Roman" w:eastAsia="Times New Roman" w:hint="default"/>
        </w:rPr>
        <w:t>2</w:t>
      </w:r>
      <w:r>
        <w:rPr/>
        <w:t>）企业确认与涉及支付辞退福利的重组相关的成本或费用时。</w:t>
      </w:r>
    </w:p>
    <w:p>
      <w:pPr>
        <w:pStyle w:val="Heading5"/>
        <w:spacing w:line="271" w:lineRule="auto" w:before="155"/>
        <w:ind w:right="1131" w:firstLine="399"/>
        <w:jc w:val="both"/>
      </w:pPr>
      <w:r>
        <w:rPr>
          <w:spacing w:val="-2"/>
        </w:rPr>
        <w:t>（</w:t>
      </w:r>
      <w:r>
        <w:rPr>
          <w:rFonts w:ascii="Times New Roman" w:hAnsi="Times New Roman" w:cs="Times New Roman" w:eastAsia="Times New Roman" w:hint="default"/>
          <w:spacing w:val="-2"/>
        </w:rPr>
        <w:t>3</w:t>
      </w:r>
      <w:r>
        <w:rPr>
          <w:spacing w:val="-2"/>
        </w:rPr>
        <w:t>）辞退福利预期在其确认的年度报告期结束后十二个月内完全支付的，适用短期薪酬的相关规定；辞退</w:t>
      </w:r>
      <w:r>
        <w:rPr>
          <w:w w:val="100"/>
        </w:rPr>
        <w:t> </w:t>
      </w:r>
      <w:r>
        <w:rPr/>
        <w:t>福利预期在年度报告期结束后十二个月内不能完全支付的，适用其他长期职工福利的有关规定。</w:t>
      </w:r>
    </w:p>
    <w:p>
      <w:pPr>
        <w:spacing w:after="0" w:line="271" w:lineRule="auto"/>
        <w:jc w:val="both"/>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5"/>
        <w:spacing w:line="240" w:lineRule="auto" w:before="38"/>
        <w:ind w:left="553" w:right="0"/>
        <w:jc w:val="left"/>
      </w:pPr>
      <w:bookmarkStart w:name="4. 其他长期职工福利的会计处理方法" w:id="207"/>
      <w:bookmarkEnd w:id="207"/>
      <w:r>
        <w:rPr/>
      </w:r>
      <w:r>
        <w:rPr>
          <w:rFonts w:ascii="Times New Roman" w:hAnsi="Times New Roman" w:cs="Times New Roman" w:eastAsia="Times New Roman" w:hint="default"/>
        </w:rPr>
        <w:t>4.</w:t>
      </w:r>
      <w:r>
        <w:rPr>
          <w:rFonts w:ascii="Times New Roman" w:hAnsi="Times New Roman" w:cs="Times New Roman" w:eastAsia="Times New Roman" w:hint="default"/>
          <w:spacing w:val="46"/>
        </w:rPr>
        <w:t> </w:t>
      </w:r>
      <w:r>
        <w:rPr/>
        <w:t>其他长期职工福利的会计处理方法</w:t>
      </w:r>
    </w:p>
    <w:p>
      <w:pPr>
        <w:spacing w:line="240" w:lineRule="auto" w:before="8"/>
        <w:rPr>
          <w:rFonts w:ascii="宋体" w:hAnsi="宋体" w:cs="宋体" w:eastAsia="宋体" w:hint="default"/>
          <w:sz w:val="25"/>
          <w:szCs w:val="25"/>
        </w:rPr>
      </w:pPr>
    </w:p>
    <w:p>
      <w:pPr>
        <w:pStyle w:val="Heading5"/>
        <w:spacing w:line="280" w:lineRule="auto"/>
        <w:ind w:left="154" w:right="1130" w:firstLine="420"/>
        <w:jc w:val="both"/>
      </w:pPr>
      <w:r>
        <w:rPr>
          <w:spacing w:val="-3"/>
        </w:rPr>
        <w:t>其他长期职工福利，符合设定提存计划条件的，根据上述</w:t>
      </w:r>
      <w:r>
        <w:rPr>
          <w:rFonts w:ascii="Times New Roman" w:hAnsi="Times New Roman" w:cs="Times New Roman" w:eastAsia="Times New Roman" w:hint="default"/>
          <w:spacing w:val="-3"/>
        </w:rPr>
        <w:t>2</w:t>
      </w:r>
      <w:r>
        <w:rPr>
          <w:spacing w:val="-3"/>
        </w:rPr>
        <w:t>、处理。不符合设定提存计划的，适用关于设定</w:t>
      </w:r>
      <w:r>
        <w:rPr>
          <w:w w:val="100"/>
        </w:rPr>
        <w:t> </w:t>
      </w:r>
      <w:r>
        <w:rPr/>
        <w:t>受益计划的有关规定，确认和计量其他长期职工福利净负债或净资产。在报告期末，将其他长期职工福利中的</w:t>
      </w:r>
      <w:r>
        <w:rPr>
          <w:spacing w:val="-65"/>
        </w:rPr>
        <w:t> </w:t>
      </w:r>
      <w:r>
        <w:rPr>
          <w:spacing w:val="-65"/>
        </w:rPr>
      </w:r>
      <w:r>
        <w:rPr/>
        <w:t>服务成本、净负债或净资产的利息净额、重新计量其他长期职工福利净负债或净资产所产生的变动的总净额计</w:t>
      </w:r>
      <w:r>
        <w:rPr>
          <w:spacing w:val="-65"/>
        </w:rPr>
        <w:t> </w:t>
      </w:r>
      <w:r>
        <w:rPr>
          <w:spacing w:val="-65"/>
        </w:rPr>
      </w:r>
      <w:r>
        <w:rPr/>
        <w:t>入当期损益或相关资产成本。</w:t>
      </w:r>
    </w:p>
    <w:p>
      <w:pPr>
        <w:spacing w:line="240" w:lineRule="auto" w:before="7"/>
        <w:rPr>
          <w:rFonts w:ascii="宋体" w:hAnsi="宋体" w:cs="宋体" w:eastAsia="宋体" w:hint="default"/>
          <w:sz w:val="23"/>
          <w:szCs w:val="23"/>
        </w:rPr>
      </w:pPr>
    </w:p>
    <w:p>
      <w:pPr>
        <w:pStyle w:val="Heading3"/>
        <w:spacing w:line="240" w:lineRule="auto"/>
        <w:ind w:left="154" w:right="0"/>
        <w:jc w:val="left"/>
        <w:rPr>
          <w:b w:val="0"/>
          <w:bCs w:val="0"/>
        </w:rPr>
      </w:pPr>
      <w:bookmarkStart w:name="25、预计负债" w:id="208"/>
      <w:bookmarkEnd w:id="20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3"/>
        <w:rPr>
          <w:rFonts w:ascii="宋体" w:hAnsi="宋体" w:cs="宋体" w:eastAsia="宋体" w:hint="default"/>
          <w:b/>
          <w:bCs/>
          <w:sz w:val="25"/>
          <w:szCs w:val="25"/>
        </w:rPr>
      </w:pPr>
    </w:p>
    <w:p>
      <w:pPr>
        <w:pStyle w:val="Heading5"/>
        <w:spacing w:line="285" w:lineRule="auto"/>
        <w:ind w:left="154" w:right="1132" w:firstLine="420"/>
        <w:jc w:val="left"/>
      </w:pPr>
      <w:r>
        <w:rPr/>
        <w:t>涉及诉讼、债务担保、亏损合同、重组事项时，如该等事项很可能需要未来以交付资产或提供劳务、其金</w:t>
      </w:r>
      <w:r>
        <w:rPr>
          <w:w w:val="100"/>
        </w:rPr>
        <w:t> </w:t>
      </w:r>
      <w:r>
        <w:rPr/>
        <w:t>额能够可靠计量的，确认为预计负债。</w:t>
      </w:r>
    </w:p>
    <w:p>
      <w:pPr>
        <w:pStyle w:val="Heading5"/>
        <w:spacing w:line="285" w:lineRule="auto" w:before="132"/>
        <w:ind w:left="154" w:right="0" w:firstLine="420"/>
        <w:jc w:val="left"/>
      </w:pPr>
      <w:r>
        <w:rPr>
          <w:spacing w:val="-3"/>
          <w:w w:val="100"/>
        </w:rPr>
        <w:t>预计负债按照履行相关现时义务所需支出的最佳估计数进行初始计量，并综合考虑与或有事项有关的风险、</w:t>
      </w:r>
      <w:r>
        <w:rPr>
          <w:w w:val="100"/>
        </w:rPr>
        <w:t> </w:t>
      </w:r>
      <w:r>
        <w:rPr/>
        <w:t>不确定性和货币时间价值等因素。货币时间价值影响重大的，通过对相关未来现金流出进行折现后确定最佳估</w:t>
      </w:r>
      <w:r>
        <w:rPr>
          <w:spacing w:val="-64"/>
        </w:rPr>
        <w:t> </w:t>
      </w:r>
      <w:r>
        <w:rPr>
          <w:spacing w:val="-64"/>
        </w:rPr>
      </w:r>
      <w:r>
        <w:rPr/>
        <w:t>计数；因随着时间推移所进行的折现还原而导致的预计负债账面价值的增加金额，确认为利息费用。</w:t>
      </w:r>
    </w:p>
    <w:p>
      <w:pPr>
        <w:pStyle w:val="Heading5"/>
        <w:spacing w:line="240" w:lineRule="auto" w:before="132"/>
        <w:ind w:left="574" w:right="0"/>
        <w:jc w:val="left"/>
      </w:pPr>
      <w:r>
        <w:rPr/>
        <w:t>于资产负债表日，对预计负债的账面价值进行复核并作适当调整，以反映当前的最佳估计数。</w:t>
      </w:r>
    </w:p>
    <w:p>
      <w:pPr>
        <w:spacing w:line="240" w:lineRule="auto" w:before="2"/>
        <w:rPr>
          <w:rFonts w:ascii="宋体" w:hAnsi="宋体" w:cs="宋体" w:eastAsia="宋体" w:hint="default"/>
          <w:sz w:val="26"/>
          <w:szCs w:val="26"/>
        </w:rPr>
      </w:pPr>
    </w:p>
    <w:p>
      <w:pPr>
        <w:pStyle w:val="Heading3"/>
        <w:spacing w:line="240" w:lineRule="auto"/>
        <w:ind w:left="154" w:right="0"/>
        <w:jc w:val="left"/>
        <w:rPr>
          <w:b w:val="0"/>
          <w:bCs w:val="0"/>
        </w:rPr>
      </w:pPr>
      <w:bookmarkStart w:name="26、股份支付" w:id="209"/>
      <w:bookmarkEnd w:id="209"/>
      <w:r>
        <w:rPr>
          <w:b w:val="0"/>
          <w:bCs w:val="0"/>
        </w:rPr>
      </w:r>
      <w:r>
        <w:rPr>
          <w:rFonts w:ascii="Times New Roman" w:hAnsi="Times New Roman" w:cs="Times New Roman" w:eastAsia="Times New Roman" w:hint="default"/>
        </w:rPr>
        <w:t>26</w:t>
      </w:r>
      <w:r>
        <w:rPr/>
        <w:t>、股份支付</w:t>
      </w:r>
      <w:r>
        <w:rPr>
          <w:b w:val="0"/>
          <w:bCs w:val="0"/>
        </w:rPr>
      </w:r>
    </w:p>
    <w:p>
      <w:pPr>
        <w:pStyle w:val="BodyText"/>
        <w:spacing w:line="420" w:lineRule="atLeast" w:before="176"/>
        <w:ind w:left="514" w:right="0" w:firstLine="60"/>
        <w:jc w:val="left"/>
      </w:pPr>
      <w:r>
        <w:rPr>
          <w:rFonts w:ascii="Times New Roman" w:hAnsi="Times New Roman" w:cs="Times New Roman" w:eastAsia="Times New Roman" w:hint="default"/>
        </w:rPr>
        <w:t>1. </w:t>
      </w:r>
      <w:r>
        <w:rPr/>
        <w:t>股份支付的种类及会计处理 </w:t>
      </w:r>
      <w:r>
        <w:rPr>
          <w:spacing w:val="-2"/>
        </w:rPr>
        <w:t>股份支付是公司为了获取职工提供服务而授予权益工具或者承担以权益工具为基础确定的负债的交易。股份支付分为以</w:t>
      </w:r>
    </w:p>
    <w:p>
      <w:pPr>
        <w:pStyle w:val="BodyText"/>
        <w:spacing w:line="240" w:lineRule="auto" w:before="76"/>
        <w:ind w:left="154" w:right="0"/>
        <w:jc w:val="left"/>
      </w:pPr>
      <w:r>
        <w:rPr/>
        <w:t>权益结算的股份支付和以现金结算的股份支付。</w:t>
      </w:r>
    </w:p>
    <w:p>
      <w:pPr>
        <w:pStyle w:val="BodyText"/>
        <w:spacing w:line="420" w:lineRule="atLeast" w:before="26"/>
        <w:ind w:left="514" w:right="0" w:hanging="8"/>
        <w:jc w:val="left"/>
      </w:pPr>
      <w:r>
        <w:rPr/>
        <w:t>（</w:t>
      </w:r>
      <w:r>
        <w:rPr>
          <w:rFonts w:ascii="Times New Roman" w:hAnsi="Times New Roman" w:cs="Times New Roman" w:eastAsia="Times New Roman" w:hint="default"/>
        </w:rPr>
        <w:t>1</w:t>
      </w:r>
      <w:r>
        <w:rPr/>
        <w:t>）以权益结算的股份支付 </w:t>
      </w:r>
      <w:r>
        <w:rPr>
          <w:spacing w:val="-2"/>
        </w:rPr>
        <w:t>股票期权计划为用以换取职工提供服务的权益结算的股份支付，以授予职工的权益工具在授予日的公允价值计量。在完</w:t>
      </w:r>
    </w:p>
    <w:p>
      <w:pPr>
        <w:pStyle w:val="BodyText"/>
        <w:spacing w:line="316" w:lineRule="auto" w:before="76"/>
        <w:ind w:left="154" w:right="1132"/>
        <w:jc w:val="both"/>
      </w:pPr>
      <w:r>
        <w:rPr>
          <w:spacing w:val="-2"/>
        </w:rPr>
        <w:t>成等待期内的服务或达到规定业绩条件才可行权，在等待期内以对可行权权益工具数量的最佳估计为基础，按照权益工具授</w:t>
      </w:r>
      <w:r>
        <w:rPr>
          <w:spacing w:val="-64"/>
        </w:rPr>
        <w:t> </w:t>
      </w:r>
      <w:r>
        <w:rPr>
          <w:spacing w:val="-64"/>
        </w:rPr>
      </w:r>
      <w:r>
        <w:rPr/>
        <w:t>予日的公允价值，将当期取得的服务计入相关成本或费用，相应增加资本公积。</w:t>
      </w:r>
    </w:p>
    <w:p>
      <w:pPr>
        <w:pStyle w:val="BodyText"/>
        <w:spacing w:line="432" w:lineRule="exact" w:before="3"/>
        <w:ind w:left="514" w:right="0" w:hanging="8"/>
        <w:jc w:val="left"/>
      </w:pPr>
      <w:r>
        <w:rPr/>
        <w:t>（</w:t>
      </w:r>
      <w:r>
        <w:rPr>
          <w:rFonts w:ascii="Times New Roman" w:hAnsi="Times New Roman" w:cs="Times New Roman" w:eastAsia="Times New Roman" w:hint="default"/>
        </w:rPr>
        <w:t>2</w:t>
      </w:r>
      <w:r>
        <w:rPr/>
        <w:t>）以现金结算的股份支付 </w:t>
      </w:r>
      <w:r>
        <w:rPr>
          <w:spacing w:val="-2"/>
        </w:rPr>
        <w:t>股票增值权计划为以现金结算的股份支付，按照公司承担的以本公司股份数量为基础确定的负债的公允价值计量。该以</w:t>
      </w:r>
    </w:p>
    <w:p>
      <w:pPr>
        <w:pStyle w:val="BodyText"/>
        <w:spacing w:line="316" w:lineRule="auto" w:before="15"/>
        <w:ind w:left="154" w:right="1131"/>
        <w:jc w:val="both"/>
      </w:pPr>
      <w:r>
        <w:rPr>
          <w:spacing w:val="-2"/>
        </w:rPr>
        <w:t>现金结算的股份支付须完成等待期内的服务或达到规定业绩条件以后才可行权，在等待期的每个资产负债表日以对可行权情</w:t>
      </w:r>
      <w:r>
        <w:rPr>
          <w:spacing w:val="-64"/>
        </w:rPr>
        <w:t> </w:t>
      </w:r>
      <w:r>
        <w:rPr>
          <w:spacing w:val="-64"/>
        </w:rPr>
      </w:r>
      <w:r>
        <w:rPr>
          <w:spacing w:val="-2"/>
        </w:rPr>
        <w:t>况的最佳估计为基础，按照公司承担负债的公允价值金额，将当期取得的服务计入成本或费用，相应增加负债。在相关负债</w:t>
      </w:r>
      <w:r>
        <w:rPr>
          <w:spacing w:val="-66"/>
        </w:rPr>
        <w:t> </w:t>
      </w:r>
      <w:r>
        <w:rPr>
          <w:spacing w:val="-66"/>
        </w:rPr>
      </w:r>
      <w:r>
        <w:rPr/>
        <w:t>结算前的每个资产负债表日以及结算日，对负债的公允价值重新计量，其变动计入当期损益。</w:t>
      </w:r>
    </w:p>
    <w:p>
      <w:pPr>
        <w:pStyle w:val="BodyText"/>
        <w:spacing w:line="432" w:lineRule="exact" w:before="3"/>
        <w:ind w:left="513" w:right="0"/>
        <w:jc w:val="left"/>
      </w:pPr>
      <w:r>
        <w:rPr>
          <w:rFonts w:ascii="Times New Roman" w:hAnsi="Times New Roman" w:cs="Times New Roman" w:eastAsia="Times New Roman" w:hint="default"/>
        </w:rPr>
        <w:t>2. </w:t>
      </w:r>
      <w:r>
        <w:rPr/>
        <w:t>权益工具公允价值的确定方法 </w:t>
      </w:r>
      <w:r>
        <w:rPr>
          <w:spacing w:val="-2"/>
        </w:rPr>
        <w:t>对于授予职工的股份，其公允价值按公司股份的市场价格计量，同时考虑授予股份所依据的条款和条件（不包括市场条</w:t>
      </w:r>
    </w:p>
    <w:p>
      <w:pPr>
        <w:pStyle w:val="BodyText"/>
        <w:spacing w:line="439" w:lineRule="auto" w:before="15"/>
        <w:ind w:left="513" w:right="4273" w:hanging="360"/>
        <w:jc w:val="left"/>
      </w:pPr>
      <w:r>
        <w:rPr/>
        <w:t>件之外的可行权条件）进行调整。 对于授予职工的股票期权，通过期权定价模型估计所授予的期权的公允价值。 </w:t>
      </w: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确认可行权权益工具最佳估计的依据</w:t>
      </w:r>
    </w:p>
    <w:p>
      <w:pPr>
        <w:pStyle w:val="BodyText"/>
        <w:spacing w:line="319" w:lineRule="auto" w:before="17"/>
        <w:ind w:right="1118" w:firstLine="360"/>
        <w:jc w:val="left"/>
      </w:pPr>
      <w:r>
        <w:rPr>
          <w:spacing w:val="-2"/>
        </w:rPr>
        <w:t>在等待期内每个资产负债表日，根据最新取得的可行权职工人数变动等后续信息做出最佳估计，修正预计可行权的权益</w:t>
      </w:r>
      <w:r>
        <w:rPr/>
        <w:t> 工具数量。</w:t>
      </w:r>
    </w:p>
    <w:p>
      <w:pPr>
        <w:pStyle w:val="BodyText"/>
        <w:spacing w:line="415" w:lineRule="auto" w:before="137"/>
        <w:ind w:left="514" w:right="0"/>
        <w:jc w:val="left"/>
      </w:pPr>
      <w:r>
        <w:rPr>
          <w:rFonts w:ascii="Times New Roman" w:hAnsi="Times New Roman" w:cs="Times New Roman" w:eastAsia="Times New Roman" w:hint="default"/>
        </w:rPr>
        <w:t>4. </w:t>
      </w:r>
      <w:r>
        <w:rPr/>
        <w:t>修改和终止股份支付计划的处理 </w:t>
      </w:r>
      <w:r>
        <w:rPr>
          <w:spacing w:val="-2"/>
        </w:rPr>
        <w:t>如果股份支付计划的修改增加了所授予的权益工具的公允价值，应按照权益工具公允价值的增加相应地确认取得服务的</w:t>
      </w:r>
    </w:p>
    <w:p>
      <w:pPr>
        <w:spacing w:after="0" w:line="415"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增加。</w:t>
      </w:r>
    </w:p>
    <w:p>
      <w:pPr>
        <w:spacing w:line="240" w:lineRule="auto" w:before="0"/>
        <w:rPr>
          <w:rFonts w:ascii="宋体" w:hAnsi="宋体" w:cs="宋体" w:eastAsia="宋体" w:hint="default"/>
          <w:sz w:val="15"/>
          <w:szCs w:val="15"/>
        </w:rPr>
      </w:pPr>
    </w:p>
    <w:p>
      <w:pPr>
        <w:pStyle w:val="BodyText"/>
        <w:spacing w:line="316" w:lineRule="auto"/>
        <w:ind w:right="1131" w:firstLine="360"/>
        <w:jc w:val="both"/>
      </w:pPr>
      <w:r>
        <w:rPr>
          <w:spacing w:val="-2"/>
        </w:rPr>
        <w:t>如果股份支付计划的修改增加了所授予的权益工具的数量，应将增加的权益工具的公允价值相应地确认为取得服务的增</w:t>
      </w:r>
      <w:r>
        <w:rPr/>
        <w:t> 加。</w:t>
      </w:r>
    </w:p>
    <w:p>
      <w:pPr>
        <w:pStyle w:val="BodyText"/>
        <w:spacing w:line="316" w:lineRule="auto" w:before="139"/>
        <w:ind w:left="154" w:right="1133" w:firstLine="360"/>
        <w:jc w:val="both"/>
      </w:pPr>
      <w:r>
        <w:rPr>
          <w:spacing w:val="-2"/>
        </w:rPr>
        <w:t>如果按照有利于职工的方式修改可行权条件，如缩短等待期、变更或取消业绩条件（而非市场条件），公司在处理可行</w:t>
      </w:r>
      <w:r>
        <w:rPr/>
        <w:t> 权条件时，考虑修改后的可行权条件。</w:t>
      </w:r>
    </w:p>
    <w:p>
      <w:pPr>
        <w:pStyle w:val="BodyText"/>
        <w:spacing w:line="316" w:lineRule="auto" w:before="139"/>
        <w:ind w:left="154" w:right="1130" w:firstLine="360"/>
        <w:jc w:val="both"/>
      </w:pPr>
      <w:r>
        <w:rPr>
          <w:spacing w:val="-2"/>
        </w:rPr>
        <w:t>如果以减少股份支付公允价值总额的方式或其他不利于职工的方式修改条款和条件，仍应继续对取得的服务进行会计处</w:t>
      </w:r>
      <w:r>
        <w:rPr/>
        <w:t> 理，如同该变更从未发生，除非取消了部分或全部已授予的权益工具。</w:t>
      </w:r>
    </w:p>
    <w:p>
      <w:pPr>
        <w:pStyle w:val="BodyText"/>
        <w:spacing w:line="316" w:lineRule="auto" w:before="139"/>
        <w:ind w:right="1132" w:firstLine="360"/>
        <w:jc w:val="both"/>
      </w:pPr>
      <w:r>
        <w:rPr>
          <w:spacing w:val="-2"/>
        </w:rPr>
        <w:t>在等待期内如果取消了授予的权益工具，对取消所授予的权益性工具作为加速行权处理，剩余等待期内应确认的金额立</w:t>
      </w:r>
      <w:r>
        <w:rPr/>
        <w:t> </w:t>
      </w:r>
      <w:r>
        <w:rPr>
          <w:spacing w:val="-2"/>
        </w:rPr>
        <w:t>即计入当期损益，同时确认资本公积。职工或其他方能够选择满足非可行权条件但在等待期内未满足的，将其作为授予权益</w:t>
      </w:r>
      <w:r>
        <w:rPr>
          <w:spacing w:val="-66"/>
        </w:rPr>
        <w:t> </w:t>
      </w:r>
      <w:r>
        <w:rPr>
          <w:spacing w:val="-66"/>
        </w:rPr>
      </w:r>
      <w:r>
        <w:rPr/>
        <w:t>工具的取消处理。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7、优先股、永续债等其他金融工具" w:id="210"/>
      <w:bookmarkEnd w:id="21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3"/>
        <w:rPr>
          <w:rFonts w:ascii="宋体" w:hAnsi="宋体" w:cs="宋体" w:eastAsia="宋体" w:hint="default"/>
          <w:b/>
          <w:bCs/>
          <w:sz w:val="25"/>
          <w:szCs w:val="25"/>
        </w:rPr>
      </w:pPr>
    </w:p>
    <w:p>
      <w:pPr>
        <w:pStyle w:val="Heading5"/>
        <w:spacing w:line="285" w:lineRule="auto"/>
        <w:ind w:right="1133" w:firstLine="420"/>
        <w:jc w:val="both"/>
      </w:pPr>
      <w:r>
        <w:rPr/>
        <w:t>公司发行的优先股或永续债根据所发行金融工具的合同条款及其所反映的经济实质，结合金融负债和权益</w:t>
      </w:r>
      <w:r>
        <w:rPr>
          <w:w w:val="100"/>
        </w:rPr>
        <w:t> </w:t>
      </w:r>
      <w:r>
        <w:rPr/>
        <w:t>工具的定义，在初始确认时将其分类为金融负债或权益工具。</w:t>
      </w:r>
    </w:p>
    <w:p>
      <w:pPr>
        <w:pStyle w:val="Heading5"/>
        <w:spacing w:line="285" w:lineRule="auto" w:before="132"/>
        <w:ind w:left="154" w:right="1131" w:firstLine="420"/>
        <w:jc w:val="both"/>
      </w:pPr>
      <w:r>
        <w:rPr/>
        <w:t>优先股或永续债属于金融负债的，相关利息、股利（或股息）、利得或损失，以及赎回或再融资产生的利</w:t>
      </w:r>
      <w:r>
        <w:rPr>
          <w:w w:val="100"/>
        </w:rPr>
        <w:t> </w:t>
      </w:r>
      <w:r>
        <w:rPr/>
        <w:t>得或损失等，计入当期损益。</w:t>
      </w:r>
    </w:p>
    <w:p>
      <w:pPr>
        <w:pStyle w:val="Heading5"/>
        <w:spacing w:line="285" w:lineRule="auto" w:before="132"/>
        <w:ind w:left="154" w:right="1133" w:firstLine="420"/>
        <w:jc w:val="both"/>
      </w:pPr>
      <w:r>
        <w:rPr/>
        <w:t>优先股或永续债属于权益工具的，其发行（含再融资）、回购、出售或注销时，作为权益的变动处理。对</w:t>
      </w:r>
      <w:r>
        <w:rPr>
          <w:w w:val="100"/>
        </w:rPr>
        <w:t> </w:t>
      </w:r>
      <w:r>
        <w:rPr/>
        <w:t>权益工具持有方的分配应作利润分配处理，发放的股票股利不影响所有者权益总额。</w:t>
      </w:r>
    </w:p>
    <w:p>
      <w:pPr>
        <w:pStyle w:val="Heading5"/>
        <w:spacing w:line="285" w:lineRule="auto" w:before="132"/>
        <w:ind w:right="1133" w:firstLine="420"/>
        <w:jc w:val="both"/>
      </w:pPr>
      <w:r>
        <w:rPr/>
        <w:t>与权益性交易相关的交易费用从权益中扣减。交易费用，是指可直接归属于购买、发行或处置优先股或永</w:t>
      </w:r>
      <w:r>
        <w:rPr>
          <w:w w:val="100"/>
        </w:rPr>
        <w:t> </w:t>
      </w:r>
      <w:r>
        <w:rPr/>
        <w:t>续债的增量费用。增量费用，是指企业不购买、发行或处置金融工具就不会发生的费用。</w:t>
      </w:r>
    </w:p>
    <w:p>
      <w:pPr>
        <w:pStyle w:val="Heading5"/>
        <w:spacing w:line="285" w:lineRule="auto" w:before="132"/>
        <w:ind w:right="1131" w:firstLine="420"/>
        <w:jc w:val="both"/>
      </w:pPr>
      <w:r>
        <w:rPr/>
        <w:t>发行或取得自身权益工具时发生的交易费用（例如登记费，承销费，法律、会计、评估及其他专业服务费</w:t>
      </w:r>
      <w:r>
        <w:rPr>
          <w:w w:val="100"/>
        </w:rPr>
        <w:t> </w:t>
      </w:r>
      <w:r>
        <w:rPr/>
        <w:t>用，印刷成本和印花税等），可直接归属于权益性交易的，从权益中扣减。终止的未完成权益性交易所发生的</w:t>
      </w:r>
      <w:r>
        <w:rPr>
          <w:spacing w:val="-65"/>
        </w:rPr>
        <w:t> </w:t>
      </w:r>
      <w:r>
        <w:rPr>
          <w:spacing w:val="-65"/>
        </w:rPr>
      </w:r>
      <w:r>
        <w:rPr/>
        <w:t>交易费用计入当期损益。</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28、收入" w:id="211"/>
      <w:bookmarkEnd w:id="211"/>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7332"/>
        <w:jc w:val="left"/>
      </w:pPr>
      <w:r>
        <w:rPr/>
        <w:t>公司是否需要遵守特殊行业的披露要求 否</w:t>
      </w:r>
    </w:p>
    <w:p>
      <w:pPr>
        <w:pStyle w:val="BodyText"/>
        <w:spacing w:line="240" w:lineRule="auto" w:before="108"/>
        <w:ind w:left="5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销售商品收入的确认</w:t>
      </w:r>
    </w:p>
    <w:p>
      <w:pPr>
        <w:spacing w:line="240" w:lineRule="auto" w:before="12"/>
        <w:rPr>
          <w:rFonts w:ascii="宋体" w:hAnsi="宋体" w:cs="宋体" w:eastAsia="宋体" w:hint="default"/>
          <w:sz w:val="13"/>
          <w:szCs w:val="13"/>
        </w:rPr>
      </w:pPr>
    </w:p>
    <w:p>
      <w:pPr>
        <w:pStyle w:val="BodyText"/>
        <w:spacing w:line="316" w:lineRule="auto"/>
        <w:ind w:left="154" w:right="1132" w:firstLine="360"/>
        <w:jc w:val="both"/>
      </w:pPr>
      <w:r>
        <w:rPr>
          <w:spacing w:val="-2"/>
        </w:rPr>
        <w:t>公司已将商品所有权上的主要风险和报酬转移给购买方；既没有保留与所有权相联系的继续管理权，也没有对已售出的</w:t>
      </w:r>
      <w:r>
        <w:rPr/>
        <w:t> </w:t>
      </w:r>
      <w:r>
        <w:rPr>
          <w:spacing w:val="-2"/>
        </w:rPr>
        <w:t>商品实施有效控制；收入的金额能够可靠地计量；相关的经济利益很可能流入企业；相关的已发生或将发生的成本能够可靠</w:t>
      </w:r>
      <w:r>
        <w:rPr>
          <w:spacing w:val="-66"/>
        </w:rPr>
        <w:t> </w:t>
      </w:r>
      <w:r>
        <w:rPr>
          <w:spacing w:val="-66"/>
        </w:rPr>
      </w:r>
      <w:r>
        <w:rPr/>
        <w:t>地计量时，确认商品销售收入实现。</w:t>
      </w:r>
    </w:p>
    <w:p>
      <w:pPr>
        <w:pStyle w:val="BodyText"/>
        <w:spacing w:line="432" w:lineRule="exact" w:before="3"/>
        <w:ind w:left="514" w:right="0"/>
        <w:jc w:val="left"/>
      </w:pPr>
      <w:r>
        <w:rPr>
          <w:rFonts w:ascii="Times New Roman" w:hAnsi="Times New Roman" w:cs="Times New Roman" w:eastAsia="Times New Roman" w:hint="default"/>
        </w:rPr>
        <w:t>2. </w:t>
      </w:r>
      <w:r>
        <w:rPr/>
        <w:t>提供劳务收入的确认 </w:t>
      </w:r>
      <w:r>
        <w:rPr>
          <w:spacing w:val="-4"/>
        </w:rPr>
        <w:t>在资产负债表日提供劳务交易的结果能够可靠估计的，采用完工百分比法确认提供劳务收入。提供劳务交易的完工进度，</w:t>
      </w:r>
    </w:p>
    <w:p>
      <w:pPr>
        <w:pStyle w:val="BodyText"/>
        <w:spacing w:line="441" w:lineRule="auto" w:before="15"/>
        <w:ind w:left="514" w:right="4452" w:hanging="360"/>
        <w:jc w:val="left"/>
      </w:pPr>
      <w:r>
        <w:rPr/>
        <w:t>依据已完工作的测量确定。 在资产负债表日提供劳务交易结果不能够可靠估计的，分别下列情况处理：</w:t>
      </w:r>
    </w:p>
    <w:p>
      <w:pPr>
        <w:pStyle w:val="BodyText"/>
        <w:spacing w:line="300" w:lineRule="auto" w:before="45"/>
        <w:ind w:right="1131" w:firstLine="360"/>
        <w:jc w:val="both"/>
      </w:pPr>
      <w:r>
        <w:rPr/>
        <w:t>（</w:t>
      </w:r>
      <w:r>
        <w:rPr>
          <w:rFonts w:ascii="Times New Roman" w:hAnsi="Times New Roman" w:cs="Times New Roman" w:eastAsia="Times New Roman" w:hint="default"/>
        </w:rPr>
        <w:t>1</w:t>
      </w:r>
      <w:r>
        <w:rPr/>
        <w:t>）已发生的劳务成本预计能够得到补偿，应按已经发生的劳务成本金额确认提供劳务收入，并按相同金额结转劳务 成本。</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w:t>
      </w:r>
    </w:p>
    <w:p>
      <w:pPr>
        <w:spacing w:line="240" w:lineRule="auto" w:before="13"/>
        <w:rPr>
          <w:rFonts w:ascii="宋体" w:hAnsi="宋体" w:cs="宋体" w:eastAsia="宋体" w:hint="default"/>
          <w:sz w:val="13"/>
          <w:szCs w:val="13"/>
        </w:rPr>
      </w:pPr>
    </w:p>
    <w:p>
      <w:pPr>
        <w:pStyle w:val="BodyText"/>
        <w:spacing w:line="415" w:lineRule="auto"/>
        <w:ind w:left="514" w:right="1032" w:hanging="360"/>
        <w:jc w:val="left"/>
      </w:pPr>
      <w:r>
        <w:rPr>
          <w:rFonts w:ascii="Times New Roman" w:hAnsi="Times New Roman" w:cs="Times New Roman" w:eastAsia="Times New Roman" w:hint="default"/>
        </w:rPr>
        <w:t>3.</w:t>
      </w:r>
      <w:r>
        <w:rPr/>
        <w:t>让渡资产使用权收入的确认 与交易相关的经济利益很可能流入企业，收入的金额能够可靠地计量时。分别下列情况确定让渡资产使用权收入金额：</w:t>
      </w:r>
    </w:p>
    <w:p>
      <w:pPr>
        <w:pStyle w:val="BodyText"/>
        <w:spacing w:line="240" w:lineRule="auto" w:before="65"/>
        <w:ind w:left="514"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建造合同收入的确认</w:t>
      </w:r>
    </w:p>
    <w:p>
      <w:pPr>
        <w:pStyle w:val="BodyText"/>
        <w:spacing w:line="420" w:lineRule="atLeast" w:before="12"/>
        <w:ind w:left="513" w:right="0"/>
        <w:jc w:val="left"/>
      </w:pPr>
      <w:r>
        <w:rPr/>
        <w:t>（</w:t>
      </w:r>
      <w:r>
        <w:rPr>
          <w:rFonts w:ascii="Times New Roman" w:hAnsi="Times New Roman" w:cs="Times New Roman" w:eastAsia="Times New Roman" w:hint="default"/>
        </w:rPr>
        <w:t>1</w:t>
      </w:r>
      <w:r>
        <w:rPr/>
        <w:t>）建造合同的结果能够可靠估计 </w:t>
      </w:r>
      <w:r>
        <w:rPr>
          <w:spacing w:val="-2"/>
        </w:rPr>
        <w:t>在资产负债表日，建造合同的结果能够可靠估计的，根据完工百分比法确认合同收入和费用。完工百分比法，是指根据</w:t>
      </w:r>
    </w:p>
    <w:p>
      <w:pPr>
        <w:pStyle w:val="BodyText"/>
        <w:spacing w:line="439" w:lineRule="auto" w:before="76"/>
        <w:ind w:left="513" w:right="2473" w:hanging="360"/>
        <w:jc w:val="left"/>
      </w:pPr>
      <w:r>
        <w:rPr/>
        <w:t>合同完工进度确认收入与费用的方法。采用累计已经完成的合同工作量占合同预计总工作量的比例确定。 固定造价合同的结果能够可靠估计确定依据为：</w:t>
      </w:r>
    </w:p>
    <w:p>
      <w:pPr>
        <w:pStyle w:val="BodyText"/>
        <w:spacing w:line="240" w:lineRule="auto" w:before="47"/>
        <w:ind w:left="514"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4"/>
        </w:rPr>
        <w:t> </w:t>
      </w:r>
      <w:r>
        <w:rPr/>
        <w:t>合同总收入能够可靠地计量；</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44"/>
        </w:rPr>
        <w:t> </w:t>
      </w:r>
      <w:r>
        <w:rPr/>
        <w:t>与合同相关的经济利益很可能流入本公司；</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44"/>
        </w:rPr>
        <w:t> </w:t>
      </w:r>
      <w:r>
        <w:rPr/>
        <w:t>实际发生的合同成本能够清楚地区分和可靠地计量；</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44"/>
        </w:rPr>
        <w:t> </w:t>
      </w:r>
      <w:r>
        <w:rPr/>
        <w:t>合同完工进度和为完成合同尚需发生的成本能够可靠地确定。</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t>（</w:t>
      </w:r>
      <w:r>
        <w:rPr>
          <w:rFonts w:ascii="Times New Roman" w:hAnsi="Times New Roman" w:cs="Times New Roman" w:eastAsia="Times New Roman" w:hint="default"/>
        </w:rPr>
        <w:t>2</w:t>
      </w:r>
      <w:r>
        <w:rPr/>
        <w:t>）成本加成合同的结果能够可靠估计，确定依据为：</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44"/>
        </w:rPr>
        <w:t> </w:t>
      </w:r>
      <w:r>
        <w:rPr/>
        <w:t>与合同相关的经济利益很可能流入本公司；</w:t>
      </w:r>
    </w:p>
    <w:p>
      <w:pPr>
        <w:spacing w:line="240" w:lineRule="auto" w:before="0"/>
        <w:rPr>
          <w:rFonts w:ascii="宋体" w:hAnsi="宋体" w:cs="宋体" w:eastAsia="宋体" w:hint="default"/>
          <w:sz w:val="14"/>
          <w:szCs w:val="14"/>
        </w:rPr>
      </w:pPr>
    </w:p>
    <w:p>
      <w:pPr>
        <w:pStyle w:val="BodyText"/>
        <w:spacing w:line="240" w:lineRule="auto"/>
        <w:ind w:left="514"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44"/>
        </w:rPr>
        <w:t> </w:t>
      </w:r>
      <w:r>
        <w:rPr/>
        <w:t>实际发生的合同成本能够清楚地区分和可靠地计量。</w:t>
      </w:r>
    </w:p>
    <w:p>
      <w:pPr>
        <w:spacing w:line="240" w:lineRule="auto" w:before="13"/>
        <w:rPr>
          <w:rFonts w:ascii="宋体" w:hAnsi="宋体" w:cs="宋体" w:eastAsia="宋体" w:hint="default"/>
          <w:sz w:val="13"/>
          <w:szCs w:val="13"/>
        </w:rPr>
      </w:pPr>
    </w:p>
    <w:p>
      <w:pPr>
        <w:pStyle w:val="BodyText"/>
        <w:spacing w:line="415" w:lineRule="auto"/>
        <w:ind w:left="513" w:right="6073"/>
        <w:jc w:val="left"/>
      </w:pPr>
      <w:r>
        <w:rPr/>
        <w:t>（</w:t>
      </w:r>
      <w:r>
        <w:rPr>
          <w:rFonts w:ascii="Times New Roman" w:hAnsi="Times New Roman" w:cs="Times New Roman" w:eastAsia="Times New Roman" w:hint="default"/>
        </w:rPr>
        <w:t>3</w:t>
      </w:r>
      <w:r>
        <w:rPr/>
        <w:t>）建造合同的结果不能可靠估计 建造合同的结果不能可靠估计的，分别情况进行处理：</w:t>
      </w:r>
    </w:p>
    <w:p>
      <w:pPr>
        <w:pStyle w:val="BodyText"/>
        <w:spacing w:line="240" w:lineRule="auto" w:before="65"/>
        <w:ind w:left="514"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16"/>
        </w:rPr>
        <w:t> </w:t>
      </w:r>
      <w:r>
        <w:rPr/>
        <w:t>合同成本能够收回的，合同收入根据能够收回的实际合同成本予以确认，合同成本在其发生的当期确认为合同费用；</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44"/>
        </w:rPr>
        <w:t> </w:t>
      </w:r>
      <w:r>
        <w:rPr/>
        <w:t>合同成本不可能收回的，在发生时立即确认为合同费用，不确认合同收入。</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t>公司收入确认的具体方式</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t>（</w:t>
      </w:r>
      <w:r>
        <w:rPr>
          <w:rFonts w:ascii="Times New Roman" w:hAnsi="Times New Roman" w:cs="Times New Roman" w:eastAsia="Times New Roman" w:hint="default"/>
        </w:rPr>
        <w:t>1</w:t>
      </w:r>
      <w:r>
        <w:rPr/>
        <w:t>）系统集成：按照合同约定以产品交付购货方并经对方验收合格后确认收入；</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t>（</w:t>
      </w:r>
      <w:r>
        <w:rPr>
          <w:rFonts w:ascii="Times New Roman" w:hAnsi="Times New Roman" w:cs="Times New Roman" w:eastAsia="Times New Roman" w:hint="default"/>
        </w:rPr>
        <w:t>2</w:t>
      </w:r>
      <w:r>
        <w:rPr/>
        <w:t>）外购商品及自制产品：以商品或自制产品交付购货方并经对方验收合格后确认收入；</w:t>
      </w:r>
    </w:p>
    <w:p>
      <w:pPr>
        <w:spacing w:line="240" w:lineRule="auto" w:before="13"/>
        <w:rPr>
          <w:rFonts w:ascii="宋体" w:hAnsi="宋体" w:cs="宋体" w:eastAsia="宋体" w:hint="default"/>
          <w:sz w:val="13"/>
          <w:szCs w:val="13"/>
        </w:rPr>
      </w:pPr>
    </w:p>
    <w:p>
      <w:pPr>
        <w:pStyle w:val="BodyText"/>
        <w:spacing w:line="300" w:lineRule="auto"/>
        <w:ind w:left="154" w:right="1122" w:firstLine="360"/>
        <w:jc w:val="left"/>
      </w:pPr>
      <w:r>
        <w:rPr/>
        <w:t>（</w:t>
      </w:r>
      <w:r>
        <w:rPr>
          <w:rFonts w:ascii="Times New Roman" w:hAnsi="Times New Roman" w:cs="Times New Roman" w:eastAsia="Times New Roman" w:hint="default"/>
        </w:rPr>
        <w:t>3</w:t>
      </w:r>
      <w:r>
        <w:rPr/>
        <w:t>）自行研制开发的软件成品：需安装调试的按合同约定在项目实施完成并经对方验收合格后确认收入，不需要安装 的以产品交付并经购货方验收后确认收入；</w:t>
      </w:r>
    </w:p>
    <w:p>
      <w:pPr>
        <w:pStyle w:val="BodyText"/>
        <w:spacing w:line="240" w:lineRule="auto" w:before="151"/>
        <w:ind w:left="514" w:right="0"/>
        <w:jc w:val="left"/>
      </w:pPr>
      <w:r>
        <w:rPr/>
        <w:t>（</w:t>
      </w:r>
      <w:r>
        <w:rPr>
          <w:rFonts w:ascii="Times New Roman" w:hAnsi="Times New Roman" w:cs="Times New Roman" w:eastAsia="Times New Roman" w:hint="default"/>
        </w:rPr>
        <w:t>4</w:t>
      </w:r>
      <w:r>
        <w:rPr/>
        <w:t>）定制软件产品：按合同约定在项目实施完成并经对方验收后确认收入。</w:t>
      </w:r>
    </w:p>
    <w:p>
      <w:pPr>
        <w:spacing w:line="240" w:lineRule="auto" w:before="13"/>
        <w:rPr>
          <w:rFonts w:ascii="宋体" w:hAnsi="宋体" w:cs="宋体" w:eastAsia="宋体" w:hint="default"/>
          <w:sz w:val="13"/>
          <w:szCs w:val="13"/>
        </w:rPr>
      </w:pPr>
    </w:p>
    <w:p>
      <w:pPr>
        <w:pStyle w:val="BodyText"/>
        <w:spacing w:line="300" w:lineRule="auto"/>
        <w:ind w:right="1123" w:firstLine="360"/>
        <w:jc w:val="left"/>
      </w:pPr>
      <w:r>
        <w:rPr/>
        <w:t>（</w:t>
      </w:r>
      <w:r>
        <w:rPr>
          <w:rFonts w:ascii="Times New Roman" w:hAnsi="Times New Roman" w:cs="Times New Roman" w:eastAsia="Times New Roman" w:hint="default"/>
        </w:rPr>
        <w:t>5</w:t>
      </w:r>
      <w:r>
        <w:rPr/>
        <w:t>）风电机组振动监测诊断系统：对于客户自行安装的设备，客户确认收到货物，检验合格并出具验收报告后，公司 确认收入；对于需要公司安装调试的设备，经公司安装调试，客户验收合格并出具项目验收报告后，公司确认收入。</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9、政府补助" w:id="212"/>
      <w:bookmarkEnd w:id="21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6"/>
          <w:szCs w:val="26"/>
        </w:rPr>
      </w:pPr>
    </w:p>
    <w:p>
      <w:pPr>
        <w:pStyle w:val="BodyText"/>
        <w:spacing w:line="590" w:lineRule="auto"/>
        <w:ind w:left="514" w:right="3192"/>
        <w:jc w:val="left"/>
      </w:pPr>
      <w:bookmarkStart w:name="1. 与资产相关的政府补助判断依据及会计处理方法" w:id="213"/>
      <w:bookmarkEnd w:id="213"/>
      <w:r>
        <w:rPr/>
      </w:r>
      <w:r>
        <w:rPr>
          <w:rFonts w:ascii="Times New Roman" w:hAnsi="Times New Roman" w:cs="Times New Roman" w:eastAsia="Times New Roman" w:hint="default"/>
        </w:rPr>
        <w:t>1. </w:t>
      </w:r>
      <w:r>
        <w:rPr/>
        <w:t>与资产相关的政府补助判断依据及会计处理方法 公司取得的、用于购建或以其他方式形成长期资产的政府补助作为与资产相关的政府补助。</w:t>
      </w:r>
    </w:p>
    <w:p>
      <w:pPr>
        <w:spacing w:after="0" w:line="59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与资产相关的政府补助，确认为递延收益，并在相关资产使用寿命内按照合理、系统的方法分期计入损益。按照名义金</w:t>
      </w:r>
      <w:r>
        <w:rPr/>
        <w:t> 额计量的政府补助，直接计入当期损益。</w:t>
      </w:r>
    </w:p>
    <w:p>
      <w:pPr>
        <w:pStyle w:val="BodyText"/>
        <w:spacing w:line="316" w:lineRule="auto" w:before="139"/>
        <w:ind w:right="1132" w:firstLine="360"/>
        <w:jc w:val="both"/>
      </w:pPr>
      <w:r>
        <w:rPr>
          <w:spacing w:val="-2"/>
        </w:rPr>
        <w:t>相关资产在使用寿命结束前被出售、转让、报废或发生毁损的，将尚未分配的相关递延收益余额转入资产处置当期的损</w:t>
      </w:r>
      <w:r>
        <w:rPr/>
        <w:t> 益。</w:t>
      </w:r>
    </w:p>
    <w:p>
      <w:pPr>
        <w:pStyle w:val="BodyText"/>
        <w:spacing w:line="612" w:lineRule="exact" w:before="41"/>
        <w:ind w:left="574" w:right="0" w:hanging="60"/>
        <w:jc w:val="left"/>
      </w:pPr>
      <w:bookmarkStart w:name="2. 与收益相关的政府补助判断依据及会计处理方法" w:id="214"/>
      <w:bookmarkEnd w:id="214"/>
      <w:r>
        <w:rPr/>
      </w:r>
      <w:r>
        <w:rPr>
          <w:rFonts w:ascii="Times New Roman" w:hAnsi="Times New Roman" w:cs="Times New Roman" w:eastAsia="Times New Roman" w:hint="default"/>
        </w:rPr>
        <w:t>2. </w:t>
      </w:r>
      <w:r>
        <w:rPr/>
        <w:t>与收益相关的政府补助判断依据及会计处理方法 </w:t>
      </w:r>
      <w:r>
        <w:rPr>
          <w:spacing w:val="-2"/>
        </w:rPr>
        <w:t>公司取得的与资产相关之外的其他政府补助作为与收益相关的政府补助。与收益相关的政府补助，分别下列情况处理：</w:t>
      </w:r>
    </w:p>
    <w:p>
      <w:pPr>
        <w:pStyle w:val="BodyText"/>
        <w:spacing w:line="300" w:lineRule="auto" w:before="99"/>
        <w:ind w:right="1131" w:firstLine="360"/>
        <w:jc w:val="both"/>
      </w:pPr>
      <w:r>
        <w:rPr/>
        <w:t>（</w:t>
      </w:r>
      <w:r>
        <w:rPr>
          <w:rFonts w:ascii="Times New Roman" w:hAnsi="Times New Roman" w:cs="Times New Roman" w:eastAsia="Times New Roman" w:hint="default"/>
        </w:rPr>
        <w:t>1</w:t>
      </w:r>
      <w:r>
        <w:rPr/>
        <w:t>）用于补偿公司以后期间的相关成本费用或损失的，确认为递延收益，并在确认相关成本费用或损失的期间，计入 当期损益。</w:t>
      </w:r>
    </w:p>
    <w:p>
      <w:pPr>
        <w:pStyle w:val="BodyText"/>
        <w:spacing w:line="240" w:lineRule="auto" w:before="151"/>
        <w:ind w:left="514" w:right="0"/>
        <w:jc w:val="left"/>
      </w:pPr>
      <w:r>
        <w:rPr/>
        <w:t>（</w:t>
      </w:r>
      <w:r>
        <w:rPr>
          <w:rFonts w:ascii="Times New Roman" w:hAnsi="Times New Roman" w:cs="Times New Roman" w:eastAsia="Times New Roman" w:hint="default"/>
        </w:rPr>
        <w:t>2</w:t>
      </w:r>
      <w:r>
        <w:rPr/>
        <w:t>）用于补偿公司已发生的相关成本费用或损失的，直接计入当期损益。</w:t>
      </w:r>
    </w:p>
    <w:p>
      <w:pPr>
        <w:spacing w:line="240" w:lineRule="auto" w:before="13"/>
        <w:rPr>
          <w:rFonts w:ascii="宋体" w:hAnsi="宋体" w:cs="宋体" w:eastAsia="宋体" w:hint="default"/>
          <w:sz w:val="13"/>
          <w:szCs w:val="13"/>
        </w:rPr>
      </w:pPr>
    </w:p>
    <w:p>
      <w:pPr>
        <w:pStyle w:val="BodyText"/>
        <w:spacing w:line="300" w:lineRule="auto"/>
        <w:ind w:right="1130" w:firstLine="360"/>
        <w:jc w:val="both"/>
      </w:pPr>
      <w:r>
        <w:rPr/>
        <w:t>（</w:t>
      </w:r>
      <w:r>
        <w:rPr>
          <w:rFonts w:ascii="Times New Roman" w:hAnsi="Times New Roman" w:cs="Times New Roman" w:eastAsia="Times New Roman" w:hint="default"/>
        </w:rPr>
        <w:t>3</w:t>
      </w:r>
      <w:r>
        <w:rPr/>
        <w:t>）</w:t>
      </w:r>
      <w:r>
        <w:rPr>
          <w:spacing w:val="7"/>
        </w:rPr>
        <w:t> </w:t>
      </w:r>
      <w:r>
        <w:rPr>
          <w:spacing w:val="-2"/>
        </w:rPr>
        <w:t>对于同时包含与资产相关部分和与收益相关部分的政府补助，区分不同部分分别进行会计处理；难以区分的，整</w:t>
      </w:r>
      <w:r>
        <w:rPr/>
        <w:t> 体归类为与收益相关的政府补助。</w:t>
      </w:r>
    </w:p>
    <w:p>
      <w:pPr>
        <w:pStyle w:val="BodyText"/>
        <w:spacing w:line="300" w:lineRule="auto" w:before="151"/>
        <w:ind w:right="1141" w:firstLine="360"/>
        <w:jc w:val="both"/>
      </w:pPr>
      <w:r>
        <w:rPr/>
        <w:t>（</w:t>
      </w:r>
      <w:r>
        <w:rPr>
          <w:rFonts w:ascii="Times New Roman" w:hAnsi="Times New Roman" w:cs="Times New Roman" w:eastAsia="Times New Roman" w:hint="default"/>
        </w:rPr>
        <w:t>4</w:t>
      </w:r>
      <w:r>
        <w:rPr/>
        <w:t>）与公司日常活动相关的政府补助，按照经济业务实质，计入其他收益。与公司日常活动无关的政府补助，计入营 业外收支。</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30、递延所得税资产/递延所得税负债" w:id="215"/>
      <w:bookmarkEnd w:id="21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25"/>
          <w:szCs w:val="25"/>
        </w:rPr>
      </w:pPr>
    </w:p>
    <w:p>
      <w:pPr>
        <w:pStyle w:val="Heading5"/>
        <w:spacing w:line="285" w:lineRule="auto"/>
        <w:ind w:right="1133" w:firstLine="420"/>
        <w:jc w:val="both"/>
      </w:pPr>
      <w:r>
        <w:rPr/>
        <w:t>对于某些资产、负债项目的账面价值与其计税基础之间的差额，以及未作为资产和负债确认但按照税法规</w:t>
      </w:r>
      <w:r>
        <w:rPr>
          <w:w w:val="100"/>
        </w:rPr>
        <w:t> </w:t>
      </w:r>
      <w:r>
        <w:rPr/>
        <w:t>定可以确定其计税基础的项目的账面价值与计税基础之间的差额产生的暂时性差异，采用资产负债表债务法确</w:t>
      </w:r>
      <w:r>
        <w:rPr>
          <w:spacing w:val="-65"/>
        </w:rPr>
        <w:t> </w:t>
      </w:r>
      <w:r>
        <w:rPr>
          <w:spacing w:val="-65"/>
        </w:rPr>
      </w:r>
      <w:r>
        <w:rPr/>
        <w:t>认递延所得税资产及递延所得税负债。</w:t>
      </w:r>
    </w:p>
    <w:p>
      <w:pPr>
        <w:pStyle w:val="Heading5"/>
        <w:spacing w:line="280" w:lineRule="auto" w:before="132"/>
        <w:ind w:right="1130" w:firstLine="420"/>
        <w:jc w:val="both"/>
      </w:pPr>
      <w:r>
        <w:rPr/>
        <w:t>一般情况下所有暂时性差异均确认相关的递延所得税。但对于可抵扣暂时性差异，以很可能取得用来抵扣</w:t>
      </w:r>
      <w:r>
        <w:rPr>
          <w:w w:val="100"/>
        </w:rPr>
        <w:t> </w:t>
      </w:r>
      <w:r>
        <w:rPr/>
        <w:t>可抵扣暂时性差异的应纳税所得额为限，确认相关的递延所得税资产。此外，与商誉的初始确认相关的，以及</w:t>
      </w:r>
      <w:r>
        <w:rPr>
          <w:spacing w:val="-64"/>
        </w:rPr>
        <w:t> </w:t>
      </w:r>
      <w:r>
        <w:rPr>
          <w:spacing w:val="-64"/>
        </w:rPr>
      </w:r>
      <w:r>
        <w:rPr>
          <w:spacing w:val="-3"/>
          <w:w w:val="100"/>
        </w:rPr>
        <w:t>与既不是企业合并、发生时也不影响会计利润和应纳税所得额</w:t>
      </w:r>
      <w:r>
        <w:rPr>
          <w:rFonts w:ascii="Times New Roman" w:hAnsi="Times New Roman" w:cs="Times New Roman" w:eastAsia="Times New Roman" w:hint="default"/>
          <w:spacing w:val="-3"/>
          <w:w w:val="100"/>
        </w:rPr>
        <w:t>(</w:t>
      </w:r>
      <w:r>
        <w:rPr>
          <w:spacing w:val="-3"/>
          <w:w w:val="100"/>
        </w:rPr>
        <w:t>或可抵扣亏损</w:t>
      </w:r>
      <w:r>
        <w:rPr>
          <w:rFonts w:ascii="Times New Roman" w:hAnsi="Times New Roman" w:cs="Times New Roman" w:eastAsia="Times New Roman" w:hint="default"/>
          <w:spacing w:val="-3"/>
          <w:w w:val="100"/>
        </w:rPr>
        <w:t>)</w:t>
      </w:r>
      <w:r>
        <w:rPr>
          <w:spacing w:val="-3"/>
          <w:w w:val="100"/>
        </w:rPr>
        <w:t>的交易中产生的资产或负债的初始</w:t>
      </w:r>
      <w:r>
        <w:rPr>
          <w:spacing w:val="-76"/>
          <w:w w:val="100"/>
        </w:rPr>
        <w:t> </w:t>
      </w:r>
      <w:r>
        <w:rPr>
          <w:spacing w:val="-76"/>
          <w:w w:val="100"/>
        </w:rPr>
      </w:r>
      <w:r>
        <w:rPr/>
        <w:t>确认有关的暂时性差异，不予确认有关的递延所得税资产或负债。</w:t>
      </w:r>
    </w:p>
    <w:p>
      <w:pPr>
        <w:pStyle w:val="Heading5"/>
        <w:spacing w:line="285" w:lineRule="auto" w:before="136"/>
        <w:ind w:left="154" w:right="1133" w:firstLine="420"/>
        <w:jc w:val="both"/>
      </w:pPr>
      <w:r>
        <w:rPr/>
        <w:t>对于能够结转以后年度的可抵扣亏损及税款抵减，以很可能获得用来抵扣可抵扣亏损和税款抵减的未来应</w:t>
      </w:r>
      <w:r>
        <w:rPr>
          <w:w w:val="100"/>
        </w:rPr>
        <w:t> </w:t>
      </w:r>
      <w:r>
        <w:rPr/>
        <w:t>纳税所得额为限，确认相应的递延所得税资产。</w:t>
      </w:r>
    </w:p>
    <w:p>
      <w:pPr>
        <w:pStyle w:val="Heading5"/>
        <w:spacing w:line="285" w:lineRule="auto" w:before="132"/>
        <w:ind w:left="154" w:right="1133" w:firstLine="420"/>
        <w:jc w:val="both"/>
      </w:pPr>
      <w:r>
        <w:rPr/>
        <w:t>确认与子公司、联营企业及合营企业投资相关的应纳税暂时性差异产生的递延所得税负债，除非本公司能</w:t>
      </w:r>
      <w:r>
        <w:rPr>
          <w:w w:val="100"/>
        </w:rPr>
        <w:t> </w:t>
      </w:r>
      <w:r>
        <w:rPr/>
        <w:t>够控制暂时性差异转回的时间，而且该暂时性差异在可预见的未来很可能不会转回。对于与子公司、联营企业</w:t>
      </w:r>
      <w:r>
        <w:rPr>
          <w:spacing w:val="-63"/>
        </w:rPr>
        <w:t> </w:t>
      </w:r>
      <w:r>
        <w:rPr>
          <w:spacing w:val="-63"/>
        </w:rPr>
      </w:r>
      <w:r>
        <w:rPr/>
        <w:t>及合营企业投资相关的可抵扣暂时性差异，只有当暂时性差异在可预见的未来很可能转回，且未来很可能获得</w:t>
      </w:r>
      <w:r>
        <w:rPr>
          <w:spacing w:val="-65"/>
        </w:rPr>
        <w:t> </w:t>
      </w:r>
      <w:r>
        <w:rPr>
          <w:spacing w:val="-65"/>
        </w:rPr>
      </w:r>
      <w:r>
        <w:rPr/>
        <w:t>用来抵扣可抵扣暂时性差异的应纳税所得额时，才确认递延所得税资产。资产负债表日，对于递延所得税资产</w:t>
      </w:r>
      <w:r>
        <w:rPr>
          <w:spacing w:val="-65"/>
        </w:rPr>
        <w:t> </w:t>
      </w:r>
      <w:r>
        <w:rPr>
          <w:spacing w:val="-65"/>
        </w:rPr>
      </w:r>
      <w:r>
        <w:rPr/>
        <w:t>和递延所得税负债，根据税法规定，按照预期收回相关资产或清偿相关负债期间的适用税率计量。</w:t>
      </w:r>
    </w:p>
    <w:p>
      <w:pPr>
        <w:pStyle w:val="Heading5"/>
        <w:spacing w:line="285" w:lineRule="auto" w:before="132"/>
        <w:ind w:right="1130" w:firstLine="420"/>
        <w:jc w:val="both"/>
      </w:pPr>
      <w:r>
        <w:rPr/>
        <w:t>除与直接计入其他综合收益或股东权益的交易和事项相关的当期所得税和递延所得税计入其他综合收益或</w:t>
      </w:r>
      <w:r>
        <w:rPr>
          <w:w w:val="100"/>
        </w:rPr>
        <w:t> </w:t>
      </w:r>
      <w:r>
        <w:rPr/>
        <w:t>股东权益，以及企业合并产生的递延所得税调整商誉的账面价值外，其余当期所得税和递延所得税费用或收益</w:t>
      </w:r>
      <w:r>
        <w:rPr>
          <w:spacing w:val="-61"/>
        </w:rPr>
        <w:t> </w:t>
      </w:r>
      <w:r>
        <w:rPr>
          <w:spacing w:val="-61"/>
        </w:rPr>
      </w:r>
      <w:r>
        <w:rPr/>
        <w:t>计入当期损益。</w:t>
      </w:r>
    </w:p>
    <w:p>
      <w:pPr>
        <w:pStyle w:val="Heading5"/>
        <w:spacing w:line="285" w:lineRule="auto" w:before="132"/>
        <w:ind w:right="1133" w:firstLine="420"/>
        <w:jc w:val="both"/>
      </w:pPr>
      <w:r>
        <w:rPr/>
        <w:t>资产负债表日，对递延所得税资产的账面价值进行复核，如果未来很可能无法获得足够的应纳税所得额用</w:t>
      </w:r>
      <w:r>
        <w:rPr>
          <w:w w:val="100"/>
        </w:rPr>
        <w:t> </w:t>
      </w:r>
      <w:r>
        <w:rPr/>
        <w:t>以抵扣递延所得税资产的利益，则减记递延所得税资产的账面价值。在很可能获得足够的应纳税所得额时，减</w:t>
      </w:r>
      <w:r>
        <w:rPr>
          <w:spacing w:val="-65"/>
        </w:rPr>
        <w:t> </w:t>
      </w:r>
      <w:r>
        <w:rPr>
          <w:spacing w:val="-65"/>
        </w:rPr>
      </w:r>
      <w:r>
        <w:rPr/>
        <w:t>记的金额予以转回。</w:t>
      </w:r>
    </w:p>
    <w:p>
      <w:pPr>
        <w:pStyle w:val="Heading5"/>
        <w:spacing w:line="285" w:lineRule="auto" w:before="132"/>
        <w:ind w:right="1133" w:firstLine="420"/>
        <w:jc w:val="both"/>
      </w:pPr>
      <w:r>
        <w:rPr/>
        <w:t>当拥有以净额结算的法定权利，且意图以净额结算或取得资产、清偿负债同时进行时，本公司当期所得税</w:t>
      </w:r>
      <w:r>
        <w:rPr>
          <w:w w:val="100"/>
        </w:rPr>
        <w:t> </w:t>
      </w:r>
      <w:r>
        <w:rPr/>
        <w:t>资产及当期所得税负债以抵销后的净额列报。</w:t>
      </w:r>
    </w:p>
    <w:p>
      <w:pPr>
        <w:spacing w:after="0" w:line="285" w:lineRule="auto"/>
        <w:jc w:val="both"/>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85" w:lineRule="auto" w:before="38"/>
        <w:ind w:right="1133" w:firstLine="420"/>
        <w:jc w:val="both"/>
      </w:pPr>
      <w:r>
        <w:rPr/>
        <w:t>当拥有以净额结算当期所得税资产及当期所得税负债的法定权利，且递延所得税资产及递延所得税负债是</w:t>
      </w:r>
      <w:r>
        <w:rPr>
          <w:w w:val="100"/>
        </w:rPr>
        <w:t> </w:t>
      </w:r>
      <w:r>
        <w:rPr/>
        <w:t>与同一税收征管部门对同一纳税主体征收的所得税相关或者是对不同的纳税主体相关，但在未来每一具有重要</w:t>
      </w:r>
      <w:r>
        <w:rPr>
          <w:spacing w:val="-63"/>
        </w:rPr>
        <w:t> </w:t>
      </w:r>
      <w:r>
        <w:rPr>
          <w:spacing w:val="-63"/>
        </w:rPr>
      </w:r>
      <w:r>
        <w:rPr/>
        <w:t>性的递延所得税资产及负债转回的期间内，涉及的纳税主体意图以净额结算当期所得税资产和负债或是同时取</w:t>
      </w:r>
      <w:r>
        <w:rPr>
          <w:spacing w:val="-65"/>
        </w:rPr>
        <w:t> </w:t>
      </w:r>
      <w:r>
        <w:rPr>
          <w:spacing w:val="-65"/>
        </w:rPr>
      </w:r>
      <w:r>
        <w:rPr/>
        <w:t>得资产、清偿负债时，递延所得税资产及递延所得税负债以抵销后的净额列报。</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bookmarkStart w:name="31、租赁" w:id="216"/>
      <w:bookmarkEnd w:id="216"/>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04" w:right="0"/>
        <w:jc w:val="left"/>
      </w:pPr>
      <w:bookmarkStart w:name="1. 经营租赁的会计处理方法" w:id="217"/>
      <w:bookmarkEnd w:id="217"/>
      <w:r>
        <w:rPr/>
      </w: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经营租赁的会计处理方法</w:t>
      </w:r>
    </w:p>
    <w:p>
      <w:pPr>
        <w:spacing w:line="240" w:lineRule="auto" w:before="0"/>
        <w:rPr>
          <w:rFonts w:ascii="宋体" w:hAnsi="宋体" w:cs="宋体" w:eastAsia="宋体" w:hint="default"/>
          <w:sz w:val="18"/>
          <w:szCs w:val="18"/>
        </w:rPr>
      </w:pPr>
    </w:p>
    <w:p>
      <w:pPr>
        <w:pStyle w:val="BodyText"/>
        <w:spacing w:line="300" w:lineRule="auto" w:before="127"/>
        <w:ind w:right="1123" w:firstLine="360"/>
        <w:jc w:val="left"/>
      </w:pPr>
      <w:r>
        <w:rPr/>
        <w:t>（</w:t>
      </w:r>
      <w:r>
        <w:rPr>
          <w:rFonts w:ascii="Times New Roman" w:hAnsi="Times New Roman" w:cs="Times New Roman" w:eastAsia="Times New Roman" w:hint="default"/>
        </w:rPr>
        <w:t>1</w:t>
      </w:r>
      <w:r>
        <w:rPr/>
        <w:t>）租入资产所支付的租赁费，在不扣除免租期的整个租赁期内，按直线法进行分摊，计入当期费用。支付的与租赁 交易相关的初始直接费用，计入当期费用。</w:t>
      </w:r>
    </w:p>
    <w:p>
      <w:pPr>
        <w:pStyle w:val="BodyText"/>
        <w:spacing w:line="316" w:lineRule="auto" w:before="151"/>
        <w:ind w:right="1123" w:firstLine="450"/>
        <w:jc w:val="left"/>
      </w:pPr>
      <w:r>
        <w:rPr/>
        <w:t>资产出租方承担了应由承担的与租赁相关的费用时，将该部分费用从租金总额中扣除，按扣除后的租金费用在租赁期 内分摊，计入当期费用。</w:t>
      </w:r>
    </w:p>
    <w:p>
      <w:pPr>
        <w:pStyle w:val="BodyText"/>
        <w:spacing w:line="309" w:lineRule="auto" w:before="139"/>
        <w:ind w:right="1131" w:firstLine="360"/>
        <w:jc w:val="both"/>
      </w:pPr>
      <w:r>
        <w:rPr/>
        <w:t>（</w:t>
      </w:r>
      <w:r>
        <w:rPr>
          <w:rFonts w:ascii="Times New Roman" w:hAnsi="Times New Roman" w:cs="Times New Roman" w:eastAsia="Times New Roman" w:hint="default"/>
        </w:rPr>
        <w:t>2</w:t>
      </w:r>
      <w:r>
        <w:rPr/>
        <w:t>）出租资产所收取的租赁费，在不扣除免租期的整个租赁期内，按直线法进行分摊，确认为租赁收入。支付的与租 </w:t>
      </w:r>
      <w:r>
        <w:rPr>
          <w:spacing w:val="-2"/>
        </w:rPr>
        <w:t>赁交易相关的初始直接费用，计入当期费用；如金额较大的，则予以资本化，在整个租赁期间内按照与租赁收入确认相同的</w:t>
      </w:r>
      <w:r>
        <w:rPr>
          <w:spacing w:val="-66"/>
        </w:rPr>
        <w:t> </w:t>
      </w:r>
      <w:r>
        <w:rPr>
          <w:spacing w:val="-66"/>
        </w:rPr>
      </w:r>
      <w:r>
        <w:rPr/>
        <w:t>基础分期计入当期收益。</w:t>
      </w:r>
    </w:p>
    <w:p>
      <w:pPr>
        <w:pStyle w:val="BodyText"/>
        <w:spacing w:line="316" w:lineRule="auto" w:before="144"/>
        <w:ind w:left="154" w:right="1118" w:firstLine="360"/>
        <w:jc w:val="left"/>
      </w:pPr>
      <w:r>
        <w:rPr>
          <w:spacing w:val="-2"/>
        </w:rPr>
        <w:t>承担了应由承租方承担的与租赁相关的费用时，将该部分费用从租金收入总额中扣除，按扣除后的租金费用在租赁期内</w:t>
      </w:r>
      <w:r>
        <w:rPr/>
        <w:t> 分配。</w:t>
      </w:r>
    </w:p>
    <w:p>
      <w:pPr>
        <w:spacing w:line="240" w:lineRule="auto" w:before="6"/>
        <w:rPr>
          <w:rFonts w:ascii="宋体" w:hAnsi="宋体" w:cs="宋体" w:eastAsia="宋体" w:hint="default"/>
          <w:sz w:val="24"/>
          <w:szCs w:val="24"/>
        </w:rPr>
      </w:pPr>
    </w:p>
    <w:p>
      <w:pPr>
        <w:pStyle w:val="BodyText"/>
        <w:spacing w:line="240" w:lineRule="auto"/>
        <w:ind w:left="604" w:right="0"/>
        <w:jc w:val="left"/>
      </w:pPr>
      <w:bookmarkStart w:name="2. 融资租赁的会计处理方法" w:id="218"/>
      <w:bookmarkEnd w:id="218"/>
      <w:r>
        <w:rPr/>
      </w: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融资租赁的会计处理方法</w:t>
      </w:r>
    </w:p>
    <w:p>
      <w:pPr>
        <w:spacing w:line="240" w:lineRule="auto" w:before="0"/>
        <w:rPr>
          <w:rFonts w:ascii="宋体" w:hAnsi="宋体" w:cs="宋体" w:eastAsia="宋体" w:hint="default"/>
          <w:sz w:val="18"/>
          <w:szCs w:val="18"/>
        </w:rPr>
      </w:pPr>
    </w:p>
    <w:p>
      <w:pPr>
        <w:pStyle w:val="BodyText"/>
        <w:spacing w:line="300" w:lineRule="auto" w:before="127"/>
        <w:ind w:right="1123" w:firstLine="36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BodyText"/>
        <w:spacing w:line="316" w:lineRule="auto" w:before="151"/>
        <w:ind w:right="1118" w:firstLine="360"/>
        <w:jc w:val="left"/>
      </w:pPr>
      <w:r>
        <w:rPr>
          <w:spacing w:val="-2"/>
        </w:rPr>
        <w:t>采用实际利率法对未确认的融资费用，在资产租赁期间内摊销，计入财务费用。公司发生的初始直接费用，计入租入资</w:t>
      </w:r>
      <w:r>
        <w:rPr/>
        <w:t> 产价值。</w:t>
      </w:r>
    </w:p>
    <w:p>
      <w:pPr>
        <w:pStyle w:val="BodyText"/>
        <w:spacing w:line="309" w:lineRule="auto" w:before="139"/>
        <w:ind w:left="154" w:right="0" w:firstLine="360"/>
        <w:jc w:val="left"/>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12"/>
        <w:rPr>
          <w:rFonts w:ascii="宋体" w:hAnsi="宋体" w:cs="宋体" w:eastAsia="宋体" w:hint="default"/>
          <w:sz w:val="22"/>
          <w:szCs w:val="22"/>
        </w:rPr>
      </w:pPr>
    </w:p>
    <w:p>
      <w:pPr>
        <w:pStyle w:val="Heading3"/>
        <w:spacing w:line="240" w:lineRule="auto"/>
        <w:ind w:left="154" w:right="0"/>
        <w:jc w:val="left"/>
        <w:rPr>
          <w:b w:val="0"/>
          <w:bCs w:val="0"/>
        </w:rPr>
      </w:pPr>
      <w:bookmarkStart w:name="32、其他重要的会计政策和会计估计" w:id="219"/>
      <w:bookmarkEnd w:id="21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left="573" w:right="13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终止经营 终止经营，是指满足下列条件之一的、能够单独区分的组成部分，且该组成部分已经处置或划分为持有待售类别：</w:t>
      </w:r>
    </w:p>
    <w:p>
      <w:pPr>
        <w:pStyle w:val="BodyText"/>
        <w:spacing w:line="240" w:lineRule="auto" w:before="65"/>
        <w:ind w:left="514"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spacing w:line="240" w:lineRule="auto" w:before="13"/>
        <w:rPr>
          <w:rFonts w:ascii="宋体" w:hAnsi="宋体" w:cs="宋体" w:eastAsia="宋体" w:hint="default"/>
          <w:sz w:val="13"/>
          <w:szCs w:val="13"/>
        </w:rPr>
      </w:pPr>
    </w:p>
    <w:p>
      <w:pPr>
        <w:pStyle w:val="BodyText"/>
        <w:spacing w:line="427" w:lineRule="auto"/>
        <w:ind w:left="514" w:right="5797"/>
        <w:jc w:val="left"/>
      </w:pPr>
      <w:r>
        <w:rPr/>
        <w:t>（</w:t>
      </w:r>
      <w:r>
        <w:rPr>
          <w:rFonts w:ascii="Times New Roman" w:hAnsi="Times New Roman" w:cs="Times New Roman" w:eastAsia="Times New Roman" w:hint="default"/>
        </w:rPr>
        <w:t>3</w:t>
      </w:r>
      <w:r>
        <w:rPr/>
        <w:t>）该组成部分是专为转售而取得的子公司。 符合持有待售的资产的会计处理见本附注四、（十三）。 </w:t>
      </w: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附回购条件的资产转让</w:t>
      </w:r>
    </w:p>
    <w:p>
      <w:pPr>
        <w:pStyle w:val="BodyText"/>
        <w:spacing w:line="316" w:lineRule="auto" w:before="27"/>
        <w:ind w:left="154" w:right="0" w:firstLine="360"/>
        <w:jc w:val="left"/>
      </w:pPr>
      <w:r>
        <w:rPr>
          <w:spacing w:val="-2"/>
        </w:rPr>
        <w:t>销售产品或转让其他资产时，与购买方签订了所销售的产品或转让资产回购协议，根据协议条款判断销售商品是否满足</w:t>
      </w:r>
      <w:r>
        <w:rPr/>
        <w:t> </w:t>
      </w:r>
      <w:r>
        <w:rPr>
          <w:spacing w:val="-2"/>
        </w:rPr>
        <w:t>收入确认条件。如售后回购属于融资交易，则在交付产品或资产时，不确认销售收入。回购价款大于销售价款的差额，在回</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购期间按期计提利息，计入财务费用。</w:t>
      </w:r>
    </w:p>
    <w:p>
      <w:pPr>
        <w:spacing w:line="240" w:lineRule="auto" w:before="0"/>
        <w:rPr>
          <w:rFonts w:ascii="宋体" w:hAnsi="宋体" w:cs="宋体" w:eastAsia="宋体" w:hint="default"/>
          <w:sz w:val="15"/>
          <w:szCs w:val="15"/>
        </w:rPr>
      </w:pPr>
    </w:p>
    <w:p>
      <w:pPr>
        <w:pStyle w:val="BodyText"/>
        <w:spacing w:line="415" w:lineRule="auto"/>
        <w:ind w:left="513" w:right="2833" w:firstLine="8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股份回购 为减少注册资本或奖励本公司职工等原因而收购本公司股份时，按实际支付的金额记入库存股。</w:t>
      </w:r>
    </w:p>
    <w:p>
      <w:pPr>
        <w:pStyle w:val="BodyText"/>
        <w:spacing w:line="316" w:lineRule="auto" w:before="65"/>
        <w:ind w:right="0" w:firstLine="360"/>
        <w:jc w:val="left"/>
      </w:pPr>
      <w:r>
        <w:rPr>
          <w:spacing w:val="-2"/>
        </w:rPr>
        <w:t>根据以权益结算的股份支付协议将收购的股份奖励给本公司职工时，按奖励库存股账面余额与职工所支付现金及授予权</w:t>
      </w:r>
      <w:r>
        <w:rPr/>
        <w:t> 益工具时确认的资本公积之间的差额，计入资本公积（股本溢价）。</w:t>
      </w:r>
    </w:p>
    <w:p>
      <w:pPr>
        <w:pStyle w:val="BodyText"/>
        <w:spacing w:line="240" w:lineRule="auto" w:before="139"/>
        <w:ind w:left="513" w:right="0"/>
        <w:jc w:val="left"/>
      </w:pPr>
      <w:r>
        <w:rPr/>
        <w:t>注销库存股时，按所注销库存股面值总额注销股本，按所注销库存股的账面余额，冲减库存股，按其差额冲减资本公积</w:t>
      </w:r>
    </w:p>
    <w:p>
      <w:pPr>
        <w:pStyle w:val="BodyText"/>
        <w:spacing w:line="240" w:lineRule="auto" w:before="76"/>
        <w:ind w:right="0"/>
        <w:jc w:val="left"/>
      </w:pPr>
      <w:r>
        <w:rPr/>
        <w:t>（股本溢价），股本溢价不足冲减的，调整留存收益。</w:t>
      </w:r>
    </w:p>
    <w:p>
      <w:pPr>
        <w:spacing w:line="240" w:lineRule="auto" w:before="0"/>
        <w:rPr>
          <w:rFonts w:ascii="宋体" w:hAnsi="宋体" w:cs="宋体" w:eastAsia="宋体" w:hint="default"/>
          <w:sz w:val="15"/>
          <w:szCs w:val="15"/>
        </w:rPr>
      </w:pPr>
    </w:p>
    <w:p>
      <w:pPr>
        <w:pStyle w:val="BodyText"/>
        <w:spacing w:line="240" w:lineRule="auto"/>
        <w:ind w:left="599"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持有待售的非流动资产及处置组</w:t>
      </w:r>
    </w:p>
    <w:p>
      <w:pPr>
        <w:spacing w:line="240" w:lineRule="auto" w:before="13"/>
        <w:rPr>
          <w:rFonts w:ascii="宋体" w:hAnsi="宋体" w:cs="宋体" w:eastAsia="宋体" w:hint="default"/>
          <w:sz w:val="13"/>
          <w:szCs w:val="13"/>
        </w:rPr>
      </w:pPr>
    </w:p>
    <w:p>
      <w:pPr>
        <w:pStyle w:val="BodyText"/>
        <w:spacing w:line="422" w:lineRule="auto"/>
        <w:ind w:left="513" w:right="4453" w:hanging="5"/>
        <w:jc w:val="left"/>
      </w:pPr>
      <w:r>
        <w:rPr/>
        <w:t>（</w:t>
      </w:r>
      <w:r>
        <w:rPr>
          <w:rFonts w:ascii="Times New Roman" w:hAnsi="Times New Roman" w:cs="Times New Roman" w:eastAsia="Times New Roman" w:hint="default"/>
        </w:rPr>
        <w:t>1</w:t>
      </w:r>
      <w:r>
        <w:rPr/>
        <w:t>）持有待售的非流动资产及处置组标准 将同时符合下列条件的非流动资产确认为持有待售的非流动资产及处置组： </w:t>
      </w:r>
      <w:r>
        <w:rPr>
          <w:rFonts w:ascii="Times New Roman" w:hAnsi="Times New Roman" w:cs="Times New Roman" w:eastAsia="Times New Roman" w:hint="default"/>
        </w:rPr>
        <w:t>a. </w:t>
      </w:r>
      <w:r>
        <w:rPr/>
        <w:t>公司已就该资产出售事项作出决议； </w:t>
      </w:r>
      <w:r>
        <w:rPr>
          <w:rFonts w:ascii="Times New Roman" w:hAnsi="Times New Roman" w:cs="Times New Roman" w:eastAsia="Times New Roman" w:hint="default"/>
        </w:rPr>
        <w:t>b.</w:t>
      </w:r>
      <w:r>
        <w:rPr/>
        <w:t>公司已与对方签订了不可撤消的转让协议； </w:t>
      </w:r>
      <w:r>
        <w:rPr>
          <w:rFonts w:ascii="Times New Roman" w:hAnsi="Times New Roman" w:cs="Times New Roman" w:eastAsia="Times New Roman" w:hint="default"/>
        </w:rPr>
        <w:t>c.</w:t>
      </w:r>
      <w:r>
        <w:rPr/>
        <w:t>该资产转让将在一年内完成。</w:t>
      </w:r>
    </w:p>
    <w:p>
      <w:pPr>
        <w:pStyle w:val="BodyText"/>
        <w:spacing w:line="240" w:lineRule="auto" w:before="31"/>
        <w:ind w:left="419" w:right="0"/>
        <w:jc w:val="left"/>
      </w:pPr>
      <w:r>
        <w:rPr/>
        <w:t>（</w:t>
      </w:r>
      <w:r>
        <w:rPr>
          <w:rFonts w:ascii="Times New Roman" w:hAnsi="Times New Roman" w:cs="Times New Roman" w:eastAsia="Times New Roman" w:hint="default"/>
        </w:rPr>
        <w:t>2</w:t>
      </w:r>
      <w:r>
        <w:rPr/>
        <w:t>）有待售的非流动资产及处置组的会计处理方法</w:t>
      </w:r>
    </w:p>
    <w:p>
      <w:pPr>
        <w:spacing w:line="240" w:lineRule="auto" w:before="13"/>
        <w:rPr>
          <w:rFonts w:ascii="宋体" w:hAnsi="宋体" w:cs="宋体" w:eastAsia="宋体" w:hint="default"/>
          <w:sz w:val="13"/>
          <w:szCs w:val="13"/>
        </w:rPr>
      </w:pPr>
    </w:p>
    <w:p>
      <w:pPr>
        <w:pStyle w:val="BodyText"/>
        <w:spacing w:line="300" w:lineRule="auto"/>
        <w:ind w:right="1128" w:firstLine="420"/>
        <w:jc w:val="both"/>
      </w:pPr>
      <w:r>
        <w:rPr/>
        <w:t>符合持有待售条件的非流动资产被划分为持有待售的非流动资产及被划分为持有待售的处置组中的资产</w:t>
      </w:r>
      <w:r>
        <w:rPr>
          <w:spacing w:val="48"/>
        </w:rPr>
        <w:t> </w:t>
      </w:r>
      <w:r>
        <w:rPr>
          <w:rFonts w:ascii="Times New Roman" w:hAnsi="Times New Roman" w:cs="Times New Roman" w:eastAsia="Times New Roman" w:hint="default"/>
        </w:rPr>
        <w:t>(</w:t>
      </w:r>
      <w:r>
        <w:rPr/>
        <w:t>不包括金融 资产及递延所得税资产</w:t>
      </w:r>
      <w:r>
        <w:rPr>
          <w:rFonts w:ascii="Times New Roman" w:hAnsi="Times New Roman" w:cs="Times New Roman" w:eastAsia="Times New Roman" w:hint="default"/>
        </w:rPr>
        <w:t>)</w:t>
      </w:r>
      <w:r>
        <w:rPr/>
        <w:t>，不计提折旧或进行摊销，以账面价值与公允价值减去处置费用孰低的金额列示。公允价值减去处</w:t>
      </w:r>
      <w:r>
        <w:rPr>
          <w:spacing w:val="-53"/>
        </w:rPr>
        <w:t> </w:t>
      </w:r>
      <w:r>
        <w:rPr>
          <w:spacing w:val="-53"/>
        </w:rPr>
      </w:r>
      <w:r>
        <w:rPr/>
        <w:t>置费用低于原账面价值的金额，确认为资产减值损失。</w:t>
      </w:r>
    </w:p>
    <w:p>
      <w:pPr>
        <w:pStyle w:val="BodyText"/>
        <w:spacing w:line="432" w:lineRule="exact" w:before="16"/>
        <w:ind w:left="574" w:right="1032"/>
        <w:jc w:val="left"/>
      </w:pPr>
      <w:r>
        <w:rPr>
          <w:rFonts w:ascii="Times New Roman" w:hAnsi="Times New Roman" w:cs="Times New Roman" w:eastAsia="Times New Roman" w:hint="default"/>
        </w:rPr>
        <w:t>5. </w:t>
      </w:r>
      <w:r>
        <w:rPr/>
        <w:t>关联方 </w:t>
      </w:r>
      <w:r>
        <w:rPr>
          <w:spacing w:val="-2"/>
        </w:rPr>
        <w:t>一方控制、共同控制另一方或对另一方施加重大影响，以及两方或两方以上同受一方控制、共同控制的，构成关联方。</w:t>
      </w:r>
    </w:p>
    <w:p>
      <w:pPr>
        <w:pStyle w:val="BodyText"/>
        <w:spacing w:line="439" w:lineRule="auto" w:before="15"/>
        <w:ind w:left="573" w:right="3193" w:hanging="420"/>
        <w:jc w:val="left"/>
      </w:pPr>
      <w:r>
        <w:rPr/>
        <w:t>关联方可为个人或企业。仅仅同受国家控制而不存在其他关联方关系的企业，不构成的关联方。 本公司关联方包括但不限于：</w:t>
      </w:r>
    </w:p>
    <w:p>
      <w:pPr>
        <w:pStyle w:val="BodyText"/>
        <w:spacing w:line="240" w:lineRule="auto" w:before="47"/>
        <w:ind w:left="513" w:right="0"/>
        <w:jc w:val="left"/>
      </w:pPr>
      <w:r>
        <w:rPr/>
        <w:t>（</w:t>
      </w:r>
      <w:r>
        <w:rPr>
          <w:rFonts w:ascii="宋体" w:hAnsi="宋体" w:cs="宋体" w:eastAsia="宋体" w:hint="default"/>
        </w:rPr>
        <w:t>1</w:t>
      </w:r>
      <w:r>
        <w:rPr/>
        <w:t>）母公司；</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w:t>
      </w:r>
      <w:r>
        <w:rPr>
          <w:rFonts w:ascii="宋体" w:hAnsi="宋体" w:cs="宋体" w:eastAsia="宋体" w:hint="default"/>
        </w:rPr>
        <w:t>2</w:t>
      </w:r>
      <w:r>
        <w:rPr/>
        <w:t>）子公司；</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w:t>
      </w:r>
      <w:r>
        <w:rPr>
          <w:rFonts w:ascii="宋体" w:hAnsi="宋体" w:cs="宋体" w:eastAsia="宋体" w:hint="default"/>
        </w:rPr>
        <w:t>3</w:t>
      </w:r>
      <w:r>
        <w:rPr/>
        <w:t>）受同一母公司控制的其他企业；</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w:t>
      </w:r>
      <w:r>
        <w:rPr>
          <w:rFonts w:ascii="宋体" w:hAnsi="宋体" w:cs="宋体" w:eastAsia="宋体" w:hint="default"/>
        </w:rPr>
        <w:t>4</w:t>
      </w:r>
      <w:r>
        <w:rPr/>
        <w:t>）实施共同控制的投资方；</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w:t>
      </w:r>
      <w:r>
        <w:rPr>
          <w:rFonts w:ascii="宋体" w:hAnsi="宋体" w:cs="宋体" w:eastAsia="宋体" w:hint="default"/>
        </w:rPr>
        <w:t>5</w:t>
      </w:r>
      <w:r>
        <w:rPr/>
        <w:t>）施加重大影响的投资方；</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w:t>
      </w:r>
      <w:r>
        <w:rPr>
          <w:rFonts w:ascii="宋体" w:hAnsi="宋体" w:cs="宋体" w:eastAsia="宋体" w:hint="default"/>
        </w:rPr>
        <w:t>6</w:t>
      </w:r>
      <w:r>
        <w:rPr/>
        <w:t>）合营企业，包括合营企业的子公司；</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w:t>
      </w:r>
      <w:r>
        <w:rPr>
          <w:rFonts w:ascii="宋体" w:hAnsi="宋体" w:cs="宋体" w:eastAsia="宋体" w:hint="default"/>
        </w:rPr>
        <w:t>7</w:t>
      </w:r>
      <w:r>
        <w:rPr/>
        <w:t>）联营企业，包括联营企业的子公司；</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w:t>
      </w:r>
      <w:r>
        <w:rPr>
          <w:rFonts w:ascii="宋体" w:hAnsi="宋体" w:cs="宋体" w:eastAsia="宋体" w:hint="default"/>
        </w:rPr>
        <w:t>8</w:t>
      </w:r>
      <w:r>
        <w:rPr/>
        <w:t>）主要投资者个人及与其关系密切的家庭成员 ；</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w:t>
      </w:r>
      <w:r>
        <w:rPr>
          <w:rFonts w:ascii="宋体" w:hAnsi="宋体" w:cs="宋体" w:eastAsia="宋体" w:hint="default"/>
        </w:rPr>
        <w:t>9</w:t>
      </w:r>
      <w:r>
        <w:rPr/>
        <w:t>）本公司或其母公司的关键管理人员及与其关系密切的家庭成员；</w:t>
      </w:r>
    </w:p>
    <w:p>
      <w:pPr>
        <w:spacing w:line="240" w:lineRule="auto" w:before="1"/>
        <w:rPr>
          <w:rFonts w:ascii="宋体" w:hAnsi="宋体" w:cs="宋体" w:eastAsia="宋体" w:hint="default"/>
          <w:sz w:val="15"/>
          <w:szCs w:val="15"/>
        </w:rPr>
      </w:pPr>
    </w:p>
    <w:p>
      <w:pPr>
        <w:pStyle w:val="BodyText"/>
        <w:spacing w:line="240" w:lineRule="auto"/>
        <w:ind w:left="513" w:right="0"/>
        <w:jc w:val="left"/>
      </w:pPr>
      <w:r>
        <w:rPr/>
        <w:t>（</w:t>
      </w:r>
      <w:r>
        <w:rPr>
          <w:rFonts w:ascii="宋体" w:hAnsi="宋体" w:cs="宋体" w:eastAsia="宋体" w:hint="default"/>
        </w:rPr>
        <w:t>10</w:t>
      </w:r>
      <w:r>
        <w:rPr/>
        <w:t>）本公司主要投资者个人、关键管理人员或与其关系密切的家庭成员控制、共同控制的其他企业。</w:t>
      </w:r>
    </w:p>
    <w:p>
      <w:pPr>
        <w:spacing w:line="240" w:lineRule="auto" w:before="0"/>
        <w:rPr>
          <w:rFonts w:ascii="宋体" w:hAnsi="宋体" w:cs="宋体" w:eastAsia="宋体" w:hint="default"/>
          <w:sz w:val="15"/>
          <w:szCs w:val="15"/>
        </w:rPr>
      </w:pPr>
    </w:p>
    <w:p>
      <w:pPr>
        <w:pStyle w:val="BodyText"/>
        <w:spacing w:line="316" w:lineRule="auto"/>
        <w:ind w:left="513" w:right="1033"/>
        <w:jc w:val="left"/>
      </w:pPr>
      <w:r>
        <w:rPr/>
        <w:t>除上述按照企业会计准则的有关要求被确定为本公司的关联方以外，根据证监会颁布的《上市公司信息披露管理办法》 的要求，以下企业或个人  </w:t>
      </w:r>
      <w:r>
        <w:rPr>
          <w:rFonts w:ascii="宋体" w:hAnsi="宋体" w:cs="宋体" w:eastAsia="宋体" w:hint="default"/>
        </w:rPr>
        <w:t>(</w:t>
      </w:r>
      <w:r>
        <w:rPr/>
        <w:t>包括但不限于</w:t>
      </w:r>
      <w:r>
        <w:rPr>
          <w:rFonts w:ascii="宋体" w:hAnsi="宋体" w:cs="宋体" w:eastAsia="宋体" w:hint="default"/>
        </w:rPr>
        <w:t>)  </w:t>
      </w:r>
      <w:r>
        <w:rPr/>
        <w:t>也属于本公司的关联方：</w:t>
      </w:r>
    </w:p>
    <w:p>
      <w:pPr>
        <w:pStyle w:val="BodyText"/>
        <w:spacing w:line="240" w:lineRule="auto" w:before="139"/>
        <w:ind w:left="513" w:right="0"/>
        <w:jc w:val="left"/>
      </w:pPr>
      <w:r>
        <w:rPr/>
        <w:t>（</w:t>
      </w:r>
      <w:r>
        <w:rPr>
          <w:rFonts w:ascii="宋体" w:hAnsi="宋体" w:cs="宋体" w:eastAsia="宋体" w:hint="default"/>
        </w:rPr>
        <w:t>1</w:t>
      </w:r>
      <w:r>
        <w:rPr/>
        <w:t>）持有本公司</w:t>
      </w:r>
      <w:r>
        <w:rPr>
          <w:rFonts w:ascii="宋体" w:hAnsi="宋体" w:cs="宋体" w:eastAsia="宋体" w:hint="default"/>
        </w:rPr>
        <w:t>5%</w:t>
      </w:r>
      <w:r>
        <w:rPr/>
        <w:t>以上股份的企业或者一致行动人；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4" w:right="1118" w:firstLine="360"/>
        <w:jc w:val="left"/>
      </w:pPr>
      <w:r>
        <w:rPr/>
        <w:t>（</w:t>
      </w:r>
      <w:r>
        <w:rPr>
          <w:rFonts w:ascii="宋体" w:hAnsi="宋体" w:cs="宋体" w:eastAsia="宋体" w:hint="default"/>
        </w:rPr>
        <w:t>2</w:t>
      </w:r>
      <w:r>
        <w:rPr/>
        <w:t>）直接或者间接持有本公司</w:t>
      </w:r>
      <w:r>
        <w:rPr>
          <w:rFonts w:ascii="宋体" w:hAnsi="宋体" w:cs="宋体" w:eastAsia="宋体" w:hint="default"/>
        </w:rPr>
        <w:t>5%</w:t>
      </w:r>
      <w:r>
        <w:rPr>
          <w:rFonts w:ascii="宋体" w:hAnsi="宋体" w:cs="宋体" w:eastAsia="宋体" w:hint="default"/>
          <w:spacing w:val="8"/>
        </w:rPr>
        <w:t> </w:t>
      </w:r>
      <w:r>
        <w:rPr/>
        <w:t>以上股份的个人及与其关系密切的家庭成员，上市公司监事及与其关系密切的家庭 成员；</w:t>
      </w:r>
    </w:p>
    <w:p>
      <w:pPr>
        <w:pStyle w:val="BodyText"/>
        <w:spacing w:line="240" w:lineRule="auto" w:before="139"/>
        <w:ind w:left="514" w:right="0"/>
        <w:jc w:val="left"/>
      </w:pPr>
      <w:r>
        <w:rPr/>
        <w:t>（</w:t>
      </w:r>
      <w:r>
        <w:rPr>
          <w:rFonts w:ascii="宋体" w:hAnsi="宋体" w:cs="宋体" w:eastAsia="宋体" w:hint="default"/>
        </w:rPr>
        <w:t>3</w:t>
      </w:r>
      <w:r>
        <w:rPr/>
        <w:t>）在过去</w:t>
      </w:r>
      <w:r>
        <w:rPr>
          <w:rFonts w:ascii="宋体" w:hAnsi="宋体" w:cs="宋体" w:eastAsia="宋体" w:hint="default"/>
        </w:rPr>
        <w:t>12</w:t>
      </w:r>
      <w:r>
        <w:rPr/>
        <w:t>个月内或者根据相关协议安排在未来</w:t>
      </w:r>
      <w:r>
        <w:rPr>
          <w:rFonts w:ascii="宋体" w:hAnsi="宋体" w:cs="宋体" w:eastAsia="宋体" w:hint="default"/>
        </w:rPr>
        <w:t>12</w:t>
      </w:r>
      <w:r>
        <w:rPr/>
        <w:t>月内，存在上述第</w:t>
      </w:r>
      <w:r>
        <w:rPr>
          <w:rFonts w:ascii="宋体" w:hAnsi="宋体" w:cs="宋体" w:eastAsia="宋体" w:hint="default"/>
        </w:rPr>
        <w:t>1</w:t>
      </w:r>
      <w:r>
        <w:rPr/>
        <w:t>、</w:t>
      </w:r>
      <w:r>
        <w:rPr>
          <w:rFonts w:ascii="宋体" w:hAnsi="宋体" w:cs="宋体" w:eastAsia="宋体" w:hint="default"/>
        </w:rPr>
        <w:t>3</w:t>
      </w:r>
      <w:r>
        <w:rPr/>
        <w:t>和</w:t>
      </w:r>
      <w:r>
        <w:rPr>
          <w:rFonts w:ascii="宋体" w:hAnsi="宋体" w:cs="宋体" w:eastAsia="宋体" w:hint="default"/>
        </w:rPr>
        <w:t>11</w:t>
      </w:r>
      <w:r>
        <w:rPr/>
        <w:t>项情形之一的企业；</w:t>
      </w:r>
    </w:p>
    <w:p>
      <w:pPr>
        <w:spacing w:line="240" w:lineRule="auto" w:before="1"/>
        <w:rPr>
          <w:rFonts w:ascii="宋体" w:hAnsi="宋体" w:cs="宋体" w:eastAsia="宋体" w:hint="default"/>
          <w:sz w:val="15"/>
          <w:szCs w:val="15"/>
        </w:rPr>
      </w:pPr>
    </w:p>
    <w:p>
      <w:pPr>
        <w:pStyle w:val="BodyText"/>
        <w:spacing w:line="240" w:lineRule="auto"/>
        <w:ind w:left="513" w:right="0"/>
        <w:jc w:val="left"/>
      </w:pPr>
      <w:r>
        <w:rPr/>
        <w:t>（</w:t>
      </w:r>
      <w:r>
        <w:rPr>
          <w:rFonts w:ascii="宋体" w:hAnsi="宋体" w:cs="宋体" w:eastAsia="宋体" w:hint="default"/>
        </w:rPr>
        <w:t>4</w:t>
      </w:r>
      <w:r>
        <w:rPr/>
        <w:t>）在过去</w:t>
      </w:r>
      <w:r>
        <w:rPr>
          <w:rFonts w:ascii="宋体" w:hAnsi="宋体" w:cs="宋体" w:eastAsia="宋体" w:hint="default"/>
        </w:rPr>
        <w:t>12</w:t>
      </w:r>
      <w:r>
        <w:rPr/>
        <w:t>个月内或者根据相关协议安排在未来</w:t>
      </w:r>
      <w:r>
        <w:rPr>
          <w:rFonts w:ascii="宋体" w:hAnsi="宋体" w:cs="宋体" w:eastAsia="宋体" w:hint="default"/>
        </w:rPr>
        <w:t>12</w:t>
      </w:r>
      <w:r>
        <w:rPr/>
        <w:t>月内，存在上述第</w:t>
      </w:r>
      <w:r>
        <w:rPr>
          <w:rFonts w:ascii="宋体" w:hAnsi="宋体" w:cs="宋体" w:eastAsia="宋体" w:hint="default"/>
        </w:rPr>
        <w:t>9</w:t>
      </w:r>
      <w:r>
        <w:rPr/>
        <w:t>、</w:t>
      </w:r>
      <w:r>
        <w:rPr>
          <w:rFonts w:ascii="宋体" w:hAnsi="宋体" w:cs="宋体" w:eastAsia="宋体" w:hint="default"/>
        </w:rPr>
        <w:t>12</w:t>
      </w:r>
      <w:r>
        <w:rPr/>
        <w:t>项情形之一的个人；</w:t>
      </w:r>
    </w:p>
    <w:p>
      <w:pPr>
        <w:spacing w:line="240" w:lineRule="auto" w:before="0"/>
        <w:rPr>
          <w:rFonts w:ascii="宋体" w:hAnsi="宋体" w:cs="宋体" w:eastAsia="宋体" w:hint="default"/>
          <w:sz w:val="15"/>
          <w:szCs w:val="15"/>
        </w:rPr>
      </w:pPr>
    </w:p>
    <w:p>
      <w:pPr>
        <w:pStyle w:val="BodyText"/>
        <w:spacing w:line="316" w:lineRule="auto"/>
        <w:ind w:right="1118" w:firstLine="360"/>
        <w:jc w:val="left"/>
      </w:pPr>
      <w:r>
        <w:rPr>
          <w:spacing w:val="-2"/>
        </w:rPr>
        <w:t>（</w:t>
      </w:r>
      <w:r>
        <w:rPr>
          <w:rFonts w:ascii="宋体" w:hAnsi="宋体" w:cs="宋体" w:eastAsia="宋体" w:hint="default"/>
          <w:spacing w:val="-2"/>
        </w:rPr>
        <w:t>5</w:t>
      </w:r>
      <w:r>
        <w:rPr>
          <w:spacing w:val="-2"/>
        </w:rPr>
        <w:t>）由上述第</w:t>
      </w:r>
      <w:r>
        <w:rPr>
          <w:rFonts w:ascii="宋体" w:hAnsi="宋体" w:cs="宋体" w:eastAsia="宋体" w:hint="default"/>
          <w:spacing w:val="-2"/>
        </w:rPr>
        <w:t>9</w:t>
      </w:r>
      <w:r>
        <w:rPr>
          <w:spacing w:val="-2"/>
        </w:rPr>
        <w:t>、</w:t>
      </w:r>
      <w:r>
        <w:rPr>
          <w:rFonts w:ascii="宋体" w:hAnsi="宋体" w:cs="宋体" w:eastAsia="宋体" w:hint="default"/>
          <w:spacing w:val="-2"/>
        </w:rPr>
        <w:t>12</w:t>
      </w:r>
      <w:r>
        <w:rPr>
          <w:spacing w:val="-2"/>
        </w:rPr>
        <w:t>和</w:t>
      </w:r>
      <w:r>
        <w:rPr>
          <w:rFonts w:ascii="宋体" w:hAnsi="宋体" w:cs="宋体" w:eastAsia="宋体" w:hint="default"/>
          <w:spacing w:val="-2"/>
        </w:rPr>
        <w:t>14</w:t>
      </w:r>
      <w:r>
        <w:rPr>
          <w:spacing w:val="-2"/>
        </w:rPr>
        <w:t>项直接或者间接控制的、或者担任董事、高级管理人员的，除本公司及其控股子公司以外的企</w:t>
      </w:r>
      <w:r>
        <w:rPr/>
        <w:t> 业。</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33、重要会计政策和会计估计变更" w:id="220"/>
      <w:bookmarkEnd w:id="22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bookmarkStart w:name="1. 重要会计政策变更" w:id="221"/>
      <w:bookmarkEnd w:id="221"/>
      <w:r>
        <w:rPr/>
      </w: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重要会计政策变更</w:t>
      </w:r>
    </w:p>
    <w:p>
      <w:pPr>
        <w:spacing w:line="240" w:lineRule="auto" w:before="0"/>
        <w:rPr>
          <w:rFonts w:ascii="宋体" w:hAnsi="宋体" w:cs="宋体" w:eastAsia="宋体" w:hint="default"/>
          <w:sz w:val="18"/>
          <w:szCs w:val="18"/>
        </w:rPr>
      </w:pPr>
    </w:p>
    <w:p>
      <w:pPr>
        <w:pStyle w:val="BodyText"/>
        <w:spacing w:line="240" w:lineRule="auto" w:before="128"/>
        <w:ind w:left="5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00" w:lineRule="auto"/>
        <w:ind w:right="1123" w:firstLine="360"/>
        <w:jc w:val="left"/>
      </w:pPr>
      <w:r>
        <w:rPr/>
        <w:t>（</w:t>
      </w:r>
      <w:r>
        <w:rPr>
          <w:rFonts w:ascii="Times New Roman" w:hAnsi="Times New Roman" w:cs="Times New Roman" w:eastAsia="Times New Roman" w:hint="default"/>
        </w:rPr>
        <w:t>1</w:t>
      </w:r>
      <w:r>
        <w:rPr/>
        <w:t>）执行《企业会计准则第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持有待售的非流动资产、处置组和终止经营》和《企业会计准则第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 补助》。</w:t>
      </w:r>
    </w:p>
    <w:p>
      <w:pPr>
        <w:pStyle w:val="BodyText"/>
        <w:spacing w:line="240" w:lineRule="auto" w:before="151"/>
        <w:ind w:left="804" w:right="0"/>
        <w:jc w:val="left"/>
      </w:pPr>
      <w:r>
        <w:rPr/>
        <w:t>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p>
    <w:p>
      <w:pPr>
        <w:pStyle w:val="BodyText"/>
        <w:spacing w:line="240" w:lineRule="auto" w:before="63"/>
        <w:ind w:right="0"/>
        <w:jc w:val="left"/>
      </w:pPr>
      <w:r>
        <w:rPr>
          <w:rFonts w:ascii="Times New Roman" w:hAnsi="Times New Roman" w:cs="Times New Roman" w:eastAsia="Times New Roman" w:hint="default"/>
        </w:rPr>
        <w:t>28</w:t>
      </w:r>
      <w:r>
        <w:rPr/>
        <w:t>日起施行，对于施行日存在的持有待售的非流动资产、处置组和终止经营，要求采用未来适用法处理。</w:t>
      </w:r>
    </w:p>
    <w:p>
      <w:pPr>
        <w:spacing w:line="240" w:lineRule="auto" w:before="13"/>
        <w:rPr>
          <w:rFonts w:ascii="宋体" w:hAnsi="宋体" w:cs="宋体" w:eastAsia="宋体" w:hint="default"/>
          <w:sz w:val="13"/>
          <w:szCs w:val="13"/>
        </w:rPr>
      </w:pPr>
    </w:p>
    <w:p>
      <w:pPr>
        <w:pStyle w:val="BodyText"/>
        <w:spacing w:line="300" w:lineRule="auto"/>
        <w:ind w:right="1132" w:firstLine="650"/>
        <w:jc w:val="both"/>
      </w:pPr>
      <w:r>
        <w:rPr>
          <w:spacing w:val="-2"/>
        </w:rPr>
        <w:t>财政部于</w:t>
      </w:r>
      <w:r>
        <w:rPr>
          <w:rFonts w:ascii="Times New Roman" w:hAnsi="Times New Roman" w:cs="Times New Roman" w:eastAsia="Times New Roman" w:hint="default"/>
          <w:spacing w:val="-2"/>
        </w:rPr>
        <w:t>2017</w:t>
      </w:r>
      <w:r>
        <w:rPr>
          <w:spacing w:val="-2"/>
        </w:rPr>
        <w:t>年度修订了《企业会计准则第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政府补助》，修订后的准则自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日起施行，对于</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日存在的政府补助，要求采用未来适用法处理；对于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日至施行日新增的政府补助，也要求按照修订后的准</w:t>
      </w:r>
      <w:r>
        <w:rPr>
          <w:spacing w:val="-58"/>
        </w:rPr>
        <w:t> </w:t>
      </w:r>
      <w:r>
        <w:rPr>
          <w:spacing w:val="-58"/>
        </w:rPr>
      </w:r>
      <w:r>
        <w:rPr/>
        <w:t>则进行调整。</w:t>
      </w:r>
    </w:p>
    <w:p>
      <w:pPr>
        <w:pStyle w:val="BodyText"/>
        <w:spacing w:line="300" w:lineRule="auto" w:before="151"/>
        <w:ind w:left="154" w:right="1132" w:firstLine="649"/>
        <w:jc w:val="both"/>
      </w:pPr>
      <w:r>
        <w:rPr/>
        <w:t>根据《财政部关于修订印发一般企业财务报表格式的通知》（财会</w:t>
      </w:r>
      <w:r>
        <w:rPr>
          <w:rFonts w:ascii="Times New Roman" w:hAnsi="Times New Roman" w:cs="Times New Roman" w:eastAsia="Times New Roman" w:hint="default"/>
        </w:rPr>
        <w:t>[2017]30</w:t>
      </w:r>
      <w:r>
        <w:rPr/>
        <w:t>号），将原归集于营业外收入、营业外 支出的非流动资产处置损益调整至资产处置收益单独列报。</w:t>
      </w:r>
      <w:r>
        <w:rPr>
          <w:rFonts w:ascii="Times New Roman" w:hAnsi="Times New Roman" w:cs="Times New Roman" w:eastAsia="Times New Roman" w:hint="default"/>
        </w:rPr>
        <w:t>2017</w:t>
      </w:r>
      <w:r>
        <w:rPr/>
        <w:t>年度的比较财务报表按新口径追溯调整。</w:t>
      </w:r>
    </w:p>
    <w:p>
      <w:pPr>
        <w:pStyle w:val="BodyText"/>
        <w:spacing w:line="240" w:lineRule="auto" w:before="133"/>
        <w:ind w:left="804" w:right="0"/>
        <w:jc w:val="left"/>
      </w:pPr>
      <w:r>
        <w:rPr/>
        <w:t>会计政策变更对公司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日合并财务报表的影响项目及金额如下：</w:t>
      </w:r>
    </w:p>
    <w:p>
      <w:pPr>
        <w:spacing w:line="240" w:lineRule="auto" w:before="8"/>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3119"/>
        <w:gridCol w:w="6522"/>
      </w:tblGrid>
      <w:tr>
        <w:trPr>
          <w:trHeight w:val="336" w:hRule="exact"/>
        </w:trPr>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65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受影响的金额</w:t>
            </w:r>
            <w:r>
              <w:rPr>
                <w:rFonts w:ascii="宋体" w:hAnsi="宋体" w:cs="宋体" w:eastAsia="宋体" w:hint="default"/>
                <w:sz w:val="20"/>
                <w:szCs w:val="20"/>
              </w:rPr>
            </w:r>
          </w:p>
        </w:tc>
      </w:tr>
      <w:tr>
        <w:trPr>
          <w:trHeight w:val="352" w:hRule="exact"/>
        </w:trPr>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left="2" w:right="0"/>
              <w:jc w:val="left"/>
              <w:rPr>
                <w:rFonts w:ascii="宋体" w:hAnsi="宋体" w:cs="宋体" w:eastAsia="宋体" w:hint="default"/>
                <w:sz w:val="20"/>
                <w:szCs w:val="20"/>
              </w:rPr>
            </w:pPr>
            <w:r>
              <w:rPr>
                <w:rFonts w:ascii="宋体" w:hAnsi="宋体" w:cs="宋体" w:eastAsia="宋体" w:hint="default"/>
                <w:sz w:val="20"/>
                <w:szCs w:val="20"/>
              </w:rPr>
              <w:t>其他收益</w:t>
            </w:r>
          </w:p>
        </w:tc>
        <w:tc>
          <w:tcPr>
            <w:tcW w:w="6522"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64,997,636.30</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652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w:t>
            </w:r>
            <w:r>
              <w:rPr>
                <w:rFonts w:ascii="Times New Roman"/>
                <w:spacing w:val="-2"/>
                <w:sz w:val="20"/>
              </w:rPr>
              <w:t> </w:t>
            </w:r>
            <w:r>
              <w:rPr>
                <w:rFonts w:ascii="Times New Roman"/>
                <w:sz w:val="20"/>
              </w:rPr>
              <w:t>64,997,636.30</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本期资产处置收益</w:t>
            </w:r>
          </w:p>
        </w:tc>
        <w:tc>
          <w:tcPr>
            <w:tcW w:w="652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1,834,981.83</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本期营业外支出</w:t>
            </w:r>
          </w:p>
        </w:tc>
        <w:tc>
          <w:tcPr>
            <w:tcW w:w="652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-321,612.81</w:t>
            </w:r>
          </w:p>
        </w:tc>
      </w:tr>
      <w:tr>
        <w:trPr>
          <w:trHeight w:val="347" w:hRule="exact"/>
        </w:trPr>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本期营业外收入</w:t>
            </w:r>
          </w:p>
        </w:tc>
        <w:tc>
          <w:tcPr>
            <w:tcW w:w="652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-2,156,594.64</w:t>
            </w:r>
          </w:p>
        </w:tc>
      </w:tr>
      <w:tr>
        <w:trPr>
          <w:trHeight w:val="348" w:hRule="exact"/>
        </w:trPr>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上期资产处置收益</w:t>
            </w:r>
          </w:p>
        </w:tc>
        <w:tc>
          <w:tcPr>
            <w:tcW w:w="652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0.00</w:t>
            </w:r>
          </w:p>
        </w:tc>
      </w:tr>
    </w:tbl>
    <w:p>
      <w:pPr>
        <w:spacing w:line="240" w:lineRule="auto" w:before="8"/>
        <w:rPr>
          <w:rFonts w:ascii="宋体" w:hAnsi="宋体" w:cs="宋体" w:eastAsia="宋体" w:hint="default"/>
          <w:sz w:val="19"/>
          <w:szCs w:val="19"/>
        </w:rPr>
      </w:pPr>
    </w:p>
    <w:p>
      <w:pPr>
        <w:pStyle w:val="Heading5"/>
        <w:spacing w:line="240" w:lineRule="auto" w:before="38"/>
        <w:ind w:left="553" w:right="0"/>
        <w:jc w:val="left"/>
      </w:pPr>
      <w:bookmarkStart w:name="2. 重要会计估计变更" w:id="222"/>
      <w:bookmarkEnd w:id="222"/>
      <w:r>
        <w:rPr/>
      </w: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重要会计估计变更</w:t>
      </w:r>
    </w:p>
    <w:p>
      <w:pPr>
        <w:spacing w:line="240" w:lineRule="auto" w:before="12"/>
        <w:rPr>
          <w:rFonts w:ascii="宋体" w:hAnsi="宋体" w:cs="宋体" w:eastAsia="宋体" w:hint="default"/>
          <w:sz w:val="26"/>
          <w:szCs w:val="26"/>
        </w:rPr>
      </w:pPr>
    </w:p>
    <w:p>
      <w:pPr>
        <w:pStyle w:val="BodyText"/>
        <w:spacing w:line="240" w:lineRule="auto"/>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bookmarkStart w:name="六、税项" w:id="223"/>
      <w:bookmarkEnd w:id="223"/>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66" w:right="0"/>
        <w:jc w:val="left"/>
        <w:rPr>
          <w:b w:val="0"/>
          <w:bCs w:val="0"/>
        </w:rPr>
      </w:pPr>
      <w:bookmarkStart w:name="1、主要税种及税率" w:id="224"/>
      <w:bookmarkEnd w:id="22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35"/>
        <w:gridCol w:w="3545"/>
        <w:gridCol w:w="746"/>
        <w:gridCol w:w="2444"/>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5"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89"/>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 为基础计算销项税额，在扣除当期允许抵扣 的进项税额后，差额部分为应交增值税</w:t>
            </w:r>
          </w:p>
        </w:tc>
        <w:tc>
          <w:tcPr>
            <w:tcW w:w="319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545" w:type="dxa"/>
            <w:vMerge/>
            <w:tcBorders>
              <w:left w:val="single" w:sz="9" w:space="0" w:color="D2D2D2"/>
              <w:right w:val="single" w:sz="4" w:space="0" w:color="000000"/>
            </w:tcBorders>
          </w:tcPr>
          <w:p>
            <w:pPr/>
          </w:p>
        </w:tc>
        <w:tc>
          <w:tcPr>
            <w:tcW w:w="3190" w:type="dxa"/>
            <w:gridSpan w:val="2"/>
            <w:vMerge/>
            <w:tcBorders>
              <w:left w:val="single" w:sz="4" w:space="0" w:color="000000"/>
              <w:right w:val="single" w:sz="4" w:space="0" w:color="000000"/>
            </w:tcBorders>
          </w:tcPr>
          <w:p>
            <w:pPr/>
          </w:p>
        </w:tc>
      </w:tr>
      <w:tr>
        <w:trPr>
          <w:trHeight w:val="317"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3545" w:type="dxa"/>
            <w:vMerge/>
            <w:tcBorders>
              <w:left w:val="single" w:sz="9" w:space="0" w:color="D2D2D2"/>
              <w:bottom w:val="single" w:sz="4" w:space="0" w:color="000000"/>
              <w:right w:val="single" w:sz="4" w:space="0" w:color="000000"/>
            </w:tcBorders>
          </w:tcPr>
          <w:p>
            <w:pPr/>
          </w:p>
        </w:tc>
        <w:tc>
          <w:tcPr>
            <w:tcW w:w="3190" w:type="dxa"/>
            <w:gridSpan w:val="2"/>
            <w:vMerge/>
            <w:tcBorders>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5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实缴增值税</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5"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29"/>
              <w:jc w:val="left"/>
              <w:rPr>
                <w:rFonts w:ascii="宋体" w:hAnsi="宋体" w:cs="宋体" w:eastAsia="宋体" w:hint="default"/>
                <w:sz w:val="18"/>
                <w:szCs w:val="18"/>
              </w:rPr>
            </w:pPr>
            <w:r>
              <w:rPr>
                <w:rFonts w:ascii="宋体" w:hAnsi="宋体" w:cs="宋体" w:eastAsia="宋体" w:hint="default"/>
                <w:sz w:val="18"/>
                <w:szCs w:val="18"/>
              </w:rPr>
              <w:t>母公司、公司所属子公司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北京东华合创科技 有限公司的应纳税所得额</w:t>
            </w:r>
          </w:p>
        </w:tc>
        <w:tc>
          <w:tcPr>
            <w:tcW w:w="3190"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2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545" w:type="dxa"/>
            <w:vMerge/>
            <w:tcBorders>
              <w:left w:val="single" w:sz="9" w:space="0" w:color="D2D2D2"/>
              <w:right w:val="single" w:sz="4" w:space="0" w:color="000000"/>
            </w:tcBorders>
          </w:tcPr>
          <w:p>
            <w:pPr/>
          </w:p>
        </w:tc>
        <w:tc>
          <w:tcPr>
            <w:tcW w:w="3190" w:type="dxa"/>
            <w:gridSpan w:val="2"/>
            <w:vMerge/>
            <w:tcBorders>
              <w:left w:val="single" w:sz="4" w:space="0" w:color="000000"/>
              <w:right w:val="single" w:sz="4" w:space="0" w:color="000000"/>
            </w:tcBorders>
          </w:tcPr>
          <w:p>
            <w:pPr/>
          </w:p>
        </w:tc>
      </w:tr>
      <w:tr>
        <w:trPr>
          <w:trHeight w:val="161"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3545" w:type="dxa"/>
            <w:vMerge/>
            <w:tcBorders>
              <w:left w:val="single" w:sz="9" w:space="0" w:color="D2D2D2"/>
              <w:bottom w:val="single" w:sz="4" w:space="0" w:color="000000"/>
              <w:right w:val="single" w:sz="4" w:space="0" w:color="000000"/>
            </w:tcBorders>
          </w:tcPr>
          <w:p>
            <w:pPr/>
          </w:p>
        </w:tc>
        <w:tc>
          <w:tcPr>
            <w:tcW w:w="3190" w:type="dxa"/>
            <w:gridSpan w:val="2"/>
            <w:vMerge/>
            <w:tcBorders>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实缴增值税</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实缴增值税</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r>
      <w:tr>
        <w:trPr>
          <w:trHeight w:val="2586" w:hRule="exact"/>
        </w:trPr>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公司所属子公司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泰安东华合创软件有限公 司、北京联银通科技有限公司、北京神州新 桥科技有限公司、东华软件工程有限公司、 北京威锐达测控系统有限公司、深圳市至高 通信技术发展有限公司、东华网络股份公司 公司所属孙公司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广东东华发思特软件有限公 司、西安锐益达风电技术有限公司的应纳税 所得额</w:t>
            </w:r>
          </w:p>
        </w:tc>
        <w:tc>
          <w:tcPr>
            <w:tcW w:w="7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4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683" w:right="0"/>
              <w:jc w:val="lef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公司所属子公司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北京东华合创香港有限公司 的应纳税所得额</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除上述公司外的其余公司的应纳税所得额</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b/>
          <w:bCs/>
          <w:sz w:val="19"/>
          <w:szCs w:val="19"/>
        </w:rPr>
      </w:pPr>
    </w:p>
    <w:p>
      <w:pPr>
        <w:pStyle w:val="Heading3"/>
        <w:spacing w:line="240" w:lineRule="auto" w:before="35"/>
        <w:ind w:left="566" w:right="0"/>
        <w:jc w:val="left"/>
        <w:rPr>
          <w:b w:val="0"/>
          <w:bCs w:val="0"/>
        </w:rPr>
      </w:pPr>
      <w:r>
        <w:rPr/>
        <w:pict>
          <v:group style="position:absolute;margin-left:375.940002pt;margin-top:-143.656326pt;width:159.050pt;height:74.850pt;mso-position-horizontal-relative:page;mso-position-vertical-relative:paragraph;z-index:-1041400" coordorigin="7519,-2873" coordsize="3181,1497">
            <v:group style="position:absolute;left:7530;top:-2862;width:2;height:393" coordorigin="7530,-2862" coordsize="2,393">
              <v:shape style="position:absolute;left:7530;top:-2862;width:2;height:393" coordorigin="7530,-2862" coordsize="0,393" path="m7530,-2862l7530,-2469e" filled="false" stroked="true" strokeweight="1.140pt" strokecolor="#ffffff">
                <v:path arrowok="t"/>
              </v:shape>
            </v:group>
            <v:group style="position:absolute;left:7519;top:-2469;width:3181;height:1093" coordorigin="7519,-2469" coordsize="3181,1093">
              <v:shape style="position:absolute;left:7519;top:-2469;width:3181;height:1093" coordorigin="7519,-2469" coordsize="3181,1093" path="m7519,-1377l10699,-1377,10699,-2469,7519,-2469,7519,-1377xe" filled="true" fillcolor="#ffffff" stroked="false">
                <v:path arrowok="t"/>
                <v:fill type="solid"/>
              </v:shape>
            </v:group>
            <v:group style="position:absolute;left:7542;top:-2862;width:3135;height:393" coordorigin="7542,-2862" coordsize="3135,393">
              <v:shape style="position:absolute;left:7542;top:-2862;width:3135;height:393" coordorigin="7542,-2862" coordsize="3135,393" path="m7542,-2469l10676,-2469,10676,-2862,7542,-2862,7542,-2469xe" filled="true" fillcolor="#ffffff" stroked="false">
                <v:path arrowok="t"/>
                <v:fill type="solid"/>
              </v:shape>
            </v:group>
            <w10:wrap type="none"/>
          </v:group>
        </w:pict>
      </w: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3" w:right="0"/>
        <w:jc w:val="left"/>
      </w:pPr>
      <w:r>
        <w:rPr>
          <w:rFonts w:ascii="Times New Roman" w:hAnsi="Times New Roman" w:cs="Times New Roman" w:eastAsia="Times New Roman" w:hint="default"/>
        </w:rPr>
        <w:t>1.  </w:t>
      </w:r>
      <w:r>
        <w:rPr/>
        <w:t>增值税</w:t>
      </w:r>
    </w:p>
    <w:p>
      <w:pPr>
        <w:spacing w:line="240" w:lineRule="auto" w:before="13"/>
        <w:rPr>
          <w:rFonts w:ascii="宋体" w:hAnsi="宋体" w:cs="宋体" w:eastAsia="宋体" w:hint="default"/>
          <w:sz w:val="13"/>
          <w:szCs w:val="13"/>
        </w:rPr>
      </w:pPr>
    </w:p>
    <w:p>
      <w:pPr>
        <w:pStyle w:val="BodyText"/>
        <w:spacing w:line="300" w:lineRule="auto"/>
        <w:ind w:left="154" w:right="0" w:firstLine="411"/>
        <w:jc w:val="left"/>
      </w:pPr>
      <w:r>
        <w:rPr>
          <w:spacing w:val="-2"/>
        </w:rPr>
        <w:t>（</w:t>
      </w:r>
      <w:r>
        <w:rPr>
          <w:rFonts w:ascii="Times New Roman" w:hAnsi="Times New Roman" w:cs="Times New Roman" w:eastAsia="Times New Roman" w:hint="default"/>
          <w:spacing w:val="-2"/>
        </w:rPr>
        <w:t>1</w:t>
      </w:r>
      <w:r>
        <w:rPr>
          <w:spacing w:val="-2"/>
        </w:rPr>
        <w:t>）根据财税</w:t>
      </w:r>
      <w:r>
        <w:rPr>
          <w:rFonts w:ascii="Times New Roman" w:hAnsi="Times New Roman" w:cs="Times New Roman" w:eastAsia="Times New Roman" w:hint="default"/>
          <w:spacing w:val="-2"/>
        </w:rPr>
        <w:t>[2013]106</w:t>
      </w:r>
      <w:r>
        <w:rPr>
          <w:spacing w:val="-2"/>
        </w:rPr>
        <w:t>号文件《营业税改征增值税试点过渡政策的规定》，试点纳税人提供技术转让、技术开发和与</w:t>
      </w:r>
      <w:r>
        <w:rPr/>
        <w:t> 之相关的技术咨询、技术服务免征增值税。公司及所属子公司从事上述业务取得的收入免征增值税。</w:t>
      </w:r>
    </w:p>
    <w:p>
      <w:pPr>
        <w:pStyle w:val="BodyText"/>
        <w:spacing w:line="302" w:lineRule="auto" w:before="91"/>
        <w:ind w:right="1039" w:firstLine="411"/>
        <w:jc w:val="left"/>
      </w:pPr>
      <w:r>
        <w:rPr/>
        <w:t>（</w:t>
      </w:r>
      <w:r>
        <w:rPr>
          <w:rFonts w:ascii="Times New Roman" w:hAnsi="Times New Roman" w:cs="Times New Roman" w:eastAsia="Times New Roman" w:hint="default"/>
        </w:rPr>
        <w:t>2</w:t>
      </w:r>
      <w:r>
        <w:rPr/>
        <w:t>）依据国务院下发的《国务院关于印发进一步鼓励软件产业和集成电路产业发展若干政策的通知》（国发</w:t>
      </w:r>
      <w:r>
        <w:rPr>
          <w:rFonts w:ascii="Times New Roman" w:hAnsi="Times New Roman" w:cs="Times New Roman" w:eastAsia="Times New Roman" w:hint="default"/>
        </w:rPr>
        <w:t>[2011]4 </w:t>
      </w:r>
      <w:r>
        <w:rPr>
          <w:spacing w:val="-8"/>
        </w:rPr>
        <w:t>号）的规定，以及财政部、国家税务总局联合下发的《财政部、国家税务总局关于软件产品增值税政策的通知》（财税</w:t>
      </w:r>
      <w:r>
        <w:rPr>
          <w:rFonts w:ascii="Times New Roman" w:hAnsi="Times New Roman" w:cs="Times New Roman" w:eastAsia="Times New Roman" w:hint="default"/>
          <w:spacing w:val="-8"/>
        </w:rPr>
        <w:t>[2011]100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号）的规定，自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日起，公司及公司的所属子公司</w:t>
      </w:r>
      <w:r>
        <w:rPr>
          <w:rFonts w:ascii="Times New Roman" w:hAnsi="Times New Roman" w:cs="Times New Roman" w:eastAsia="Times New Roman" w:hint="default"/>
        </w:rPr>
        <w:t>-</w:t>
      </w:r>
      <w:r>
        <w:rPr/>
        <w:t>北京东华合创科技有限公司、东华软件工程有限公司、泰安东 </w:t>
      </w:r>
      <w:r>
        <w:rPr>
          <w:spacing w:val="-2"/>
        </w:rPr>
        <w:t>华合创软件有限公司、北京东华信息技术有限公司、西安东华软件有限公司、北京联银通科技有限公司、北京东华厚盾软件</w:t>
      </w:r>
      <w:r>
        <w:rPr>
          <w:spacing w:val="-66"/>
        </w:rPr>
        <w:t> </w:t>
      </w:r>
      <w:r>
        <w:rPr>
          <w:spacing w:val="-66"/>
        </w:rPr>
      </w:r>
      <w:r>
        <w:rPr>
          <w:spacing w:val="-1"/>
        </w:rPr>
        <w:t>有限公司、东华合创软件有限公司、深圳市至高通信技术发展有限公司，公司所属孙子公司</w:t>
      </w:r>
      <w:r>
        <w:rPr>
          <w:rFonts w:ascii="Times New Roman" w:hAnsi="Times New Roman" w:cs="Times New Roman" w:eastAsia="Times New Roman" w:hint="default"/>
          <w:spacing w:val="-1"/>
        </w:rPr>
        <w:t>-</w:t>
      </w:r>
      <w:r>
        <w:rPr>
          <w:spacing w:val="-1"/>
        </w:rPr>
        <w:t>西安锐益达风电技术有限公司、</w:t>
      </w:r>
      <w:r>
        <w:rPr>
          <w:spacing w:val="-85"/>
        </w:rPr>
        <w:t> </w:t>
      </w:r>
      <w:r>
        <w:rPr/>
        <w:t>广东东华发思特软件有限公司等公司销售自行开发生产的软件产品，按</w:t>
      </w:r>
      <w:r>
        <w:rPr>
          <w:rFonts w:ascii="Times New Roman" w:hAnsi="Times New Roman" w:cs="Times New Roman" w:eastAsia="Times New Roman" w:hint="default"/>
        </w:rPr>
        <w:t>17%</w:t>
      </w:r>
      <w:r>
        <w:rPr/>
        <w:t>的法定税率征收增值税后，享受增值税实际税负 超过</w:t>
      </w:r>
      <w:r>
        <w:rPr>
          <w:rFonts w:ascii="Times New Roman" w:hAnsi="Times New Roman" w:cs="Times New Roman" w:eastAsia="Times New Roman" w:hint="default"/>
        </w:rPr>
        <w:t>3%</w:t>
      </w:r>
      <w:r>
        <w:rPr/>
        <w:t>的部分实行即征即退的优惠政策。</w:t>
      </w:r>
    </w:p>
    <w:p>
      <w:pPr>
        <w:pStyle w:val="BodyText"/>
        <w:spacing w:line="240" w:lineRule="auto" w:before="70"/>
        <w:ind w:left="565" w:right="0"/>
        <w:jc w:val="left"/>
      </w:pPr>
      <w:r>
        <w:rPr>
          <w:rFonts w:ascii="Times New Roman" w:hAnsi="Times New Roman" w:cs="Times New Roman" w:eastAsia="Times New Roman" w:hint="default"/>
        </w:rPr>
        <w:t>2.  </w:t>
      </w:r>
      <w:r>
        <w:rPr/>
        <w:t>企业所得税</w:t>
      </w:r>
    </w:p>
    <w:p>
      <w:pPr>
        <w:pStyle w:val="BodyText"/>
        <w:spacing w:line="300" w:lineRule="auto" w:before="123"/>
        <w:ind w:right="1130" w:firstLine="411"/>
        <w:jc w:val="both"/>
      </w:pPr>
      <w:r>
        <w:rPr>
          <w:spacing w:val="-1"/>
        </w:rPr>
        <w:t>（</w:t>
      </w:r>
      <w:r>
        <w:rPr>
          <w:rFonts w:ascii="Times New Roman" w:hAnsi="Times New Roman" w:cs="Times New Roman" w:eastAsia="Times New Roman" w:hint="default"/>
          <w:spacing w:val="-1"/>
        </w:rPr>
        <w:t>1</w:t>
      </w:r>
      <w:r>
        <w:rPr>
          <w:spacing w:val="-1"/>
        </w:rPr>
        <w:t>）公司通过了</w:t>
      </w:r>
      <w:r>
        <w:rPr>
          <w:rFonts w:ascii="Times New Roman" w:hAnsi="Times New Roman" w:cs="Times New Roman" w:eastAsia="Times New Roman" w:hint="default"/>
          <w:spacing w:val="-1"/>
        </w:rPr>
        <w:t>2017</w:t>
      </w:r>
      <w:r>
        <w:rPr>
          <w:spacing w:val="-1"/>
        </w:rPr>
        <w:t>年高新技术企业复审，并收到北京市科学技术委员会、北京市财政局、北京市国家税务局、北京</w:t>
      </w:r>
      <w:r>
        <w:rPr/>
        <w:t> 市地方税务局联合下发的高新技术企业证书，证书编号：</w:t>
      </w:r>
      <w:r>
        <w:rPr>
          <w:rFonts w:ascii="Times New Roman" w:hAnsi="Times New Roman" w:cs="Times New Roman" w:eastAsia="Times New Roman" w:hint="default"/>
        </w:rPr>
        <w:t>GR201711004108</w:t>
      </w:r>
      <w:r>
        <w:rPr>
          <w:rFonts w:ascii="Times New Roman" w:hAnsi="Times New Roman" w:cs="Times New Roman" w:eastAsia="Times New Roman" w:hint="default"/>
          <w:spacing w:val="-13"/>
        </w:rPr>
        <w:t> </w:t>
      </w:r>
      <w:r>
        <w:rPr/>
        <w:t>，有效期三年。根据相关规定，通过高新技术企 </w:t>
      </w:r>
      <w:r>
        <w:rPr>
          <w:spacing w:val="-2"/>
        </w:rPr>
        <w:t>业复审后，自</w:t>
      </w:r>
      <w:r>
        <w:rPr>
          <w:rFonts w:ascii="Times New Roman" w:hAnsi="Times New Roman" w:cs="Times New Roman" w:eastAsia="Times New Roman" w:hint="default"/>
          <w:spacing w:val="-2"/>
        </w:rPr>
        <w:t>2017</w:t>
      </w:r>
      <w:r>
        <w:rPr>
          <w:spacing w:val="-2"/>
        </w:rPr>
        <w:t>年起，连续三年继续享受国家关于高新技术企业的相关优惠政策。另外，公司已经进行</w:t>
      </w:r>
      <w:r>
        <w:rPr>
          <w:rFonts w:ascii="Times New Roman" w:hAnsi="Times New Roman" w:cs="Times New Roman" w:eastAsia="Times New Roman" w:hint="default"/>
          <w:spacing w:val="-2"/>
        </w:rPr>
        <w:t>2017</w:t>
      </w:r>
      <w:r>
        <w:rPr>
          <w:spacing w:val="-2"/>
        </w:rPr>
        <w:t>年度国家规划</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布局内重点软件企业企业所得税优惠事项备案，根据《财政部、国家税务总局关于企业所得税若干优惠政策的通知》（财税</w:t>
      </w:r>
    </w:p>
    <w:p>
      <w:pPr>
        <w:pStyle w:val="BodyText"/>
        <w:spacing w:line="240" w:lineRule="auto" w:before="76"/>
        <w:ind w:right="0"/>
        <w:jc w:val="left"/>
      </w:pPr>
      <w:r>
        <w:rPr>
          <w:rFonts w:ascii="Times New Roman" w:hAnsi="Times New Roman" w:cs="Times New Roman" w:eastAsia="Times New Roman" w:hint="default"/>
        </w:rPr>
        <w:t>[2008]1</w:t>
      </w:r>
      <w:r>
        <w:rPr/>
        <w:t>号）的规定，公司</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10%</w:t>
      </w:r>
      <w:r>
        <w:rPr/>
        <w:t>的税率缴纳企业所得税。</w:t>
      </w:r>
    </w:p>
    <w:p>
      <w:pPr>
        <w:pStyle w:val="BodyText"/>
        <w:spacing w:line="300" w:lineRule="auto" w:before="123"/>
        <w:ind w:right="0" w:firstLine="411"/>
        <w:jc w:val="left"/>
      </w:pPr>
      <w:r>
        <w:rPr/>
        <w:t>（</w:t>
      </w:r>
      <w:r>
        <w:rPr>
          <w:rFonts w:ascii="Times New Roman" w:hAnsi="Times New Roman" w:cs="Times New Roman" w:eastAsia="Times New Roman" w:hint="default"/>
        </w:rPr>
        <w:t>2</w:t>
      </w:r>
      <w:r>
        <w:rPr/>
        <w:t>）公司所属子公司</w:t>
      </w:r>
      <w:r>
        <w:rPr>
          <w:rFonts w:ascii="Times New Roman" w:hAnsi="Times New Roman" w:cs="Times New Roman" w:eastAsia="Times New Roman" w:hint="default"/>
        </w:rPr>
        <w:t>-</w:t>
      </w:r>
      <w:r>
        <w:rPr/>
        <w:t>北京东华合创科技有限公司通过了</w:t>
      </w:r>
      <w:r>
        <w:rPr>
          <w:rFonts w:ascii="Times New Roman" w:hAnsi="Times New Roman" w:cs="Times New Roman" w:eastAsia="Times New Roman" w:hint="default"/>
        </w:rPr>
        <w:t>2017</w:t>
      </w:r>
      <w:r>
        <w:rPr/>
        <w:t>年高新技术企业复审，并收到北京市科学技术委员会、 北京市财政局、北京市国家税务局、北京市地方税务局联合下发的高新技术企业证书，证书编号：</w:t>
      </w:r>
      <w:r>
        <w:rPr>
          <w:rFonts w:ascii="Times New Roman" w:hAnsi="Times New Roman" w:cs="Times New Roman" w:eastAsia="Times New Roman" w:hint="default"/>
        </w:rPr>
        <w:t>GR201711003671</w:t>
      </w:r>
      <w:r>
        <w:rPr>
          <w:rFonts w:ascii="Times New Roman" w:hAnsi="Times New Roman" w:cs="Times New Roman" w:eastAsia="Times New Roman" w:hint="default"/>
          <w:spacing w:val="12"/>
        </w:rPr>
        <w:t> </w:t>
      </w:r>
      <w:r>
        <w:rPr>
          <w:spacing w:val="-3"/>
        </w:rPr>
        <w:t>，有效</w:t>
      </w:r>
      <w:r>
        <w:rPr/>
        <w:t> </w:t>
      </w:r>
      <w:r>
        <w:rPr>
          <w:spacing w:val="-4"/>
        </w:rPr>
        <w:t>期三年。根据相关规定，通过高新技术企业复审后，自</w:t>
      </w:r>
      <w:r>
        <w:rPr>
          <w:rFonts w:ascii="Times New Roman" w:hAnsi="Times New Roman" w:cs="Times New Roman" w:eastAsia="Times New Roman" w:hint="default"/>
          <w:spacing w:val="-4"/>
        </w:rPr>
        <w:t>2017</w:t>
      </w:r>
      <w:r>
        <w:rPr>
          <w:spacing w:val="-4"/>
        </w:rPr>
        <w:t>年起，连续三年继续享受国家关于高新技术企业的相关优惠政策。</w:t>
      </w:r>
      <w:r>
        <w:rPr>
          <w:spacing w:val="-38"/>
        </w:rPr>
        <w:t> </w:t>
      </w:r>
      <w:r>
        <w:rPr>
          <w:spacing w:val="-38"/>
        </w:rPr>
      </w:r>
      <w:r>
        <w:rPr>
          <w:spacing w:val="-2"/>
        </w:rPr>
        <w:t>另外，公司已经进行</w:t>
      </w:r>
      <w:r>
        <w:rPr>
          <w:rFonts w:ascii="Times New Roman" w:hAnsi="Times New Roman" w:cs="Times New Roman" w:eastAsia="Times New Roman" w:hint="default"/>
          <w:spacing w:val="-2"/>
        </w:rPr>
        <w:t>2017</w:t>
      </w:r>
      <w:r>
        <w:rPr>
          <w:spacing w:val="-2"/>
        </w:rPr>
        <w:t>年度国家规划布局内重点软件企业企业所得税优惠事项备案，根据《财政部、国家税务总局关于企</w:t>
      </w:r>
      <w:r>
        <w:rPr>
          <w:spacing w:val="-62"/>
        </w:rPr>
        <w:t> </w:t>
      </w:r>
      <w:r>
        <w:rPr>
          <w:spacing w:val="-62"/>
        </w:rPr>
      </w:r>
      <w:r>
        <w:rPr/>
        <w:t>业所得税若干优惠政策的通知》（财税</w:t>
      </w:r>
      <w:r>
        <w:rPr>
          <w:rFonts w:ascii="Times New Roman" w:hAnsi="Times New Roman" w:cs="Times New Roman" w:eastAsia="Times New Roman" w:hint="default"/>
        </w:rPr>
        <w:t>[2008]1</w:t>
      </w:r>
      <w:r>
        <w:rPr/>
        <w:t>号）的规定，公司</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10%</w:t>
      </w:r>
      <w:r>
        <w:rPr/>
        <w:t>的税率缴纳企业所得税。</w:t>
      </w:r>
    </w:p>
    <w:p>
      <w:pPr>
        <w:pStyle w:val="BodyText"/>
        <w:spacing w:line="300" w:lineRule="auto" w:before="73"/>
        <w:ind w:right="1130" w:firstLine="411"/>
        <w:jc w:val="both"/>
      </w:pPr>
      <w:r>
        <w:rPr>
          <w:spacing w:val="-1"/>
        </w:rPr>
        <w:t>（</w:t>
      </w:r>
      <w:r>
        <w:rPr>
          <w:rFonts w:ascii="Times New Roman" w:hAnsi="Times New Roman" w:cs="Times New Roman" w:eastAsia="Times New Roman" w:hint="default"/>
          <w:spacing w:val="-1"/>
        </w:rPr>
        <w:t>3</w:t>
      </w:r>
      <w:r>
        <w:rPr>
          <w:spacing w:val="-1"/>
        </w:rPr>
        <w:t>）公司所属子公司</w:t>
      </w:r>
      <w:r>
        <w:rPr>
          <w:rFonts w:ascii="Times New Roman" w:hAnsi="Times New Roman" w:cs="Times New Roman" w:eastAsia="Times New Roman" w:hint="default"/>
          <w:spacing w:val="-1"/>
        </w:rPr>
        <w:t>-</w:t>
      </w:r>
      <w:r>
        <w:rPr>
          <w:spacing w:val="-1"/>
        </w:rPr>
        <w:t>西安东华软件有限公司于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19</w:t>
      </w:r>
      <w:r>
        <w:rPr>
          <w:spacing w:val="-1"/>
        </w:rPr>
        <w:t>日被认定为软件企业，根据《财政部、国家税务总局关于</w:t>
      </w:r>
      <w:r>
        <w:rPr/>
        <w:t> 企业所得税若干优惠政策的通知》（财税〔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w:t>
      </w:r>
      <w:r>
        <w:rPr/>
        <w:t>号）的规定，我国境内新办软件生产企业经认定后，自获利年度起，第 </w:t>
      </w:r>
      <w:r>
        <w:rPr>
          <w:spacing w:val="-2"/>
        </w:rPr>
        <w:t>一年和第二年免征企业所得税，第三年至第五年减半征收企业所得税。西安东华软件有限公司</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2017</w:t>
      </w:r>
      <w:r>
        <w:rPr>
          <w:spacing w:val="-2"/>
        </w:rPr>
        <w:t>年度减半征收企</w:t>
      </w:r>
      <w:r>
        <w:rPr>
          <w:spacing w:val="-55"/>
        </w:rPr>
        <w:t> </w:t>
      </w:r>
      <w:r>
        <w:rPr/>
        <w:t>业所得税。</w:t>
      </w:r>
    </w:p>
    <w:p>
      <w:pPr>
        <w:pStyle w:val="BodyText"/>
        <w:spacing w:line="300" w:lineRule="auto" w:before="91"/>
        <w:ind w:right="1130" w:firstLine="411"/>
        <w:jc w:val="both"/>
      </w:pPr>
      <w:r>
        <w:rPr>
          <w:spacing w:val="-1"/>
        </w:rPr>
        <w:t>（</w:t>
      </w:r>
      <w:r>
        <w:rPr>
          <w:rFonts w:ascii="Times New Roman" w:hAnsi="Times New Roman" w:cs="Times New Roman" w:eastAsia="Times New Roman" w:hint="default"/>
          <w:spacing w:val="-1"/>
        </w:rPr>
        <w:t>4</w:t>
      </w:r>
      <w:r>
        <w:rPr>
          <w:spacing w:val="-1"/>
        </w:rPr>
        <w:t>）公司所属子公司</w:t>
      </w:r>
      <w:r>
        <w:rPr>
          <w:rFonts w:ascii="Times New Roman" w:hAnsi="Times New Roman" w:cs="Times New Roman" w:eastAsia="Times New Roman" w:hint="default"/>
          <w:spacing w:val="-1"/>
        </w:rPr>
        <w:t>-</w:t>
      </w:r>
      <w:r>
        <w:rPr>
          <w:spacing w:val="-1"/>
        </w:rPr>
        <w:t>天津东华博雅软件股份有限公司于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日经天津市滨海高新技术产业开发区国家税务局</w:t>
      </w:r>
      <w:r>
        <w:rPr/>
        <w:t> </w:t>
      </w:r>
      <w:r>
        <w:rPr>
          <w:spacing w:val="-2"/>
        </w:rPr>
        <w:t>审核批准，享受新办软件企业</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日免征企业所得税，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日企业所得税</w:t>
      </w:r>
      <w:r>
        <w:rPr>
          <w:spacing w:val="-36"/>
        </w:rPr>
        <w:t> </w:t>
      </w:r>
      <w:r>
        <w:rPr/>
        <w:t>减半征收的优惠政策。</w:t>
      </w:r>
    </w:p>
    <w:p>
      <w:pPr>
        <w:pStyle w:val="BodyText"/>
        <w:spacing w:line="300" w:lineRule="auto" w:before="91"/>
        <w:ind w:right="1132" w:firstLine="411"/>
        <w:jc w:val="both"/>
      </w:pPr>
      <w:r>
        <w:rPr/>
        <w:t>（</w:t>
      </w:r>
      <w:r>
        <w:rPr>
          <w:rFonts w:ascii="Times New Roman" w:hAnsi="Times New Roman" w:cs="Times New Roman" w:eastAsia="Times New Roman" w:hint="default"/>
        </w:rPr>
        <w:t>5</w:t>
      </w:r>
      <w:r>
        <w:rPr/>
        <w:t>）公司所属孙公司</w:t>
      </w:r>
      <w:r>
        <w:rPr>
          <w:rFonts w:ascii="Times New Roman" w:hAnsi="Times New Roman" w:cs="Times New Roman" w:eastAsia="Times New Roman" w:hint="default"/>
        </w:rPr>
        <w:t>-</w:t>
      </w:r>
      <w:r>
        <w:rPr/>
        <w:t>西安锐益达风电技术有限公司于</w:t>
      </w:r>
      <w:r>
        <w:rPr>
          <w:rFonts w:ascii="Times New Roman" w:hAnsi="Times New Roman" w:cs="Times New Roman" w:eastAsia="Times New Roman" w:hint="default"/>
        </w:rPr>
        <w:t>2016</w:t>
      </w:r>
      <w:r>
        <w:rPr/>
        <w:t>年被认定为高新技术企业，并收到陕西省科学技术厅、陕 西省财政厅、陕西省国家税务局、陕西省地方税务局联合下发的高新技术企业证书，证书编号：</w:t>
      </w:r>
      <w:r>
        <w:rPr>
          <w:rFonts w:ascii="Times New Roman" w:hAnsi="Times New Roman" w:cs="Times New Roman" w:eastAsia="Times New Roman" w:hint="default"/>
        </w:rPr>
        <w:t>GR201661000005</w:t>
      </w:r>
      <w:r>
        <w:rPr/>
        <w:t>，有效期 </w:t>
      </w:r>
      <w:r>
        <w:rPr>
          <w:spacing w:val="-2"/>
        </w:rPr>
        <w:t>三年。根据相关规定，通过高新技术企业认定后，自</w:t>
      </w:r>
      <w:r>
        <w:rPr>
          <w:rFonts w:ascii="Times New Roman" w:hAnsi="Times New Roman" w:cs="Times New Roman" w:eastAsia="Times New Roman" w:hint="default"/>
          <w:spacing w:val="-2"/>
        </w:rPr>
        <w:t>2016</w:t>
      </w:r>
      <w:r>
        <w:rPr>
          <w:spacing w:val="-2"/>
        </w:rPr>
        <w:t>年起，连续三年享受国家关于高新技术企业的相关优惠政策，企业</w:t>
      </w:r>
      <w:r>
        <w:rPr>
          <w:spacing w:val="-62"/>
        </w:rPr>
        <w:t> </w:t>
      </w:r>
      <w:r>
        <w:rPr>
          <w:spacing w:val="-62"/>
        </w:rPr>
      </w:r>
      <w:r>
        <w:rPr/>
        <w:t>所得税按</w:t>
      </w:r>
      <w:r>
        <w:rPr>
          <w:rFonts w:ascii="Times New Roman" w:hAnsi="Times New Roman" w:cs="Times New Roman" w:eastAsia="Times New Roman" w:hint="default"/>
        </w:rPr>
        <w:t>15%</w:t>
      </w:r>
      <w:r>
        <w:rPr/>
        <w:t>的税率征收。</w:t>
      </w:r>
    </w:p>
    <w:p>
      <w:pPr>
        <w:pStyle w:val="BodyText"/>
        <w:spacing w:line="300" w:lineRule="auto" w:before="73"/>
        <w:ind w:right="0" w:firstLine="411"/>
        <w:jc w:val="left"/>
      </w:pPr>
      <w:r>
        <w:rPr/>
        <w:t>（</w:t>
      </w:r>
      <w:r>
        <w:rPr>
          <w:rFonts w:ascii="Times New Roman" w:hAnsi="Times New Roman" w:cs="Times New Roman" w:eastAsia="Times New Roman" w:hint="default"/>
        </w:rPr>
        <w:t>6</w:t>
      </w:r>
      <w:r>
        <w:rPr/>
        <w:t>）公司所属子公司</w:t>
      </w:r>
      <w:r>
        <w:rPr>
          <w:rFonts w:ascii="Times New Roman" w:hAnsi="Times New Roman" w:cs="Times New Roman" w:eastAsia="Times New Roman" w:hint="default"/>
        </w:rPr>
        <w:t>-</w:t>
      </w:r>
      <w:r>
        <w:rPr/>
        <w:t>泰安东华合创软件有限公司</w:t>
      </w:r>
      <w:r>
        <w:rPr>
          <w:rFonts w:ascii="Times New Roman" w:hAnsi="Times New Roman" w:cs="Times New Roman" w:eastAsia="Times New Roman" w:hint="default"/>
        </w:rPr>
        <w:t>2016</w:t>
      </w:r>
      <w:r>
        <w:rPr/>
        <w:t>年被认定为高新技术企业，并收到山东省科学技术厅、山东省 </w:t>
      </w:r>
      <w:r>
        <w:rPr>
          <w:spacing w:val="-2"/>
        </w:rPr>
        <w:t>财政厅、山东省国家税务局、山东省地方税务局联合下发的高新技术企业证书，证书编号：</w:t>
      </w:r>
      <w:r>
        <w:rPr>
          <w:rFonts w:ascii="Times New Roman" w:hAnsi="Times New Roman" w:cs="Times New Roman" w:eastAsia="Times New Roman" w:hint="default"/>
          <w:spacing w:val="-2"/>
        </w:rPr>
        <w:t>GR201637001033</w:t>
      </w:r>
      <w:r>
        <w:rPr>
          <w:spacing w:val="-2"/>
        </w:rPr>
        <w:t>，有效期三年。</w:t>
      </w:r>
      <w:r>
        <w:rPr>
          <w:spacing w:val="-32"/>
        </w:rPr>
        <w:t> </w:t>
      </w:r>
      <w:r>
        <w:rPr>
          <w:spacing w:val="-32"/>
        </w:rPr>
      </w:r>
      <w:r>
        <w:rPr>
          <w:spacing w:val="-2"/>
        </w:rPr>
        <w:t>根据相关规定，通过高新技术企业认定后，自</w:t>
      </w:r>
      <w:r>
        <w:rPr>
          <w:rFonts w:ascii="Times New Roman" w:hAnsi="Times New Roman" w:cs="Times New Roman" w:eastAsia="Times New Roman" w:hint="default"/>
          <w:spacing w:val="-2"/>
        </w:rPr>
        <w:t>2016</w:t>
      </w:r>
      <w:r>
        <w:rPr>
          <w:spacing w:val="-2"/>
        </w:rPr>
        <w:t>年起，连续三年享受国家关于高新技术企业的相关优惠政策，企业所得税</w:t>
      </w:r>
      <w:r>
        <w:rPr>
          <w:spacing w:val="-62"/>
        </w:rPr>
        <w:t> </w:t>
      </w:r>
      <w:r>
        <w:rPr>
          <w:spacing w:val="-62"/>
        </w:rPr>
      </w:r>
      <w:r>
        <w:rPr/>
        <w:t>按</w:t>
      </w:r>
      <w:r>
        <w:rPr>
          <w:rFonts w:ascii="Times New Roman" w:hAnsi="Times New Roman" w:cs="Times New Roman" w:eastAsia="Times New Roman" w:hint="default"/>
        </w:rPr>
        <w:t>15%</w:t>
      </w:r>
      <w:r>
        <w:rPr/>
        <w:t>的税率征收。</w:t>
      </w:r>
    </w:p>
    <w:p>
      <w:pPr>
        <w:pStyle w:val="BodyText"/>
        <w:spacing w:line="300" w:lineRule="auto" w:before="73"/>
        <w:ind w:right="1033" w:firstLine="411"/>
        <w:jc w:val="left"/>
      </w:pPr>
      <w:r>
        <w:rPr/>
        <w:t>（</w:t>
      </w:r>
      <w:r>
        <w:rPr>
          <w:rFonts w:ascii="Times New Roman" w:hAnsi="Times New Roman" w:cs="Times New Roman" w:eastAsia="Times New Roman" w:hint="default"/>
        </w:rPr>
        <w:t>7</w:t>
      </w:r>
      <w:r>
        <w:rPr/>
        <w:t>）公司所属子公司</w:t>
      </w:r>
      <w:r>
        <w:rPr>
          <w:rFonts w:ascii="Times New Roman" w:hAnsi="Times New Roman" w:cs="Times New Roman" w:eastAsia="Times New Roman" w:hint="default"/>
        </w:rPr>
        <w:t>-</w:t>
      </w:r>
      <w:r>
        <w:rPr/>
        <w:t>北京联银通科技有限公司通过了</w:t>
      </w:r>
      <w:r>
        <w:rPr>
          <w:rFonts w:ascii="Times New Roman" w:hAnsi="Times New Roman" w:cs="Times New Roman" w:eastAsia="Times New Roman" w:hint="default"/>
        </w:rPr>
        <w:t>2017</w:t>
      </w:r>
      <w:r>
        <w:rPr/>
        <w:t>年高新技术企业复审，并收到北京市科学技术委员会、北 京市财政局、北京市国家税务局、北京市地方税务局联合下发的高新技术企业证书，证书编号：</w:t>
      </w:r>
      <w:r>
        <w:rPr>
          <w:rFonts w:ascii="Times New Roman" w:hAnsi="Times New Roman" w:cs="Times New Roman" w:eastAsia="Times New Roman" w:hint="default"/>
        </w:rPr>
        <w:t>GR201711001388</w:t>
      </w:r>
      <w:r>
        <w:rPr>
          <w:rFonts w:ascii="Times New Roman" w:hAnsi="Times New Roman" w:cs="Times New Roman" w:eastAsia="Times New Roman" w:hint="default"/>
          <w:spacing w:val="12"/>
        </w:rPr>
        <w:t> </w:t>
      </w:r>
      <w:r>
        <w:rPr>
          <w:spacing w:val="-3"/>
        </w:rPr>
        <w:t>，有效期</w:t>
      </w:r>
      <w:r>
        <w:rPr/>
        <w:t> 三年。根据相关规定，通过高新技术企业复审后，自</w:t>
      </w:r>
      <w:r>
        <w:rPr>
          <w:rFonts w:ascii="Times New Roman" w:hAnsi="Times New Roman" w:cs="Times New Roman" w:eastAsia="Times New Roman" w:hint="default"/>
        </w:rPr>
        <w:t>2017</w:t>
      </w:r>
      <w:r>
        <w:rPr/>
        <w:t>年起，连续三年继续享受国家关于高新技术企业的相关优惠政策， 企业所得税按</w:t>
      </w:r>
      <w:r>
        <w:rPr>
          <w:rFonts w:ascii="Times New Roman" w:hAnsi="Times New Roman" w:cs="Times New Roman" w:eastAsia="Times New Roman" w:hint="default"/>
        </w:rPr>
        <w:t>15%</w:t>
      </w:r>
      <w:r>
        <w:rPr/>
        <w:t>的税率征收。</w:t>
      </w:r>
    </w:p>
    <w:p>
      <w:pPr>
        <w:pStyle w:val="BodyText"/>
        <w:spacing w:line="300" w:lineRule="auto" w:before="73"/>
        <w:ind w:right="0" w:firstLine="411"/>
        <w:jc w:val="left"/>
      </w:pPr>
      <w:r>
        <w:rPr/>
        <w:t>（</w:t>
      </w:r>
      <w:r>
        <w:rPr>
          <w:rFonts w:ascii="Times New Roman" w:hAnsi="Times New Roman" w:cs="Times New Roman" w:eastAsia="Times New Roman" w:hint="default"/>
        </w:rPr>
        <w:t>8</w:t>
      </w:r>
      <w:r>
        <w:rPr/>
        <w:t>）公司所属子公司</w:t>
      </w:r>
      <w:r>
        <w:rPr>
          <w:rFonts w:ascii="Times New Roman" w:hAnsi="Times New Roman" w:cs="Times New Roman" w:eastAsia="Times New Roman" w:hint="default"/>
        </w:rPr>
        <w:t>-</w:t>
      </w:r>
      <w:r>
        <w:rPr/>
        <w:t>北京神州新桥科技有限公司通过了</w:t>
      </w:r>
      <w:r>
        <w:rPr>
          <w:rFonts w:ascii="Times New Roman" w:hAnsi="Times New Roman" w:cs="Times New Roman" w:eastAsia="Times New Roman" w:hint="default"/>
        </w:rPr>
        <w:t>2017</w:t>
      </w:r>
      <w:r>
        <w:rPr/>
        <w:t>年高新技术企业复审，并收到北京市科学技术委员会、 北京市财政局、北京市国家税务局、北京市地方税务局联合下发的高新技术企业证书，证书编号：</w:t>
      </w:r>
      <w:r>
        <w:rPr>
          <w:rFonts w:ascii="Times New Roman" w:hAnsi="Times New Roman" w:cs="Times New Roman" w:eastAsia="Times New Roman" w:hint="default"/>
        </w:rPr>
        <w:t>GR201711002878</w:t>
      </w:r>
      <w:r>
        <w:rPr/>
        <w:t>，有效 </w:t>
      </w:r>
      <w:r>
        <w:rPr>
          <w:spacing w:val="-4"/>
        </w:rPr>
        <w:t>期三年。根据相关规定，通过高新技术企业复审后，自</w:t>
      </w:r>
      <w:r>
        <w:rPr>
          <w:rFonts w:ascii="Times New Roman" w:hAnsi="Times New Roman" w:cs="Times New Roman" w:eastAsia="Times New Roman" w:hint="default"/>
          <w:spacing w:val="-4"/>
        </w:rPr>
        <w:t>2017</w:t>
      </w:r>
      <w:r>
        <w:rPr>
          <w:spacing w:val="-4"/>
        </w:rPr>
        <w:t>年起，连续三年继续享受国家关于高新技术企业的相关优惠政策，</w:t>
      </w:r>
      <w:r>
        <w:rPr>
          <w:spacing w:val="-38"/>
        </w:rPr>
        <w:t> </w:t>
      </w:r>
      <w:r>
        <w:rPr>
          <w:spacing w:val="-38"/>
        </w:rPr>
      </w:r>
      <w:r>
        <w:rPr/>
        <w:t>企业所得税按</w:t>
      </w:r>
      <w:r>
        <w:rPr>
          <w:rFonts w:ascii="Times New Roman" w:hAnsi="Times New Roman" w:cs="Times New Roman" w:eastAsia="Times New Roman" w:hint="default"/>
        </w:rPr>
        <w:t>15%</w:t>
      </w:r>
      <w:r>
        <w:rPr/>
        <w:t>的税率征收。</w:t>
      </w:r>
    </w:p>
    <w:p>
      <w:pPr>
        <w:pStyle w:val="BodyText"/>
        <w:spacing w:line="300" w:lineRule="auto" w:before="73"/>
        <w:ind w:right="1131" w:firstLine="411"/>
        <w:jc w:val="both"/>
      </w:pPr>
      <w:r>
        <w:rPr/>
        <w:t>（</w:t>
      </w:r>
      <w:r>
        <w:rPr>
          <w:rFonts w:ascii="Times New Roman" w:hAnsi="Times New Roman" w:cs="Times New Roman" w:eastAsia="Times New Roman" w:hint="default"/>
        </w:rPr>
        <w:t>9</w:t>
      </w:r>
      <w:r>
        <w:rPr/>
        <w:t>）公司所属子公司</w:t>
      </w:r>
      <w:r>
        <w:rPr>
          <w:rFonts w:ascii="Times New Roman" w:hAnsi="Times New Roman" w:cs="Times New Roman" w:eastAsia="Times New Roman" w:hint="default"/>
        </w:rPr>
        <w:t>-</w:t>
      </w:r>
      <w:r>
        <w:rPr/>
        <w:t>东华软件工程有限公司通过了</w:t>
      </w:r>
      <w:r>
        <w:rPr>
          <w:rFonts w:ascii="Times New Roman" w:hAnsi="Times New Roman" w:cs="Times New Roman" w:eastAsia="Times New Roman" w:hint="default"/>
        </w:rPr>
        <w:t>2017</w:t>
      </w:r>
      <w:r>
        <w:rPr/>
        <w:t>年高新技术企业复审，并收到安徽省科学技术厅、安徽省财 政厅、安徽省国家税务局、安徽省地方税务局联合下发的高新技术企业证书，证书编号：</w:t>
      </w:r>
      <w:r>
        <w:rPr>
          <w:rFonts w:ascii="Times New Roman" w:hAnsi="Times New Roman" w:cs="Times New Roman" w:eastAsia="Times New Roman" w:hint="default"/>
        </w:rPr>
        <w:t>GR201734001627</w:t>
      </w:r>
      <w:r>
        <w:rPr/>
        <w:t>，有效期三年。 </w:t>
      </w:r>
      <w:r>
        <w:rPr>
          <w:spacing w:val="-2"/>
        </w:rPr>
        <w:t>根据相关规定，通过高新技术企业复审后，自</w:t>
      </w:r>
      <w:r>
        <w:rPr>
          <w:rFonts w:ascii="Times New Roman" w:hAnsi="Times New Roman" w:cs="Times New Roman" w:eastAsia="Times New Roman" w:hint="default"/>
          <w:spacing w:val="-2"/>
        </w:rPr>
        <w:t>2017</w:t>
      </w:r>
      <w:r>
        <w:rPr>
          <w:spacing w:val="-2"/>
        </w:rPr>
        <w:t>年起，连续三年继续享受国家关于高新技术企业的相关优惠政策，企业所</w:t>
      </w:r>
      <w:r>
        <w:rPr>
          <w:spacing w:val="-62"/>
        </w:rPr>
        <w:t> </w:t>
      </w:r>
      <w:r>
        <w:rPr>
          <w:spacing w:val="-62"/>
        </w:rPr>
      </w:r>
      <w:r>
        <w:rPr/>
        <w:t>得税按</w:t>
      </w:r>
      <w:r>
        <w:rPr>
          <w:rFonts w:ascii="Times New Roman" w:hAnsi="Times New Roman" w:cs="Times New Roman" w:eastAsia="Times New Roman" w:hint="default"/>
        </w:rPr>
        <w:t>15%</w:t>
      </w:r>
      <w:r>
        <w:rPr/>
        <w:t>的税率征收。</w:t>
      </w:r>
    </w:p>
    <w:p>
      <w:pPr>
        <w:pStyle w:val="BodyText"/>
        <w:spacing w:line="300" w:lineRule="auto" w:before="73"/>
        <w:ind w:right="1034" w:firstLine="411"/>
        <w:jc w:val="left"/>
      </w:pPr>
      <w:r>
        <w:rPr>
          <w:spacing w:val="-2"/>
        </w:rPr>
        <w:t>（</w:t>
      </w:r>
      <w:r>
        <w:rPr>
          <w:rFonts w:ascii="Times New Roman" w:hAnsi="Times New Roman" w:cs="Times New Roman" w:eastAsia="Times New Roman" w:hint="default"/>
          <w:spacing w:val="-2"/>
        </w:rPr>
        <w:t>10</w:t>
      </w:r>
      <w:r>
        <w:rPr>
          <w:spacing w:val="-2"/>
        </w:rPr>
        <w:t>）公司所属子公司</w:t>
      </w:r>
      <w:r>
        <w:rPr>
          <w:rFonts w:ascii="Times New Roman" w:hAnsi="Times New Roman" w:cs="Times New Roman" w:eastAsia="Times New Roman" w:hint="default"/>
          <w:spacing w:val="-2"/>
        </w:rPr>
        <w:t>-</w:t>
      </w:r>
      <w:r>
        <w:rPr>
          <w:spacing w:val="-2"/>
        </w:rPr>
        <w:t>北京威锐达测控系统有限公司通过了</w:t>
      </w:r>
      <w:r>
        <w:rPr>
          <w:rFonts w:ascii="Times New Roman" w:hAnsi="Times New Roman" w:cs="Times New Roman" w:eastAsia="Times New Roman" w:hint="default"/>
          <w:spacing w:val="-2"/>
        </w:rPr>
        <w:t>2017</w:t>
      </w:r>
      <w:r>
        <w:rPr>
          <w:spacing w:val="-2"/>
        </w:rPr>
        <w:t>年高新技术企业复审，并收到北京市科学技术委员会、</w:t>
      </w:r>
      <w:r>
        <w:rPr/>
        <w:t> 北京市财政局、北京市国家税务局、北京市地方税务局联合下发的高新技术企业证书，证书编号：</w:t>
      </w:r>
      <w:r>
        <w:rPr>
          <w:rFonts w:ascii="Times New Roman" w:hAnsi="Times New Roman" w:cs="Times New Roman" w:eastAsia="Times New Roman" w:hint="default"/>
        </w:rPr>
        <w:t>GR201711000034</w:t>
      </w:r>
      <w:r>
        <w:rPr/>
        <w:t>，有效 </w:t>
      </w:r>
      <w:r>
        <w:rPr>
          <w:spacing w:val="-2"/>
        </w:rPr>
        <w:t>期三年。根据相关规定，通过高新技术企业复审后，自</w:t>
      </w:r>
      <w:r>
        <w:rPr>
          <w:rFonts w:ascii="Times New Roman" w:hAnsi="Times New Roman" w:cs="Times New Roman" w:eastAsia="Times New Roman" w:hint="default"/>
          <w:spacing w:val="-2"/>
        </w:rPr>
        <w:t>2017</w:t>
      </w:r>
      <w:r>
        <w:rPr>
          <w:spacing w:val="-2"/>
        </w:rPr>
        <w:t>年起，连续三年享受国家关于高新技术企业的相关优惠政策，企</w:t>
      </w:r>
      <w:r>
        <w:rPr>
          <w:spacing w:val="-62"/>
        </w:rPr>
        <w:t> </w:t>
      </w:r>
      <w:r>
        <w:rPr>
          <w:spacing w:val="-62"/>
        </w:rPr>
      </w:r>
      <w:r>
        <w:rPr/>
        <w:t>业所得税按</w:t>
      </w:r>
      <w:r>
        <w:rPr>
          <w:rFonts w:ascii="Times New Roman" w:hAnsi="Times New Roman" w:cs="Times New Roman" w:eastAsia="Times New Roman" w:hint="default"/>
        </w:rPr>
        <w:t>15%</w:t>
      </w:r>
      <w:r>
        <w:rPr/>
        <w:t>的税率征收。</w:t>
      </w:r>
    </w:p>
    <w:p>
      <w:pPr>
        <w:pStyle w:val="BodyText"/>
        <w:spacing w:line="307" w:lineRule="auto" w:before="73"/>
        <w:ind w:right="0" w:firstLine="411"/>
        <w:jc w:val="left"/>
      </w:pPr>
      <w:r>
        <w:rPr>
          <w:spacing w:val="-1"/>
        </w:rPr>
        <w:t>（</w:t>
      </w:r>
      <w:r>
        <w:rPr>
          <w:rFonts w:ascii="Times New Roman" w:hAnsi="Times New Roman" w:cs="Times New Roman" w:eastAsia="Times New Roman" w:hint="default"/>
          <w:spacing w:val="-1"/>
        </w:rPr>
        <w:t>11</w:t>
      </w:r>
      <w:r>
        <w:rPr>
          <w:spacing w:val="-1"/>
        </w:rPr>
        <w:t>）公司所属子公司</w:t>
      </w:r>
      <w:r>
        <w:rPr>
          <w:rFonts w:ascii="Times New Roman" w:hAnsi="Times New Roman" w:cs="Times New Roman" w:eastAsia="Times New Roman" w:hint="default"/>
          <w:spacing w:val="-1"/>
        </w:rPr>
        <w:t>-</w:t>
      </w:r>
      <w:r>
        <w:rPr>
          <w:spacing w:val="-1"/>
        </w:rPr>
        <w:t>深圳市至高通信技术发展有限公司通过了</w:t>
      </w:r>
      <w:r>
        <w:rPr>
          <w:rFonts w:ascii="Times New Roman" w:hAnsi="Times New Roman" w:cs="Times New Roman" w:eastAsia="Times New Roman" w:hint="default"/>
          <w:spacing w:val="-1"/>
        </w:rPr>
        <w:t>2015</w:t>
      </w:r>
      <w:r>
        <w:rPr>
          <w:spacing w:val="-1"/>
        </w:rPr>
        <w:t>年高新技术企业认证，并收到深圳市科技创新委</w:t>
      </w:r>
      <w:r>
        <w:rPr/>
        <w:t> 员会、深圳市财政局委员会、深圳市国家税务局、深圳市地方税务局联合颁发的高新技术企业证书，证书编号： </w:t>
      </w:r>
      <w:r>
        <w:rPr>
          <w:rFonts w:ascii="Times New Roman" w:hAnsi="Times New Roman" w:cs="Times New Roman" w:eastAsia="Times New Roman" w:hint="default"/>
        </w:rPr>
        <w:t>GR201544201284</w:t>
      </w:r>
      <w:r>
        <w:rPr/>
        <w:t>，有效期三年。根据相关规定，通过高新技术企业复审后，自</w:t>
      </w:r>
      <w:r>
        <w:rPr>
          <w:rFonts w:ascii="Times New Roman" w:hAnsi="Times New Roman" w:cs="Times New Roman" w:eastAsia="Times New Roman" w:hint="default"/>
        </w:rPr>
        <w:t>2015</w:t>
      </w:r>
      <w:r>
        <w:rPr/>
        <w:t>年起，连续三年享受国家关于高新技术 企业的相关优惠政策，企业所得税按</w:t>
      </w:r>
      <w:r>
        <w:rPr>
          <w:rFonts w:ascii="Times New Roman" w:hAnsi="Times New Roman" w:cs="Times New Roman" w:eastAsia="Times New Roman" w:hint="default"/>
        </w:rPr>
        <w:t>15%</w:t>
      </w:r>
      <w:r>
        <w:rPr/>
        <w:t>的税率征收。</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4" w:firstLine="411"/>
        <w:jc w:val="left"/>
      </w:pPr>
      <w:r>
        <w:rPr>
          <w:spacing w:val="-2"/>
        </w:rPr>
        <w:t>（</w:t>
      </w:r>
      <w:r>
        <w:rPr>
          <w:rFonts w:ascii="Times New Roman" w:hAnsi="Times New Roman" w:cs="Times New Roman" w:eastAsia="Times New Roman" w:hint="default"/>
          <w:spacing w:val="-2"/>
        </w:rPr>
        <w:t>12</w:t>
      </w:r>
      <w:r>
        <w:rPr>
          <w:spacing w:val="-2"/>
        </w:rPr>
        <w:t>）公司所属子公司</w:t>
      </w:r>
      <w:r>
        <w:rPr>
          <w:rFonts w:ascii="Times New Roman" w:hAnsi="Times New Roman" w:cs="Times New Roman" w:eastAsia="Times New Roman" w:hint="default"/>
          <w:spacing w:val="-2"/>
        </w:rPr>
        <w:t>-</w:t>
      </w:r>
      <w:r>
        <w:rPr>
          <w:spacing w:val="-2"/>
        </w:rPr>
        <w:t>东华网络股份公司通过了</w:t>
      </w:r>
      <w:r>
        <w:rPr>
          <w:rFonts w:ascii="Times New Roman" w:hAnsi="Times New Roman" w:cs="Times New Roman" w:eastAsia="Times New Roman" w:hint="default"/>
          <w:spacing w:val="-2"/>
        </w:rPr>
        <w:t>2017</w:t>
      </w:r>
      <w:r>
        <w:rPr>
          <w:spacing w:val="-2"/>
        </w:rPr>
        <w:t>年高新技术企业认证，并收到辽宁省科学技术厅、辽宁省财政厅、</w:t>
      </w:r>
      <w:r>
        <w:rPr/>
        <w:t> 辽宁省国家税务局、辽宁省地方税务局联合颁发的高新技术企业证书，证书编号：</w:t>
      </w:r>
      <w:r>
        <w:rPr>
          <w:rFonts w:ascii="Times New Roman" w:hAnsi="Times New Roman" w:cs="Times New Roman" w:eastAsia="Times New Roman" w:hint="default"/>
        </w:rPr>
        <w:t>GR201721000298</w:t>
      </w:r>
      <w:r>
        <w:rPr/>
        <w:t>，有效期三年。根据相 关规定，通过高新技术企业复审后，自</w:t>
      </w:r>
      <w:r>
        <w:rPr>
          <w:rFonts w:ascii="Times New Roman" w:hAnsi="Times New Roman" w:cs="Times New Roman" w:eastAsia="Times New Roman" w:hint="default"/>
        </w:rPr>
        <w:t>2017</w:t>
      </w:r>
      <w:r>
        <w:rPr/>
        <w:t>年起，连续三年享受国家关于高新技术企业的相关优惠政策，企业所得税按</w:t>
      </w:r>
      <w:r>
        <w:rPr>
          <w:rFonts w:ascii="Times New Roman" w:hAnsi="Times New Roman" w:cs="Times New Roman" w:eastAsia="Times New Roman" w:hint="default"/>
        </w:rPr>
        <w:t>15% </w:t>
      </w:r>
      <w:r>
        <w:rPr/>
        <w:t>的税率征收。</w:t>
      </w:r>
    </w:p>
    <w:p>
      <w:pPr>
        <w:pStyle w:val="BodyText"/>
        <w:spacing w:line="300" w:lineRule="auto" w:before="92"/>
        <w:ind w:right="1132" w:firstLine="411"/>
        <w:jc w:val="both"/>
      </w:pPr>
      <w:r>
        <w:rPr>
          <w:spacing w:val="-1"/>
        </w:rPr>
        <w:t>（</w:t>
      </w:r>
      <w:r>
        <w:rPr>
          <w:rFonts w:ascii="Times New Roman" w:hAnsi="Times New Roman" w:cs="Times New Roman" w:eastAsia="Times New Roman" w:hint="default"/>
          <w:spacing w:val="-1"/>
        </w:rPr>
        <w:t>13</w:t>
      </w:r>
      <w:r>
        <w:rPr>
          <w:spacing w:val="-1"/>
        </w:rPr>
        <w:t>）公司所属孙公司</w:t>
      </w:r>
      <w:r>
        <w:rPr>
          <w:rFonts w:ascii="Times New Roman" w:hAnsi="Times New Roman" w:cs="Times New Roman" w:eastAsia="Times New Roman" w:hint="default"/>
          <w:spacing w:val="-1"/>
        </w:rPr>
        <w:t>-</w:t>
      </w:r>
      <w:r>
        <w:rPr>
          <w:spacing w:val="-1"/>
        </w:rPr>
        <w:t>广东东华发思特软件有限公司通过了</w:t>
      </w:r>
      <w:r>
        <w:rPr>
          <w:rFonts w:ascii="Times New Roman" w:hAnsi="Times New Roman" w:cs="Times New Roman" w:eastAsia="Times New Roman" w:hint="default"/>
          <w:spacing w:val="-1"/>
        </w:rPr>
        <w:t>2016</w:t>
      </w:r>
      <w:r>
        <w:rPr>
          <w:spacing w:val="-1"/>
        </w:rPr>
        <w:t>年高新技术企业认证，并收到广东省科学技术厅、广</w:t>
      </w:r>
      <w:r>
        <w:rPr/>
        <w:t> 东省财政厅、广东省国家税务局、广东省地方税务局联合下发的高新技术企业证书，证书编号：</w:t>
      </w:r>
      <w:r>
        <w:rPr>
          <w:rFonts w:ascii="Times New Roman" w:hAnsi="Times New Roman" w:cs="Times New Roman" w:eastAsia="Times New Roman" w:hint="default"/>
        </w:rPr>
        <w:t>GR201644002102</w:t>
      </w:r>
      <w:r>
        <w:rPr/>
        <w:t>，有效期 </w:t>
      </w:r>
      <w:r>
        <w:rPr>
          <w:spacing w:val="-2"/>
        </w:rPr>
        <w:t>三年。根据相关规定，通过高新技术企业复审后，自</w:t>
      </w:r>
      <w:r>
        <w:rPr>
          <w:rFonts w:ascii="Times New Roman" w:hAnsi="Times New Roman" w:cs="Times New Roman" w:eastAsia="Times New Roman" w:hint="default"/>
          <w:spacing w:val="-2"/>
        </w:rPr>
        <w:t>2016</w:t>
      </w:r>
      <w:r>
        <w:rPr>
          <w:spacing w:val="-2"/>
        </w:rPr>
        <w:t>年起，连续三年享受国家关于高新技术企业的相关优惠政策，企业</w:t>
      </w:r>
      <w:r>
        <w:rPr>
          <w:spacing w:val="-62"/>
        </w:rPr>
        <w:t> </w:t>
      </w:r>
      <w:r>
        <w:rPr>
          <w:spacing w:val="-62"/>
        </w:rPr>
      </w:r>
      <w:r>
        <w:rPr/>
        <w:t>所得税按</w:t>
      </w:r>
      <w:r>
        <w:rPr>
          <w:rFonts w:ascii="Times New Roman" w:hAnsi="Times New Roman" w:cs="Times New Roman" w:eastAsia="Times New Roman" w:hint="default"/>
        </w:rPr>
        <w:t>15%</w:t>
      </w:r>
      <w:r>
        <w:rPr/>
        <w:t>的税率征收。</w:t>
      </w:r>
    </w:p>
    <w:p>
      <w:pPr>
        <w:pStyle w:val="BodyText"/>
        <w:spacing w:line="300" w:lineRule="auto" w:before="73"/>
        <w:ind w:left="154" w:right="0" w:firstLine="411"/>
        <w:jc w:val="left"/>
      </w:pPr>
      <w:r>
        <w:rPr>
          <w:spacing w:val="-1"/>
        </w:rPr>
        <w:t>（</w:t>
      </w:r>
      <w:r>
        <w:rPr>
          <w:rFonts w:ascii="Times New Roman" w:hAnsi="Times New Roman" w:cs="Times New Roman" w:eastAsia="Times New Roman" w:hint="default"/>
          <w:spacing w:val="-1"/>
        </w:rPr>
        <w:t>14</w:t>
      </w:r>
      <w:r>
        <w:rPr>
          <w:spacing w:val="-1"/>
        </w:rPr>
        <w:t>）公司所属子公司</w:t>
      </w:r>
      <w:r>
        <w:rPr>
          <w:rFonts w:ascii="Times New Roman" w:hAnsi="Times New Roman" w:cs="Times New Roman" w:eastAsia="Times New Roman" w:hint="default"/>
          <w:spacing w:val="-1"/>
        </w:rPr>
        <w:t>-</w:t>
      </w:r>
      <w:r>
        <w:rPr>
          <w:spacing w:val="-1"/>
        </w:rPr>
        <w:t>北京东华合创香港有限公司系在中国香港特别行政区注册的企业，按照属地原则按规定缴纳企</w:t>
      </w:r>
      <w:r>
        <w:rPr/>
        <w:t> 业所得税，北京东华合创香港有限公司</w:t>
      </w:r>
      <w:r>
        <w:rPr>
          <w:rFonts w:ascii="Times New Roman" w:hAnsi="Times New Roman" w:cs="Times New Roman" w:eastAsia="Times New Roman" w:hint="default"/>
        </w:rPr>
        <w:t>2016</w:t>
      </w:r>
      <w:r>
        <w:rPr/>
        <w:t>年度所得税税率为</w:t>
      </w:r>
      <w:r>
        <w:rPr>
          <w:rFonts w:ascii="Times New Roman" w:hAnsi="Times New Roman" w:cs="Times New Roman" w:eastAsia="Times New Roman" w:hint="default"/>
        </w:rPr>
        <w:t>16.5%</w:t>
      </w:r>
      <w:r>
        <w:rPr/>
        <w:t>。</w:t>
      </w:r>
    </w:p>
    <w:p>
      <w:pPr>
        <w:spacing w:line="240" w:lineRule="auto" w:before="1"/>
        <w:rPr>
          <w:rFonts w:ascii="宋体" w:hAnsi="宋体" w:cs="宋体" w:eastAsia="宋体" w:hint="default"/>
          <w:sz w:val="22"/>
          <w:szCs w:val="22"/>
        </w:rPr>
      </w:pPr>
    </w:p>
    <w:p>
      <w:pPr>
        <w:spacing w:line="487" w:lineRule="auto" w:before="0"/>
        <w:ind w:left="153" w:right="7862" w:firstLine="0"/>
        <w:jc w:val="left"/>
        <w:rPr>
          <w:rFonts w:ascii="宋体" w:hAnsi="宋体" w:cs="宋体" w:eastAsia="宋体" w:hint="default"/>
          <w:sz w:val="21"/>
          <w:szCs w:val="21"/>
        </w:rPr>
      </w:pPr>
      <w:bookmarkStart w:name="3、其他" w:id="226"/>
      <w:bookmarkEnd w:id="2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7"/>
      <w:bookmarkEnd w:id="227"/>
      <w:r>
        <w:rPr>
          <w:rFonts w:ascii="宋体" w:hAnsi="宋体" w:cs="宋体" w:eastAsia="宋体" w:hint="default"/>
          <w:b/>
          <w:bCs/>
          <w:spacing w:val="1"/>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28"/>
      <w:bookmarkEnd w:id="22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1,183,057.39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1,103,232.78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1,558,849,945.64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1,093,101,780.00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188,971,886.53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31,018,244.04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1,749,004,889.56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1,125,223,256.82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21,179,233.33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4,415,129.38</w:t>
            </w:r>
          </w:p>
        </w:tc>
      </w:tr>
    </w:tbl>
    <w:p>
      <w:pPr>
        <w:spacing w:line="240" w:lineRule="auto" w:before="10"/>
        <w:rPr>
          <w:rFonts w:ascii="宋体" w:hAnsi="宋体" w:cs="宋体" w:eastAsia="宋体" w:hint="default"/>
          <w:sz w:val="5"/>
          <w:szCs w:val="5"/>
        </w:rPr>
      </w:pPr>
    </w:p>
    <w:p>
      <w:pPr>
        <w:spacing w:before="38"/>
        <w:ind w:left="154" w:right="0" w:firstLine="0"/>
        <w:jc w:val="left"/>
        <w:rPr>
          <w:rFonts w:ascii="宋体" w:hAnsi="宋体" w:cs="宋体" w:eastAsia="宋体" w:hint="default"/>
          <w:sz w:val="18"/>
          <w:szCs w:val="18"/>
        </w:rPr>
      </w:pPr>
      <w:r>
        <w:rPr>
          <w:rFonts w:ascii="宋体" w:hAnsi="宋体" w:cs="宋体" w:eastAsia="宋体" w:hint="default"/>
          <w:sz w:val="20"/>
          <w:szCs w:val="20"/>
        </w:rPr>
        <w:t>其中，受限制</w:t>
      </w:r>
      <w:r>
        <w:rPr>
          <w:rFonts w:ascii="宋体" w:hAnsi="宋体" w:cs="宋体" w:eastAsia="宋体" w:hint="default"/>
          <w:sz w:val="18"/>
          <w:szCs w:val="18"/>
        </w:rPr>
        <w:t>的货币资金明细如下：</w:t>
      </w:r>
    </w:p>
    <w:p>
      <w:pPr>
        <w:spacing w:line="240" w:lineRule="auto" w:before="3"/>
        <w:rPr>
          <w:rFonts w:ascii="宋体" w:hAnsi="宋体" w:cs="宋体" w:eastAsia="宋体" w:hint="default"/>
          <w:sz w:val="14"/>
          <w:szCs w:val="14"/>
        </w:rPr>
      </w:pPr>
    </w:p>
    <w:tbl>
      <w:tblPr>
        <w:tblW w:w="0" w:type="auto"/>
        <w:jc w:val="left"/>
        <w:tblInd w:w="151" w:type="dxa"/>
        <w:tblLayout w:type="fixed"/>
        <w:tblCellMar>
          <w:top w:w="0" w:type="dxa"/>
          <w:left w:w="0" w:type="dxa"/>
          <w:bottom w:w="0" w:type="dxa"/>
          <w:right w:w="0" w:type="dxa"/>
        </w:tblCellMar>
        <w:tblLook w:val="01E0"/>
      </w:tblPr>
      <w:tblGrid>
        <w:gridCol w:w="3564"/>
        <w:gridCol w:w="2814"/>
        <w:gridCol w:w="3119"/>
      </w:tblGrid>
      <w:tr>
        <w:trPr>
          <w:trHeight w:val="332" w:hRule="exact"/>
        </w:trPr>
        <w:tc>
          <w:tcPr>
            <w:tcW w:w="35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598"/>
              <w:jc w:val="right"/>
              <w:rPr>
                <w:rFonts w:ascii="宋体" w:hAnsi="宋体" w:cs="宋体" w:eastAsia="宋体" w:hint="default"/>
                <w:sz w:val="18"/>
                <w:szCs w:val="18"/>
              </w:rPr>
            </w:pPr>
            <w:r>
              <w:rPr>
                <w:rFonts w:ascii="宋体" w:hAnsi="宋体" w:cs="宋体" w:eastAsia="宋体" w:hint="default"/>
                <w:sz w:val="18"/>
                <w:szCs w:val="18"/>
              </w:rPr>
              <w:t>项目</w:t>
            </w:r>
          </w:p>
        </w:tc>
        <w:tc>
          <w:tcPr>
            <w:tcW w:w="28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2" w:hRule="exact"/>
        </w:trPr>
        <w:tc>
          <w:tcPr>
            <w:tcW w:w="35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814"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2,342,955.44</w:t>
            </w:r>
          </w:p>
        </w:tc>
        <w:tc>
          <w:tcPr>
            <w:tcW w:w="311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2,903,769.64</w:t>
            </w:r>
          </w:p>
        </w:tc>
      </w:tr>
      <w:tr>
        <w:trPr>
          <w:trHeight w:val="342" w:hRule="exact"/>
        </w:trPr>
        <w:tc>
          <w:tcPr>
            <w:tcW w:w="35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8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144,990,296.62</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2" w:hRule="exact"/>
        </w:trPr>
        <w:tc>
          <w:tcPr>
            <w:tcW w:w="35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8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1,242,153.24</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4,980,448.11</w:t>
            </w:r>
          </w:p>
        </w:tc>
      </w:tr>
      <w:tr>
        <w:trPr>
          <w:trHeight w:val="342" w:hRule="exact"/>
        </w:trPr>
        <w:tc>
          <w:tcPr>
            <w:tcW w:w="35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质量与维修保函</w:t>
            </w:r>
          </w:p>
        </w:tc>
        <w:tc>
          <w:tcPr>
            <w:tcW w:w="2814" w:type="dxa"/>
            <w:tcBorders>
              <w:top w:val="single" w:sz="4" w:space="0" w:color="000000"/>
              <w:left w:val="single" w:sz="6"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1,260,456.37</w:t>
            </w:r>
          </w:p>
        </w:tc>
      </w:tr>
      <w:tr>
        <w:trPr>
          <w:trHeight w:val="342" w:hRule="exact"/>
        </w:trPr>
        <w:tc>
          <w:tcPr>
            <w:tcW w:w="35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2814" w:type="dxa"/>
            <w:tcBorders>
              <w:top w:val="single" w:sz="4" w:space="0" w:color="000000"/>
              <w:left w:val="single" w:sz="6"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845,268.77</w:t>
            </w:r>
          </w:p>
        </w:tc>
      </w:tr>
      <w:tr>
        <w:trPr>
          <w:trHeight w:val="342" w:hRule="exact"/>
        </w:trPr>
        <w:tc>
          <w:tcPr>
            <w:tcW w:w="35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8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1,080,752.00</w:t>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598"/>
              <w:jc w:val="right"/>
              <w:rPr>
                <w:rFonts w:ascii="宋体" w:hAnsi="宋体" w:cs="宋体" w:eastAsia="宋体" w:hint="default"/>
                <w:sz w:val="18"/>
                <w:szCs w:val="18"/>
              </w:rPr>
            </w:pPr>
            <w:r>
              <w:rPr>
                <w:rFonts w:ascii="宋体" w:hAnsi="宋体" w:cs="宋体" w:eastAsia="宋体" w:hint="default"/>
                <w:sz w:val="18"/>
                <w:szCs w:val="18"/>
              </w:rPr>
              <w:t>合计</w:t>
            </w:r>
          </w:p>
        </w:tc>
        <w:tc>
          <w:tcPr>
            <w:tcW w:w="281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149,656,157.30</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29,989,942.89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以公允价值计量且其变动计入当期损益的金融资产" w:id="229"/>
      <w:bookmarkEnd w:id="22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衍生金融资产" w:id="230"/>
      <w:bookmarkEnd w:id="23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应收票据" w:id="231"/>
      <w:bookmarkEnd w:id="23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pPr>
      <w:bookmarkStart w:name="（1）应收票据分类列示" w:id="232"/>
      <w:bookmarkEnd w:id="232"/>
      <w:r>
        <w:rPr/>
      </w:r>
      <w:r>
        <w:rPr/>
        <w:t>（</w:t>
      </w:r>
      <w:r>
        <w:rPr>
          <w:rFonts w:ascii="Times New Roman" w:hAnsi="Times New Roman" w:cs="Times New Roman" w:eastAsia="Times New Roman" w:hint="default"/>
        </w:rPr>
        <w:t>1</w:t>
      </w:r>
      <w:r>
        <w:rPr/>
        <w:t>）应收票据分类列示</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97,132,933.56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61,839,175.57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84,516,570.00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11,410,522.40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181,649,503.56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73,249,697.97</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2）期末公司已质押的应收票据" w:id="233"/>
      <w:bookmarkEnd w:id="233"/>
      <w:r>
        <w:rPr/>
      </w:r>
      <w:r>
        <w:rPr/>
        <w:t>（</w:t>
      </w:r>
      <w:r>
        <w:rPr>
          <w:rFonts w:ascii="Times New Roman" w:hAnsi="Times New Roman" w:cs="Times New Roman" w:eastAsia="Times New Roman" w:hint="default"/>
        </w:rPr>
        <w:t>2</w:t>
      </w:r>
      <w:r>
        <w:rPr/>
        <w:t>）期末公司已质押的应收票据</w:t>
      </w:r>
    </w:p>
    <w:p>
      <w:pPr>
        <w:spacing w:line="240" w:lineRule="auto" w:before="12"/>
        <w:rPr>
          <w:rFonts w:ascii="宋体" w:hAnsi="宋体" w:cs="宋体" w:eastAsia="宋体" w:hint="default"/>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left"/>
      </w:pPr>
      <w:bookmarkStart w:name="（3）期末公司已背书或贴现且在资产负债表日尚未到期的应收票据" w:id="234"/>
      <w:bookmarkEnd w:id="234"/>
      <w:r>
        <w:rPr/>
      </w:r>
      <w:r>
        <w:rPr/>
        <w:t>（</w:t>
      </w: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8"/>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51,042,443.37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51,042,443.37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9"/>
          <w:szCs w:val="19"/>
        </w:rPr>
      </w:pPr>
    </w:p>
    <w:p>
      <w:pPr>
        <w:pStyle w:val="Heading5"/>
        <w:spacing w:line="240" w:lineRule="auto" w:before="38"/>
        <w:ind w:left="154" w:right="0"/>
        <w:jc w:val="left"/>
      </w:pPr>
      <w:bookmarkStart w:name="（4）期末公司因出票人未履约而将其转应收账款的票据" w:id="235"/>
      <w:bookmarkEnd w:id="235"/>
      <w:r>
        <w:rPr/>
      </w:r>
      <w:r>
        <w:rPr/>
        <w:t>（</w:t>
      </w:r>
      <w:r>
        <w:rPr>
          <w:rFonts w:ascii="Times New Roman" w:hAnsi="Times New Roman" w:cs="Times New Roman" w:eastAsia="Times New Roman" w:hint="default"/>
        </w:rPr>
        <w:t>4</w:t>
      </w:r>
      <w:r>
        <w:rPr/>
        <w:t>）期末公司因出票人未履约而将其转应收账款的票据</w:t>
      </w:r>
    </w:p>
    <w:p>
      <w:pPr>
        <w:spacing w:line="240" w:lineRule="auto" w:before="12"/>
        <w:rPr>
          <w:rFonts w:ascii="宋体" w:hAnsi="宋体" w:cs="宋体" w:eastAsia="宋体" w:hint="default"/>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应收账款" w:id="236"/>
      <w:bookmarkEnd w:id="23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pPr>
      <w:bookmarkStart w:name="（1）应收账款分类披露" w:id="237"/>
      <w:bookmarkEnd w:id="237"/>
      <w:r>
        <w:rPr/>
      </w:r>
      <w:r>
        <w:rPr/>
        <w:t>（</w:t>
      </w:r>
      <w:r>
        <w:rPr>
          <w:rFonts w:ascii="Times New Roman" w:hAnsi="Times New Roman" w:cs="Times New Roman" w:eastAsia="Times New Roman" w:hint="default"/>
        </w:rPr>
        <w:t>1</w:t>
      </w:r>
      <w:r>
        <w:rPr/>
        <w:t>）应收账款分类披露</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5,075,90</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8,140.00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347,543,</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889.82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4,728,364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,250.18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4,484,0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35,606.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233,995,2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41.99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4,250,040,3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64.37</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5,075,90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8,140.00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347,543,</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889.82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6.85%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4,728,364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,250.18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4,484,0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35,606.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233,995,2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41.99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5.22%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4,250,040,3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64.37</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期末单项金额重大并单项计提坏账准备的应收账款：</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2,615,827,193.83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26,158,271.94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1,001,402,462.61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50,070,123.13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563,355,352.54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56,335,535.25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447,559,898.82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134,267,969.65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106,822,859.77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32,046,857.93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29,769,683.20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29,769,683.20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4,764,737,450.77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328,648,441.10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6.90%</w:t>
            </w:r>
          </w:p>
        </w:tc>
      </w:tr>
    </w:tbl>
    <w:p>
      <w:pPr>
        <w:spacing w:line="240" w:lineRule="auto" w:before="10"/>
        <w:rPr>
          <w:rFonts w:ascii="宋体" w:hAnsi="宋体" w:cs="宋体" w:eastAsia="宋体" w:hint="default"/>
          <w:sz w:val="5"/>
          <w:szCs w:val="5"/>
        </w:rPr>
      </w:pPr>
    </w:p>
    <w:p>
      <w:pPr>
        <w:pStyle w:val="Heading5"/>
        <w:spacing w:line="240" w:lineRule="auto" w:before="38"/>
        <w:ind w:left="553" w:right="0"/>
        <w:jc w:val="left"/>
      </w:pPr>
      <w:r>
        <w:rPr/>
        <w:t>组合中，公司子公司</w:t>
      </w:r>
      <w:r>
        <w:rPr>
          <w:rFonts w:ascii="Times New Roman" w:hAnsi="Times New Roman" w:cs="Times New Roman" w:eastAsia="Times New Roman" w:hint="default"/>
        </w:rPr>
        <w:t>-</w:t>
      </w:r>
      <w:r>
        <w:rPr/>
        <w:t>深圳市至高通信技术发展有限公司按账龄分析法计提坏账准备的应收账款</w:t>
      </w:r>
    </w:p>
    <w:p>
      <w:pPr>
        <w:spacing w:line="240" w:lineRule="auto" w:before="9"/>
        <w:rPr>
          <w:rFonts w:ascii="宋体" w:hAnsi="宋体" w:cs="宋体" w:eastAsia="宋体"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2408"/>
        <w:gridCol w:w="2411"/>
        <w:gridCol w:w="2410"/>
        <w:gridCol w:w="2268"/>
      </w:tblGrid>
      <w:tr>
        <w:trPr>
          <w:trHeight w:val="337" w:hRule="exact"/>
        </w:trPr>
        <w:tc>
          <w:tcPr>
            <w:tcW w:w="240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408" w:type="dxa"/>
            <w:vMerge/>
            <w:tcBorders>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1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1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275,496,443.27</w:t>
            </w:r>
          </w:p>
        </w:tc>
        <w:tc>
          <w:tcPr>
            <w:tcW w:w="24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13,774,822.16</w:t>
            </w:r>
          </w:p>
        </w:tc>
        <w:tc>
          <w:tcPr>
            <w:tcW w:w="22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18"/>
                <w:szCs w:val="18"/>
              </w:rPr>
            </w:pPr>
            <w:r>
              <w:rPr>
                <w:rFonts w:ascii="Times New Roman"/>
                <w:sz w:val="18"/>
              </w:rPr>
              <w:t>5.00%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30,477,603.21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3,047,760.32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3,060,100.00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918,030.00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30.00%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1,847,993.21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923,996.61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50.00%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288,549.54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230,839.63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80.00%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41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311,170,689.23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18,895,448.72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6.07%</w:t>
            </w:r>
          </w:p>
        </w:tc>
      </w:tr>
    </w:tbl>
    <w:p>
      <w:pPr>
        <w:spacing w:line="240" w:lineRule="auto" w:before="10"/>
        <w:rPr>
          <w:rFonts w:ascii="宋体" w:hAnsi="宋体" w:cs="宋体" w:eastAsia="宋体" w:hint="default"/>
          <w:sz w:val="5"/>
          <w:szCs w:val="5"/>
        </w:rPr>
      </w:pPr>
    </w:p>
    <w:p>
      <w:pPr>
        <w:pStyle w:val="Heading5"/>
        <w:spacing w:line="240" w:lineRule="auto" w:before="38"/>
        <w:ind w:left="574" w:right="0"/>
        <w:jc w:val="left"/>
      </w:pPr>
      <w:r>
        <w:rPr/>
        <w:t>确定该组合依据的说明：</w:t>
      </w:r>
    </w:p>
    <w:p>
      <w:pPr>
        <w:pStyle w:val="Heading5"/>
        <w:spacing w:line="285" w:lineRule="auto" w:before="170"/>
        <w:ind w:right="0" w:firstLine="420"/>
        <w:jc w:val="left"/>
      </w:pPr>
      <w:r>
        <w:rPr/>
        <w:t>已单独计提坏账准备的应收账款除外，公司根据以前年度与之相同或相类似的、按账龄段划分的具有类似</w:t>
      </w:r>
      <w:r>
        <w:rPr>
          <w:w w:val="100"/>
        </w:rPr>
        <w:t> </w:t>
      </w:r>
      <w:r>
        <w:rPr/>
        <w:t>信用风险特征的应收账款组合的实际损失率为基础，结合现时情况确定本期坏账准备的计提比例。</w:t>
      </w:r>
    </w:p>
    <w:p>
      <w:pPr>
        <w:pStyle w:val="BodyText"/>
        <w:spacing w:line="240" w:lineRule="auto" w:before="149"/>
        <w:ind w:right="0"/>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left"/>
      </w:pPr>
      <w:bookmarkStart w:name="（2）本期计提、收回或转回的坏账准备情况" w:id="238"/>
      <w:bookmarkEnd w:id="238"/>
      <w:r>
        <w:rPr/>
      </w:r>
      <w:r>
        <w:rPr/>
        <w:t>（</w:t>
      </w:r>
      <w:r>
        <w:rPr>
          <w:rFonts w:ascii="Times New Roman" w:hAnsi="Times New Roman" w:cs="Times New Roman" w:eastAsia="Times New Roman" w:hint="default"/>
        </w:rPr>
        <w:t>2</w:t>
      </w:r>
      <w:r>
        <w:rPr/>
        <w:t>）本期计提、收回或转回的坏账准备情况</w:t>
      </w:r>
    </w:p>
    <w:p>
      <w:pPr>
        <w:spacing w:line="240" w:lineRule="auto" w:before="1"/>
        <w:rPr>
          <w:rFonts w:ascii="宋体" w:hAnsi="宋体" w:cs="宋体" w:eastAsia="宋体" w:hint="default"/>
          <w:sz w:val="27"/>
          <w:szCs w:val="27"/>
        </w:rPr>
      </w:pPr>
    </w:p>
    <w:p>
      <w:pPr>
        <w:pStyle w:val="BodyText"/>
        <w:spacing w:line="240" w:lineRule="auto"/>
        <w:ind w:left="154" w:right="0"/>
        <w:jc w:val="left"/>
      </w:pPr>
      <w:r>
        <w:rPr/>
        <w:t>本期计提坏账准备金额</w:t>
      </w:r>
      <w:r>
        <w:rPr>
          <w:spacing w:val="-49"/>
        </w:rPr>
        <w:t> </w:t>
      </w:r>
      <w:r>
        <w:rPr>
          <w:rFonts w:ascii="Times New Roman" w:hAnsi="Times New Roman" w:cs="Times New Roman" w:eastAsia="Times New Roman" w:hint="default"/>
        </w:rPr>
        <w:t>113,548,647.83</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bookmarkStart w:name="（3）本期实际核销的应收账款情况" w:id="239"/>
      <w:bookmarkEnd w:id="239"/>
      <w:r>
        <w:rPr/>
      </w:r>
      <w:r>
        <w:rPr/>
        <w:t>（</w:t>
      </w: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p>
    <w:p>
      <w:pPr>
        <w:pStyle w:val="BodyText"/>
        <w:spacing w:line="240" w:lineRule="auto" w:before="1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614" w:lineRule="exact" w:before="81"/>
        <w:ind w:left="574" w:right="0" w:hanging="420"/>
        <w:jc w:val="left"/>
      </w:pPr>
      <w:bookmarkStart w:name="（4）按欠款方归集的期末余额前五名的应收账款情况" w:id="240"/>
      <w:bookmarkEnd w:id="240"/>
      <w:r>
        <w:rPr/>
      </w:r>
      <w:r>
        <w:rPr/>
        <w:t>（</w:t>
      </w:r>
      <w:r>
        <w:rPr>
          <w:rFonts w:ascii="Times New Roman" w:hAnsi="Times New Roman" w:cs="Times New Roman" w:eastAsia="Times New Roman" w:hint="default"/>
        </w:rPr>
        <w:t>4</w:t>
      </w:r>
      <w:r>
        <w:rPr/>
        <w:t>）按欠款方归集的期末余额前五名的应收账款情况 </w:t>
      </w:r>
      <w:r>
        <w:rPr>
          <w:spacing w:val="5"/>
        </w:rPr>
        <w:t>本报告期按欠款方归集的期末余额前五名应收账款汇总金额</w:t>
      </w:r>
      <w:r>
        <w:rPr>
          <w:rFonts w:ascii="Times New Roman" w:hAnsi="Times New Roman" w:cs="Times New Roman" w:eastAsia="Times New Roman" w:hint="default"/>
          <w:spacing w:val="5"/>
        </w:rPr>
        <w:t>523,667,700.11</w:t>
      </w:r>
      <w:r>
        <w:rPr>
          <w:spacing w:val="5"/>
        </w:rPr>
        <w:t>元，占应收账款期末余额合计数的比例</w:t>
      </w:r>
    </w:p>
    <w:p>
      <w:pPr>
        <w:pStyle w:val="BodyText"/>
        <w:spacing w:line="228" w:lineRule="exact"/>
        <w:ind w:right="0"/>
        <w:jc w:val="left"/>
      </w:pPr>
      <w:r>
        <w:rPr>
          <w:rFonts w:ascii="Times New Roman" w:hAnsi="Times New Roman" w:cs="Times New Roman" w:eastAsia="Times New Roman" w:hint="default"/>
        </w:rPr>
        <w:t>10.32%</w:t>
      </w:r>
      <w:r>
        <w:rPr/>
        <w:t>，相应计提的坏账准备期末余额汇总金额</w:t>
      </w:r>
      <w:r>
        <w:rPr>
          <w:rFonts w:ascii="Times New Roman" w:hAnsi="Times New Roman" w:cs="Times New Roman" w:eastAsia="Times New Roman" w:hint="default"/>
        </w:rPr>
        <w:t>34,914,589.78</w:t>
      </w:r>
      <w:r>
        <w:rPr/>
        <w:t>元。</w:t>
      </w:r>
    </w:p>
    <w:p>
      <w:pPr>
        <w:spacing w:line="240" w:lineRule="auto" w:before="0"/>
        <w:rPr>
          <w:rFonts w:ascii="宋体" w:hAnsi="宋体" w:cs="宋体" w:eastAsia="宋体" w:hint="default"/>
          <w:sz w:val="18"/>
          <w:szCs w:val="18"/>
        </w:rPr>
      </w:pPr>
    </w:p>
    <w:p>
      <w:pPr>
        <w:pStyle w:val="BodyText"/>
        <w:spacing w:line="590" w:lineRule="auto" w:before="128"/>
        <w:ind w:left="154" w:right="7242"/>
        <w:jc w:val="left"/>
      </w:pPr>
      <w:bookmarkStart w:name="（5）因金融资产转移而终止确认的应收账款" w:id="241"/>
      <w:bookmarkEnd w:id="241"/>
      <w:r>
        <w:rPr/>
      </w:r>
      <w:r>
        <w:rPr/>
        <w:t>（</w:t>
      </w:r>
      <w:r>
        <w:rPr>
          <w:rFonts w:ascii="Times New Roman" w:hAnsi="Times New Roman" w:cs="Times New Roman" w:eastAsia="Times New Roman" w:hint="default"/>
        </w:rPr>
        <w:t>5</w:t>
      </w:r>
      <w:r>
        <w:rPr/>
        <w:t>）因金融资产转移而终止确认的应收账款 无。</w:t>
      </w:r>
    </w:p>
    <w:p>
      <w:pPr>
        <w:spacing w:line="554" w:lineRule="auto" w:before="97"/>
        <w:ind w:left="153" w:right="6253" w:firstLine="0"/>
        <w:jc w:val="left"/>
        <w:rPr>
          <w:rFonts w:ascii="宋体" w:hAnsi="宋体" w:cs="宋体" w:eastAsia="宋体" w:hint="default"/>
          <w:sz w:val="18"/>
          <w:szCs w:val="18"/>
        </w:rPr>
      </w:pPr>
      <w:bookmarkStart w:name="（6）转移应收账款且继续涉入形成的资产、负债金额" w:id="242"/>
      <w:bookmarkEnd w:id="242"/>
      <w:r>
        <w:rPr/>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）转移应收账款且继</w:t>
      </w:r>
      <w:r>
        <w:rPr>
          <w:rFonts w:ascii="宋体" w:hAnsi="宋体" w:cs="宋体" w:eastAsia="宋体" w:hint="default"/>
          <w:spacing w:val="-1"/>
          <w:sz w:val="20"/>
          <w:szCs w:val="20"/>
        </w:rPr>
        <w:t>续涉入形成的资产、负债金额</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18"/>
          <w:szCs w:val="18"/>
        </w:rPr>
        <w:t>无。</w:t>
      </w:r>
    </w:p>
    <w:p>
      <w:pPr>
        <w:pStyle w:val="Heading3"/>
        <w:spacing w:line="240" w:lineRule="auto" w:before="115"/>
        <w:ind w:left="154" w:right="0"/>
        <w:jc w:val="left"/>
        <w:rPr>
          <w:b w:val="0"/>
          <w:bCs w:val="0"/>
        </w:rPr>
      </w:pPr>
      <w:bookmarkStart w:name="6、预付款项" w:id="243"/>
      <w:bookmarkEnd w:id="243"/>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left="154" w:right="0"/>
        <w:jc w:val="left"/>
      </w:pPr>
      <w:bookmarkStart w:name="（1）预付款项按账龄列示" w:id="244"/>
      <w:bookmarkEnd w:id="244"/>
      <w:r>
        <w:rPr/>
      </w:r>
      <w:r>
        <w:rPr/>
        <w:t>（</w:t>
      </w:r>
      <w:r>
        <w:rPr>
          <w:rFonts w:ascii="Times New Roman" w:hAnsi="Times New Roman" w:cs="Times New Roman" w:eastAsia="Times New Roman" w:hint="default"/>
        </w:rPr>
        <w:t>1</w:t>
      </w:r>
      <w:r>
        <w:rPr/>
        <w:t>）预付款项按账龄列示</w:t>
      </w:r>
    </w:p>
    <w:p>
      <w:pPr>
        <w:spacing w:line="240" w:lineRule="auto" w:before="12"/>
        <w:rPr>
          <w:rFonts w:ascii="宋体" w:hAnsi="宋体" w:cs="宋体" w:eastAsia="宋体" w:hint="default"/>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747,329,987.91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529,168,470.17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80,785,350.11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36,076,340.76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20,843,428.26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9,965,063.38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6,893,477.92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7,229,314.21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855,852,244.20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582,439,188.52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6"/>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635"/>
        <w:gridCol w:w="4095"/>
        <w:gridCol w:w="1931"/>
        <w:gridCol w:w="2976"/>
      </w:tblGrid>
      <w:tr>
        <w:trPr>
          <w:trHeight w:val="337" w:hRule="exact"/>
        </w:trPr>
        <w:tc>
          <w:tcPr>
            <w:tcW w:w="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3"/>
              <w:jc w:val="center"/>
              <w:rPr>
                <w:rFonts w:ascii="宋体" w:hAnsi="宋体" w:cs="宋体" w:eastAsia="宋体" w:hint="default"/>
                <w:sz w:val="18"/>
                <w:szCs w:val="18"/>
              </w:rPr>
            </w:pPr>
            <w:r>
              <w:rPr>
                <w:rFonts w:ascii="宋体" w:hAnsi="宋体" w:cs="宋体" w:eastAsia="宋体" w:hint="default"/>
                <w:sz w:val="18"/>
                <w:szCs w:val="18"/>
              </w:rPr>
              <w:t>序号</w:t>
            </w:r>
          </w:p>
        </w:tc>
        <w:tc>
          <w:tcPr>
            <w:tcW w:w="40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债务人</w:t>
            </w:r>
          </w:p>
        </w:tc>
        <w:tc>
          <w:tcPr>
            <w:tcW w:w="19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未及时结算的原因</w:t>
            </w:r>
          </w:p>
        </w:tc>
      </w:tr>
      <w:tr>
        <w:trPr>
          <w:trHeight w:val="342" w:hRule="exact"/>
        </w:trPr>
        <w:tc>
          <w:tcPr>
            <w:tcW w:w="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1</w:t>
            </w:r>
          </w:p>
        </w:tc>
        <w:tc>
          <w:tcPr>
            <w:tcW w:w="40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四川长虹网络科技有限责任公司</w:t>
            </w:r>
          </w:p>
        </w:tc>
        <w:tc>
          <w:tcPr>
            <w:tcW w:w="1931"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4"/>
              <w:ind w:right="2"/>
              <w:jc w:val="right"/>
              <w:rPr>
                <w:rFonts w:ascii="Times New Roman" w:hAnsi="Times New Roman" w:cs="Times New Roman" w:eastAsia="Times New Roman" w:hint="default"/>
                <w:sz w:val="18"/>
                <w:szCs w:val="18"/>
              </w:rPr>
            </w:pPr>
            <w:r>
              <w:rPr>
                <w:rFonts w:ascii="Times New Roman"/>
                <w:spacing w:val="-1"/>
                <w:sz w:val="18"/>
              </w:rPr>
              <w:t>7,067,100.00</w:t>
            </w:r>
          </w:p>
        </w:tc>
        <w:tc>
          <w:tcPr>
            <w:tcW w:w="29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2" w:hRule="exact"/>
        </w:trPr>
        <w:tc>
          <w:tcPr>
            <w:tcW w:w="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2</w:t>
            </w:r>
          </w:p>
        </w:tc>
        <w:tc>
          <w:tcPr>
            <w:tcW w:w="40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上海慧与有限公司</w:t>
            </w:r>
          </w:p>
        </w:tc>
        <w:tc>
          <w:tcPr>
            <w:tcW w:w="193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6,526,580.19</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2" w:hRule="exact"/>
        </w:trPr>
        <w:tc>
          <w:tcPr>
            <w:tcW w:w="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3</w:t>
            </w:r>
          </w:p>
        </w:tc>
        <w:tc>
          <w:tcPr>
            <w:tcW w:w="40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郑州豫网辉信息科技有限公司</w:t>
            </w:r>
          </w:p>
        </w:tc>
        <w:tc>
          <w:tcPr>
            <w:tcW w:w="193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5,446,068.70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2" w:hRule="exact"/>
        </w:trPr>
        <w:tc>
          <w:tcPr>
            <w:tcW w:w="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4</w:t>
            </w:r>
          </w:p>
        </w:tc>
        <w:tc>
          <w:tcPr>
            <w:tcW w:w="40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国际商业机器全球服务（中国）有限公司</w:t>
            </w:r>
          </w:p>
        </w:tc>
        <w:tc>
          <w:tcPr>
            <w:tcW w:w="193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3,732,362.77</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2" w:hRule="exact"/>
        </w:trPr>
        <w:tc>
          <w:tcPr>
            <w:tcW w:w="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5</w:t>
            </w:r>
          </w:p>
        </w:tc>
        <w:tc>
          <w:tcPr>
            <w:tcW w:w="40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深圳市拓威供应链管理有限公司</w:t>
            </w:r>
          </w:p>
        </w:tc>
        <w:tc>
          <w:tcPr>
            <w:tcW w:w="193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3,283,120.00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2" w:hRule="exact"/>
        </w:trPr>
        <w:tc>
          <w:tcPr>
            <w:tcW w:w="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6</w:t>
            </w:r>
          </w:p>
        </w:tc>
        <w:tc>
          <w:tcPr>
            <w:tcW w:w="40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信诺瑞得（北京）科技有限公司</w:t>
            </w:r>
          </w:p>
        </w:tc>
        <w:tc>
          <w:tcPr>
            <w:tcW w:w="193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2,681,002.00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预付购货款</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按预付对象归集的期末余额前五名的预付款情况" w:id="245"/>
      <w:bookmarkEnd w:id="24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19"/>
        <w:gridCol w:w="851"/>
        <w:gridCol w:w="1417"/>
        <w:gridCol w:w="1844"/>
        <w:gridCol w:w="992"/>
        <w:gridCol w:w="1276"/>
      </w:tblGrid>
      <w:tr>
        <w:trPr>
          <w:trHeight w:val="343"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0" w:right="0"/>
              <w:jc w:val="left"/>
              <w:rPr>
                <w:rFonts w:ascii="宋体" w:hAnsi="宋体" w:cs="宋体" w:eastAsia="宋体" w:hint="default"/>
                <w:sz w:val="18"/>
                <w:szCs w:val="18"/>
              </w:rPr>
            </w:pPr>
            <w:r>
              <w:rPr>
                <w:rFonts w:ascii="宋体" w:hAnsi="宋体" w:cs="宋体" w:eastAsia="宋体" w:hint="default"/>
                <w:sz w:val="18"/>
                <w:szCs w:val="18"/>
              </w:rPr>
              <w:t>与本公司</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6" w:right="0"/>
              <w:jc w:val="left"/>
              <w:rPr>
                <w:rFonts w:ascii="宋体" w:hAnsi="宋体" w:cs="宋体" w:eastAsia="宋体" w:hint="default"/>
                <w:sz w:val="18"/>
                <w:szCs w:val="18"/>
              </w:rPr>
            </w:pPr>
            <w:r>
              <w:rPr>
                <w:rFonts w:ascii="宋体" w:hAnsi="宋体" w:cs="宋体" w:eastAsia="宋体" w:hint="default"/>
                <w:sz w:val="18"/>
                <w:szCs w:val="18"/>
              </w:rPr>
              <w:t>占预付款项期末余额合</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b/>
          <w:bCs/>
          <w:sz w:val="28"/>
          <w:szCs w:val="28"/>
        </w:rPr>
      </w:pPr>
    </w:p>
    <w:tbl>
      <w:tblPr>
        <w:tblW w:w="0" w:type="auto"/>
        <w:jc w:val="left"/>
        <w:tblInd w:w="151" w:type="dxa"/>
        <w:tblLayout w:type="fixed"/>
        <w:tblCellMar>
          <w:top w:w="0" w:type="dxa"/>
          <w:left w:w="0" w:type="dxa"/>
          <w:bottom w:w="0" w:type="dxa"/>
          <w:right w:w="0" w:type="dxa"/>
        </w:tblCellMar>
        <w:tblLook w:val="01E0"/>
      </w:tblPr>
      <w:tblGrid>
        <w:gridCol w:w="3117"/>
        <w:gridCol w:w="851"/>
        <w:gridCol w:w="1417"/>
        <w:gridCol w:w="1844"/>
        <w:gridCol w:w="992"/>
        <w:gridCol w:w="1276"/>
      </w:tblGrid>
      <w:tr>
        <w:trPr>
          <w:trHeight w:val="337"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关系</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42"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新华三技术有限公司</w:t>
            </w:r>
          </w:p>
        </w:tc>
        <w:tc>
          <w:tcPr>
            <w:tcW w:w="85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53,246,134.67</w:t>
            </w:r>
          </w:p>
        </w:tc>
        <w:tc>
          <w:tcPr>
            <w:tcW w:w="18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6.22%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2"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北京佳讯飞鸿电气股份有限</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47,608,115.82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2"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深圳市户户通供应链管理有限公司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40,208,000.00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2"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上海元亿国际贸易有限公司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32,029,848.58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2"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深圳市卓盟科技有限公司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23,942,295.94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预付购货款</w:t>
            </w:r>
          </w:p>
        </w:tc>
      </w:tr>
      <w:tr>
        <w:trPr>
          <w:trHeight w:val="342" w:hRule="exact"/>
        </w:trPr>
        <w:tc>
          <w:tcPr>
            <w:tcW w:w="3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197,034,395.01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23.02%</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6"/>
          <w:szCs w:val="6"/>
        </w:rPr>
      </w:pPr>
    </w:p>
    <w:p>
      <w:pPr>
        <w:pStyle w:val="BodyText"/>
        <w:spacing w:line="240" w:lineRule="auto" w:before="44"/>
        <w:ind w:left="154" w:right="0"/>
        <w:jc w:val="left"/>
      </w:pPr>
      <w:r>
        <w:rPr/>
        <w:t>注</w:t>
      </w:r>
      <w:r>
        <w:rPr>
          <w:rFonts w:ascii="Times New Roman" w:hAnsi="Times New Roman" w:cs="Times New Roman" w:eastAsia="Times New Roman" w:hint="default"/>
        </w:rPr>
        <w:t>1</w:t>
      </w:r>
      <w:r>
        <w:rPr/>
        <w:t>：其中</w:t>
      </w:r>
      <w:r>
        <w:rPr>
          <w:rFonts w:ascii="Times New Roman" w:hAnsi="Times New Roman" w:cs="Times New Roman" w:eastAsia="Times New Roman" w:hint="default"/>
        </w:rPr>
        <w:t>1</w:t>
      </w:r>
      <w:r>
        <w:rPr/>
        <w:t>年以内</w:t>
      </w:r>
      <w:r>
        <w:rPr>
          <w:rFonts w:ascii="Times New Roman" w:hAnsi="Times New Roman" w:cs="Times New Roman" w:eastAsia="Times New Roman" w:hint="default"/>
        </w:rPr>
        <w:t>51,826,067.67</w:t>
      </w:r>
      <w:r>
        <w:rPr/>
        <w:t>元，</w:t>
      </w:r>
      <w:r>
        <w:rPr>
          <w:rFonts w:ascii="Times New Roman" w:hAnsi="Times New Roman" w:cs="Times New Roman" w:eastAsia="Times New Roman" w:hint="default"/>
        </w:rPr>
        <w:t>2-3</w:t>
      </w:r>
      <w:r>
        <w:rPr/>
        <w:t>年</w:t>
      </w:r>
      <w:r>
        <w:rPr>
          <w:rFonts w:ascii="Times New Roman" w:hAnsi="Times New Roman" w:cs="Times New Roman" w:eastAsia="Times New Roman" w:hint="default"/>
        </w:rPr>
        <w:t>1,420,067.00</w:t>
      </w:r>
      <w:r>
        <w:rPr/>
        <w:t>元。</w:t>
      </w:r>
    </w:p>
    <w:p>
      <w:pPr>
        <w:spacing w:line="240" w:lineRule="auto" w:before="13"/>
        <w:rPr>
          <w:rFonts w:ascii="宋体" w:hAnsi="宋体" w:cs="宋体" w:eastAsia="宋体" w:hint="default"/>
          <w:sz w:val="13"/>
          <w:szCs w:val="13"/>
        </w:rPr>
      </w:pPr>
    </w:p>
    <w:p>
      <w:pPr>
        <w:pStyle w:val="BodyText"/>
        <w:spacing w:line="240" w:lineRule="auto"/>
        <w:ind w:left="154" w:right="0"/>
        <w:jc w:val="left"/>
      </w:pPr>
      <w:r>
        <w:rPr/>
        <w:t>注</w:t>
      </w:r>
      <w:r>
        <w:rPr>
          <w:rFonts w:ascii="Times New Roman" w:hAnsi="Times New Roman" w:cs="Times New Roman" w:eastAsia="Times New Roman" w:hint="default"/>
        </w:rPr>
        <w:t>2</w:t>
      </w:r>
      <w:r>
        <w:rPr/>
        <w:t>：其中</w:t>
      </w:r>
      <w:r>
        <w:rPr>
          <w:rFonts w:ascii="Times New Roman" w:hAnsi="Times New Roman" w:cs="Times New Roman" w:eastAsia="Times New Roman" w:hint="default"/>
        </w:rPr>
        <w:t>1</w:t>
      </w:r>
      <w:r>
        <w:rPr/>
        <w:t>年以内</w:t>
      </w:r>
      <w:r>
        <w:rPr>
          <w:rFonts w:ascii="Times New Roman" w:hAnsi="Times New Roman" w:cs="Times New Roman" w:eastAsia="Times New Roman" w:hint="default"/>
        </w:rPr>
        <w:t>32,008,351.51</w:t>
      </w:r>
      <w:r>
        <w:rPr/>
        <w:t>元，</w:t>
      </w:r>
      <w:r>
        <w:rPr>
          <w:rFonts w:ascii="Times New Roman" w:hAnsi="Times New Roman" w:cs="Times New Roman" w:eastAsia="Times New Roman" w:hint="default"/>
        </w:rPr>
        <w:t>1-2</w:t>
      </w:r>
      <w:r>
        <w:rPr/>
        <w:t>年</w:t>
      </w:r>
      <w:r>
        <w:rPr>
          <w:rFonts w:ascii="Times New Roman" w:hAnsi="Times New Roman" w:cs="Times New Roman" w:eastAsia="Times New Roman" w:hint="default"/>
        </w:rPr>
        <w:t>21,497.07</w:t>
      </w:r>
      <w:r>
        <w:rPr/>
        <w:t>元。</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7、应收利息" w:id="246"/>
      <w:bookmarkEnd w:id="246"/>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54" w:right="0"/>
        <w:jc w:val="left"/>
      </w:pPr>
      <w:r>
        <w:rPr/>
        <w:t>（</w:t>
      </w:r>
      <w:r>
        <w:rPr>
          <w:rFonts w:ascii="Times New Roman" w:hAnsi="Times New Roman" w:cs="Times New Roman" w:eastAsia="Times New Roman" w:hint="default"/>
        </w:rPr>
        <w:t>1</w:t>
      </w:r>
      <w:r>
        <w:rPr/>
        <w:t>）应收利息分类</w:t>
      </w:r>
    </w:p>
    <w:p>
      <w:pPr>
        <w:spacing w:line="240" w:lineRule="auto" w:before="11"/>
        <w:rPr>
          <w:rFonts w:ascii="宋体" w:hAnsi="宋体" w:cs="宋体" w:eastAsia="宋体" w:hint="default"/>
          <w:sz w:val="19"/>
          <w:szCs w:val="19"/>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9"/>
          <w:szCs w:val="19"/>
        </w:rPr>
      </w:pPr>
    </w:p>
    <w:p>
      <w:pPr>
        <w:pStyle w:val="BodyText"/>
        <w:spacing w:line="240" w:lineRule="auto"/>
        <w:ind w:right="0"/>
        <w:jc w:val="left"/>
      </w:pPr>
      <w:r>
        <w:rPr/>
        <w:t>（</w:t>
      </w:r>
      <w:r>
        <w:rPr>
          <w:rFonts w:ascii="Times New Roman" w:hAnsi="Times New Roman" w:cs="Times New Roman" w:eastAsia="Times New Roman" w:hint="default"/>
        </w:rPr>
        <w:t>2</w:t>
      </w:r>
      <w:r>
        <w:rPr/>
        <w:t>）重要逾期利息</w:t>
      </w:r>
    </w:p>
    <w:p>
      <w:pPr>
        <w:spacing w:line="240" w:lineRule="auto" w:before="10"/>
        <w:rPr>
          <w:rFonts w:ascii="宋体" w:hAnsi="宋体" w:cs="宋体" w:eastAsia="宋体" w:hint="default"/>
          <w:sz w:val="19"/>
          <w:szCs w:val="19"/>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8、应收股利" w:id="247"/>
      <w:bookmarkEnd w:id="247"/>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9、其他应收款" w:id="248"/>
      <w:bookmarkEnd w:id="248"/>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pPr>
      <w:bookmarkStart w:name="（1）其他应收款分类披露" w:id="249"/>
      <w:bookmarkEnd w:id="249"/>
      <w:r>
        <w:rPr/>
      </w:r>
      <w:r>
        <w:rPr/>
        <w:t>（</w:t>
      </w:r>
      <w:r>
        <w:rPr>
          <w:rFonts w:ascii="Times New Roman" w:hAnsi="Times New Roman" w:cs="Times New Roman" w:eastAsia="Times New Roman" w:hint="default"/>
        </w:rPr>
        <w:t>1</w:t>
      </w:r>
      <w:r>
        <w:rPr/>
        <w:t>）其他应收款分类披露</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572,014,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478.02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63,941,6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89.15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508,072,7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88.87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550,106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,287.58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48,071,53</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502,034,75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1.40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572,014,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478.02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63,941,6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89.15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11.18%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508,072,7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88.87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550,106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,287.58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48,071,53</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6.18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8.74%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502,034,75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1.40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288,322,549.43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2,883,225.53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75,499,777.63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3,774,988.88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52,226,909.65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5,222,690.97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28,620,790.49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8,586,237.15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13,333,609.44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4,000,082.83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34,662,369.14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34,662,369.14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492,666,005.78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59,129,594.50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w:t>
            </w:r>
          </w:p>
        </w:tc>
      </w:tr>
    </w:tbl>
    <w:p>
      <w:pPr>
        <w:pStyle w:val="BodyText"/>
        <w:spacing w:line="240" w:lineRule="auto" w:before="51"/>
        <w:ind w:left="154" w:right="0"/>
        <w:jc w:val="left"/>
      </w:pPr>
      <w:r>
        <w:rPr/>
        <w:t>确定该组合依据的说明：</w:t>
      </w:r>
    </w:p>
    <w:p>
      <w:pPr>
        <w:spacing w:line="240" w:lineRule="auto" w:before="9"/>
        <w:rPr>
          <w:rFonts w:ascii="宋体" w:hAnsi="宋体" w:cs="宋体" w:eastAsia="宋体" w:hint="default"/>
          <w:sz w:val="13"/>
          <w:szCs w:val="13"/>
        </w:rPr>
      </w:pPr>
    </w:p>
    <w:p>
      <w:pPr>
        <w:pStyle w:val="Heading5"/>
        <w:spacing w:line="240" w:lineRule="auto"/>
        <w:ind w:left="482" w:right="0"/>
        <w:jc w:val="left"/>
      </w:pPr>
      <w:r>
        <w:rPr/>
        <w:t>组合中，公司子公司</w:t>
      </w:r>
      <w:r>
        <w:rPr>
          <w:rFonts w:ascii="Times New Roman" w:hAnsi="Times New Roman" w:cs="Times New Roman" w:eastAsia="Times New Roman" w:hint="default"/>
        </w:rPr>
        <w:t>-</w:t>
      </w:r>
      <w:r>
        <w:rPr/>
        <w:t>深圳市至高通信技术发展有限公司按账龄分析法计提坏账准备的其他应收款</w:t>
      </w:r>
    </w:p>
    <w:p>
      <w:pPr>
        <w:spacing w:line="240" w:lineRule="auto" w:before="9"/>
        <w:rPr>
          <w:rFonts w:ascii="宋体" w:hAnsi="宋体" w:cs="宋体" w:eastAsia="宋体"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2408"/>
        <w:gridCol w:w="2411"/>
        <w:gridCol w:w="2268"/>
        <w:gridCol w:w="2551"/>
      </w:tblGrid>
      <w:tr>
        <w:trPr>
          <w:trHeight w:val="337" w:hRule="exact"/>
        </w:trPr>
        <w:tc>
          <w:tcPr>
            <w:tcW w:w="240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23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408" w:type="dxa"/>
            <w:vMerge/>
            <w:tcBorders>
              <w:left w:val="single" w:sz="4" w:space="0" w:color="000000"/>
              <w:bottom w:val="single" w:sz="4" w:space="0" w:color="000000"/>
              <w:right w:val="single" w:sz="4" w:space="0" w:color="000000"/>
            </w:tcBorders>
            <w:shd w:val="clear" w:color="auto" w:fill="D9D9D9"/>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75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5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1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75,841,200.73</w:t>
            </w:r>
          </w:p>
        </w:tc>
        <w:tc>
          <w:tcPr>
            <w:tcW w:w="22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3,792,060.03</w:t>
            </w:r>
          </w:p>
        </w:tc>
        <w:tc>
          <w:tcPr>
            <w:tcW w:w="255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z w:val="18"/>
              </w:rPr>
              <w:t>5.00%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1,483,613.20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148,361.32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501,694.75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150,508.43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1,379,961.91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689,980.96</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6,702.76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5,362.21</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80.00%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24,715.87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24,715.87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79,237,889.22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4,810,988.84</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6.07%</w:t>
            </w:r>
          </w:p>
        </w:tc>
      </w:tr>
    </w:tbl>
    <w:p>
      <w:pPr>
        <w:spacing w:line="240" w:lineRule="auto" w:before="8"/>
        <w:rPr>
          <w:rFonts w:ascii="宋体" w:hAnsi="宋体" w:cs="宋体" w:eastAsia="宋体" w:hint="default"/>
          <w:sz w:val="6"/>
          <w:szCs w:val="6"/>
        </w:rPr>
      </w:pPr>
    </w:p>
    <w:p>
      <w:pPr>
        <w:pStyle w:val="BodyText"/>
        <w:spacing w:line="240" w:lineRule="auto" w:before="44"/>
        <w:ind w:left="574" w:right="0"/>
        <w:jc w:val="left"/>
      </w:pPr>
      <w:r>
        <w:rPr/>
        <w:t>确定该组合依据的说明：</w:t>
      </w:r>
    </w:p>
    <w:p>
      <w:pPr>
        <w:spacing w:line="240" w:lineRule="auto" w:before="0"/>
        <w:rPr>
          <w:rFonts w:ascii="宋体" w:hAnsi="宋体" w:cs="宋体" w:eastAsia="宋体" w:hint="default"/>
          <w:sz w:val="15"/>
          <w:szCs w:val="15"/>
        </w:rPr>
      </w:pPr>
    </w:p>
    <w:p>
      <w:pPr>
        <w:pStyle w:val="BodyText"/>
        <w:spacing w:line="316" w:lineRule="auto"/>
        <w:ind w:right="0" w:firstLine="420"/>
        <w:jc w:val="left"/>
      </w:pPr>
      <w:r>
        <w:rPr/>
        <w:t>已单独计提坏账准备的其他应收款除外，公司根据以前年度与之相同或相类似的、按账龄段划分的具有类似信用风险 特征的其他应收款组合的实际损失率为基础，结合现时情况确定本期坏账准备的计提比例。</w:t>
      </w:r>
    </w:p>
    <w:p>
      <w:pPr>
        <w:spacing w:line="240" w:lineRule="auto" w:before="9"/>
        <w:rPr>
          <w:rFonts w:ascii="宋体" w:hAnsi="宋体" w:cs="宋体" w:eastAsia="宋体" w:hint="default"/>
          <w:sz w:val="16"/>
          <w:szCs w:val="16"/>
        </w:rPr>
      </w:pPr>
    </w:p>
    <w:p>
      <w:pPr>
        <w:pStyle w:val="BodyText"/>
        <w:spacing w:line="240" w:lineRule="auto"/>
        <w:ind w:right="0"/>
        <w:jc w:val="left"/>
      </w:pPr>
      <w:r>
        <w:rPr/>
        <w:t>组合中，采用余额百分比法计提坏账准备的其他应收款：</w:t>
      </w:r>
    </w:p>
    <w:p>
      <w:pPr>
        <w:spacing w:line="240" w:lineRule="auto" w:before="12"/>
        <w:rPr>
          <w:rFonts w:ascii="宋体" w:hAnsi="宋体" w:cs="宋体" w:eastAsia="宋体" w:hint="default"/>
          <w:sz w:val="20"/>
          <w:szCs w:val="20"/>
        </w:rPr>
      </w:pPr>
    </w:p>
    <w:p>
      <w:pPr>
        <w:pStyle w:val="BodyText"/>
        <w:spacing w:line="489"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85"/>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BodyText"/>
        <w:spacing w:line="240" w:lineRule="auto"/>
        <w:ind w:right="0"/>
        <w:jc w:val="left"/>
      </w:pPr>
      <w:bookmarkStart w:name="（2）本期计提、收回或转回的坏账准备情况" w:id="250"/>
      <w:bookmarkEnd w:id="250"/>
      <w:r>
        <w:rPr/>
      </w:r>
      <w:r>
        <w:rPr/>
        <w:t>（</w:t>
      </w:r>
      <w:r>
        <w:rPr>
          <w:rFonts w:ascii="Times New Roman" w:hAnsi="Times New Roman" w:cs="Times New Roman" w:eastAsia="Times New Roman" w:hint="default"/>
        </w:rPr>
        <w:t>2</w:t>
      </w:r>
      <w:r>
        <w:rPr/>
        <w:t>）本期计提、收回或转回的坏账准备情况</w:t>
      </w:r>
    </w:p>
    <w:p>
      <w:pPr>
        <w:spacing w:line="240" w:lineRule="auto" w:before="0"/>
        <w:rPr>
          <w:rFonts w:ascii="宋体" w:hAnsi="宋体" w:cs="宋体" w:eastAsia="宋体" w:hint="default"/>
          <w:sz w:val="18"/>
          <w:szCs w:val="18"/>
        </w:rPr>
      </w:pPr>
    </w:p>
    <w:p>
      <w:pPr>
        <w:pStyle w:val="BodyText"/>
        <w:spacing w:line="240" w:lineRule="auto" w:before="129"/>
        <w:ind w:left="154" w:right="0"/>
        <w:jc w:val="left"/>
      </w:pPr>
      <w:r>
        <w:rPr/>
        <w:t>本期计提坏账准备金额</w:t>
      </w:r>
      <w:r>
        <w:rPr>
          <w:spacing w:val="-47"/>
        </w:rPr>
        <w:t> </w:t>
      </w:r>
      <w:r>
        <w:rPr>
          <w:rFonts w:ascii="Times New Roman" w:hAnsi="Times New Roman" w:cs="Times New Roman" w:eastAsia="Times New Roman" w:hint="default"/>
        </w:rPr>
        <w:t>15,870,152.97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bookmarkStart w:name="（3）本期实际核销的其他应收款情况" w:id="251"/>
      <w:bookmarkEnd w:id="251"/>
      <w:r>
        <w:rPr/>
      </w:r>
      <w:r>
        <w:rPr/>
        <w:t>（</w:t>
      </w: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p>
    <w:p>
      <w:pPr>
        <w:pStyle w:val="BodyText"/>
        <w:spacing w:line="240" w:lineRule="auto" w:before="12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pPr>
      <w:bookmarkStart w:name="（4）其他应收款按款项性质分类情况" w:id="252"/>
      <w:bookmarkEnd w:id="252"/>
      <w:r>
        <w:rPr/>
      </w:r>
      <w:r>
        <w:rPr/>
        <w:t>（</w:t>
      </w:r>
      <w:r>
        <w:rPr>
          <w:rFonts w:ascii="Times New Roman" w:hAnsi="Times New Roman" w:cs="Times New Roman" w:eastAsia="Times New Roman" w:hint="default"/>
        </w:rPr>
        <w:t>4</w:t>
      </w:r>
      <w:r>
        <w:rPr/>
        <w:t>）其他应收款按款项性质分类情况</w:t>
      </w:r>
    </w:p>
    <w:p>
      <w:pPr>
        <w:spacing w:line="240" w:lineRule="auto" w:before="8"/>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115,537,248.30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156,240,025.61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150,624,849.09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123,215,012.14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148,647,190.63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144,741,283.52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外部往来款及其他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142,495,388.00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114,100,164.31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14,709,802.00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11,809,802.00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572,014,478.02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550,106,287.58</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5）按欠款方归集的期末余额前五名的其他应收款情况" w:id="253"/>
      <w:bookmarkEnd w:id="253"/>
      <w:r>
        <w:rPr/>
      </w:r>
      <w:r>
        <w:rPr/>
        <w:t>（</w:t>
      </w:r>
      <w:r>
        <w:rPr>
          <w:rFonts w:ascii="Times New Roman" w:hAnsi="Times New Roman" w:cs="Times New Roman" w:eastAsia="Times New Roman" w:hint="default"/>
        </w:rPr>
        <w:t>5</w:t>
      </w:r>
      <w:r>
        <w:rPr/>
        <w:t>）按欠款方归集的期末余额前五名的其他应收款情况</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6"/>
        <w:gridCol w:w="1595"/>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东华星联科技有限 公司</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33,292,625.16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332,926.25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深圳市贝尔加数据 信息有限公司</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26,619,303.40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266,193.03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深圳市鑫瑞康实业 发展有限公司</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256,000.00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深圳市晶格材料科 技有限公司</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201,800.00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郑一友</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11,809,802.00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590,490.10</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117,501,730.56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1,647,409.38</w:t>
            </w:r>
          </w:p>
        </w:tc>
      </w:tr>
    </w:tbl>
    <w:p>
      <w:pPr>
        <w:spacing w:line="240" w:lineRule="auto" w:before="6"/>
        <w:rPr>
          <w:rFonts w:ascii="宋体" w:hAnsi="宋体" w:cs="宋体" w:eastAsia="宋体" w:hint="default"/>
          <w:sz w:val="20"/>
          <w:szCs w:val="20"/>
        </w:rPr>
      </w:pPr>
    </w:p>
    <w:p>
      <w:pPr>
        <w:pStyle w:val="BodyText"/>
        <w:spacing w:line="240" w:lineRule="auto" w:before="44"/>
        <w:ind w:left="154" w:right="0"/>
        <w:jc w:val="left"/>
      </w:pPr>
      <w:bookmarkStart w:name="（6）涉及政府补助的应收款项" w:id="254"/>
      <w:bookmarkEnd w:id="254"/>
      <w:r>
        <w:rPr/>
      </w:r>
      <w:r>
        <w:rPr/>
        <w:t>（</w:t>
      </w:r>
      <w:r>
        <w:rPr>
          <w:rFonts w:ascii="Times New Roman" w:hAnsi="Times New Roman" w:cs="Times New Roman" w:eastAsia="Times New Roman" w:hint="default"/>
        </w:rPr>
        <w:t>6</w:t>
      </w:r>
      <w:r>
        <w:rPr/>
        <w:t>）涉及政府补助的应收款项</w:t>
      </w:r>
    </w:p>
    <w:p>
      <w:pPr>
        <w:spacing w:line="240" w:lineRule="auto" w:before="0"/>
        <w:rPr>
          <w:rFonts w:ascii="宋体" w:hAnsi="宋体" w:cs="宋体" w:eastAsia="宋体" w:hint="default"/>
          <w:sz w:val="18"/>
          <w:szCs w:val="18"/>
        </w:rPr>
      </w:pPr>
    </w:p>
    <w:p>
      <w:pPr>
        <w:pStyle w:val="BodyText"/>
        <w:spacing w:line="240" w:lineRule="auto" w:before="128"/>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592" w:lineRule="auto" w:before="126"/>
        <w:ind w:left="154" w:right="7062"/>
        <w:jc w:val="left"/>
      </w:pPr>
      <w:bookmarkStart w:name="（7）因金融资产转移而终止确认的其他应收款" w:id="255"/>
      <w:bookmarkEnd w:id="255"/>
      <w:r>
        <w:rPr/>
      </w:r>
      <w:r>
        <w:rPr/>
        <w:t>（</w:t>
      </w:r>
      <w:r>
        <w:rPr>
          <w:rFonts w:ascii="Times New Roman" w:hAnsi="Times New Roman" w:cs="Times New Roman" w:eastAsia="Times New Roman" w:hint="default"/>
        </w:rPr>
        <w:t>7</w:t>
      </w:r>
      <w:r>
        <w:rPr/>
        <w:t>）因金融资产转移而终止确认的其他应收款 无。</w:t>
      </w:r>
    </w:p>
    <w:p>
      <w:pPr>
        <w:spacing w:after="0" w:line="59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592" w:lineRule="auto" w:before="44"/>
        <w:ind w:left="154" w:right="6342"/>
        <w:jc w:val="left"/>
      </w:pPr>
      <w:bookmarkStart w:name="（8）转移其他应收款且继续涉入形成的资产、负债金额" w:id="256"/>
      <w:bookmarkEnd w:id="256"/>
      <w:r>
        <w:rPr/>
      </w:r>
      <w:r>
        <w:rPr/>
        <w:t>（</w:t>
      </w:r>
      <w:r>
        <w:rPr>
          <w:rFonts w:ascii="Times New Roman" w:hAnsi="Times New Roman" w:cs="Times New Roman" w:eastAsia="Times New Roman" w:hint="default"/>
        </w:rPr>
        <w:t>8</w:t>
      </w:r>
      <w:r>
        <w:rPr/>
        <w:t>）转移其他应收款且继续涉入形成的资产、负债金额 无。</w:t>
      </w:r>
    </w:p>
    <w:p>
      <w:pPr>
        <w:pStyle w:val="Heading3"/>
        <w:spacing w:line="240" w:lineRule="auto" w:before="85"/>
        <w:ind w:left="154" w:right="0"/>
        <w:jc w:val="left"/>
        <w:rPr>
          <w:b w:val="0"/>
          <w:bCs w:val="0"/>
        </w:rPr>
      </w:pPr>
      <w:bookmarkStart w:name="10、存货" w:id="257"/>
      <w:bookmarkEnd w:id="257"/>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512"/>
        <w:jc w:val="left"/>
      </w:pPr>
      <w:r>
        <w:rPr/>
        <w:t>公司是否需要遵守房地产行业的披露要求 否</w:t>
      </w:r>
    </w:p>
    <w:p>
      <w:pPr>
        <w:spacing w:line="240" w:lineRule="auto" w:before="10"/>
        <w:rPr>
          <w:rFonts w:ascii="宋体" w:hAnsi="宋体" w:cs="宋体" w:eastAsia="宋体" w:hint="default"/>
          <w:sz w:val="20"/>
          <w:szCs w:val="20"/>
        </w:rPr>
      </w:pPr>
    </w:p>
    <w:p>
      <w:pPr>
        <w:pStyle w:val="Heading5"/>
        <w:spacing w:line="240" w:lineRule="auto"/>
        <w:ind w:left="154" w:right="0"/>
        <w:jc w:val="left"/>
      </w:pPr>
      <w:bookmarkStart w:name="（1）存货分类" w:id="258"/>
      <w:bookmarkEnd w:id="258"/>
      <w:r>
        <w:rPr/>
      </w:r>
      <w:r>
        <w:rPr/>
        <w:t>（</w:t>
      </w:r>
      <w:r>
        <w:rPr>
          <w:rFonts w:ascii="Times New Roman" w:hAnsi="Times New Roman" w:cs="Times New Roman" w:eastAsia="Times New Roman" w:hint="default"/>
        </w:rPr>
        <w:t>1</w:t>
      </w:r>
      <w:r>
        <w:rPr/>
        <w:t>）存货分类</w:t>
      </w:r>
    </w:p>
    <w:p>
      <w:pPr>
        <w:spacing w:line="240" w:lineRule="auto" w:before="8"/>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13" w:space="0" w:color="FFFFFF"/>
            </w:tcBorders>
            <w:shd w:val="clear" w:color="auto" w:fill="D2D2D2"/>
          </w:tcPr>
          <w:p>
            <w:pPr/>
          </w:p>
        </w:tc>
        <w:tc>
          <w:tcPr>
            <w:tcW w:w="4113" w:type="dxa"/>
            <w:gridSpan w:val="3"/>
            <w:vMerge w:val="restart"/>
            <w:tcBorders>
              <w:top w:val="single" w:sz="4" w:space="0" w:color="000000"/>
              <w:left w:val="single" w:sz="13"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13" w:space="0" w:color="FFFFFF"/>
            </w:tcBorders>
            <w:shd w:val="clear" w:color="auto" w:fill="D2D2D2"/>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13" w:space="0" w:color="FFFFFF"/>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13" w:space="0" w:color="FFFFFF"/>
            </w:tcBorders>
            <w:shd w:val="clear" w:color="auto" w:fill="D2D2D2"/>
          </w:tcPr>
          <w:p>
            <w:pPr/>
          </w:p>
        </w:tc>
        <w:tc>
          <w:tcPr>
            <w:tcW w:w="1379" w:type="dxa"/>
            <w:vMerge w:val="restart"/>
            <w:tcBorders>
              <w:top w:val="single" w:sz="4" w:space="0" w:color="000000"/>
              <w:left w:val="single" w:sz="13" w:space="0" w:color="FFFFFF"/>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13" w:space="0" w:color="FFFFFF"/>
            </w:tcBorders>
            <w:shd w:val="clear" w:color="auto" w:fill="D2D2D2"/>
          </w:tcPr>
          <w:p>
            <w:pPr/>
          </w:p>
        </w:tc>
        <w:tc>
          <w:tcPr>
            <w:tcW w:w="1379" w:type="dxa"/>
            <w:vMerge/>
            <w:tcBorders>
              <w:left w:val="single" w:sz="13" w:space="0" w:color="FFFFFF"/>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47,717,598.52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4,211,011.19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43,506,587.33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49,813,820.23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3,282,379.25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46,531,440.98</w:t>
            </w:r>
          </w:p>
        </w:tc>
      </w:tr>
      <w:tr>
        <w:trPr>
          <w:trHeight w:val="402" w:hRule="exact"/>
        </w:trPr>
        <w:tc>
          <w:tcPr>
            <w:tcW w:w="13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3,265,336,618.86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3,265,336,618.86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2,401,178,720.80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2,401,178,720.80</w:t>
            </w:r>
          </w:p>
        </w:tc>
      </w:tr>
      <w:tr>
        <w:trPr>
          <w:trHeight w:val="402" w:hRule="exact"/>
        </w:trPr>
        <w:tc>
          <w:tcPr>
            <w:tcW w:w="1357" w:type="dxa"/>
            <w:tcBorders>
              <w:top w:val="single" w:sz="4" w:space="0" w:color="000000"/>
              <w:left w:val="single" w:sz="4" w:space="0" w:color="000000"/>
              <w:bottom w:val="single" w:sz="4" w:space="0" w:color="FFFFFF"/>
              <w:right w:val="single" w:sz="13" w:space="0" w:color="FFFFFF"/>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FFFFFF"/>
              <w:bottom w:val="single" w:sz="4" w:space="0" w:color="FFFFFF"/>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282,741,053.45</w:t>
            </w:r>
          </w:p>
        </w:tc>
        <w:tc>
          <w:tcPr>
            <w:tcW w:w="136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5,485,448.72</w:t>
            </w:r>
          </w:p>
        </w:tc>
        <w:tc>
          <w:tcPr>
            <w:tcW w:w="136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277,255,604.73</w:t>
            </w:r>
          </w:p>
        </w:tc>
        <w:tc>
          <w:tcPr>
            <w:tcW w:w="136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334,554,709.22</w:t>
            </w:r>
          </w:p>
        </w:tc>
        <w:tc>
          <w:tcPr>
            <w:tcW w:w="136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4,591,199.89</w:t>
            </w:r>
          </w:p>
        </w:tc>
        <w:tc>
          <w:tcPr>
            <w:tcW w:w="136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329,963,509.33</w:t>
            </w:r>
          </w:p>
        </w:tc>
      </w:tr>
      <w:tr>
        <w:trPr>
          <w:trHeight w:val="552" w:hRule="exact"/>
        </w:trPr>
        <w:tc>
          <w:tcPr>
            <w:tcW w:w="1357" w:type="dxa"/>
            <w:tcBorders>
              <w:top w:val="single" w:sz="4" w:space="0" w:color="FFFFFF"/>
              <w:left w:val="single" w:sz="4" w:space="0" w:color="000000"/>
              <w:bottom w:val="single" w:sz="4" w:space="0" w:color="000000"/>
              <w:right w:val="single" w:sz="13" w:space="0" w:color="FFFFFF"/>
            </w:tcBorders>
            <w:shd w:val="clear" w:color="auto" w:fill="D9D9D9"/>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79" w:type="dxa"/>
            <w:tcBorders>
              <w:top w:val="single" w:sz="4" w:space="0" w:color="FFFFFF"/>
              <w:left w:val="single" w:sz="13" w:space="0" w:color="FFFFFF"/>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31,123,868.11</w:t>
            </w:r>
          </w:p>
        </w:tc>
        <w:tc>
          <w:tcPr>
            <w:tcW w:w="1367" w:type="dxa"/>
            <w:tcBorders>
              <w:top w:val="single" w:sz="4" w:space="0" w:color="FFFFFF"/>
              <w:left w:val="single" w:sz="4" w:space="0" w:color="000000"/>
              <w:bottom w:val="single" w:sz="4" w:space="0" w:color="000000"/>
              <w:right w:val="single" w:sz="4" w:space="0" w:color="000000"/>
            </w:tcBorders>
          </w:tcPr>
          <w:p>
            <w:pPr/>
          </w:p>
        </w:tc>
        <w:tc>
          <w:tcPr>
            <w:tcW w:w="136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31,123,868.11</w:t>
            </w:r>
          </w:p>
        </w:tc>
        <w:tc>
          <w:tcPr>
            <w:tcW w:w="136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7,369,274.61</w:t>
            </w:r>
          </w:p>
        </w:tc>
        <w:tc>
          <w:tcPr>
            <w:tcW w:w="1367" w:type="dxa"/>
            <w:tcBorders>
              <w:top w:val="single" w:sz="4" w:space="0" w:color="FFFFFF"/>
              <w:left w:val="single" w:sz="4" w:space="0" w:color="000000"/>
              <w:bottom w:val="single" w:sz="4" w:space="0" w:color="000000"/>
              <w:right w:val="single" w:sz="4" w:space="0" w:color="000000"/>
            </w:tcBorders>
          </w:tcPr>
          <w:p>
            <w:pPr/>
          </w:p>
        </w:tc>
        <w:tc>
          <w:tcPr>
            <w:tcW w:w="136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7,369,274.61</w:t>
            </w:r>
          </w:p>
        </w:tc>
      </w:tr>
      <w:tr>
        <w:trPr>
          <w:trHeight w:val="402" w:hRule="exact"/>
        </w:trPr>
        <w:tc>
          <w:tcPr>
            <w:tcW w:w="1357"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4,166,191.94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4,166,191.94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182,259,599.80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182,259,599.80</w:t>
            </w:r>
          </w:p>
        </w:tc>
      </w:tr>
      <w:tr>
        <w:trPr>
          <w:trHeight w:val="402" w:hRule="exact"/>
        </w:trPr>
        <w:tc>
          <w:tcPr>
            <w:tcW w:w="1357"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48,906,621.40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48,906,621.40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27,666,663.44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27,666,663.44</w:t>
            </w:r>
          </w:p>
        </w:tc>
      </w:tr>
      <w:tr>
        <w:trPr>
          <w:trHeight w:val="402" w:hRule="exact"/>
        </w:trPr>
        <w:tc>
          <w:tcPr>
            <w:tcW w:w="13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3,679,991,952.28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9,696,459.91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3,670,295,492.37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3,002,842,788.10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7,873,579.14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2,994,969,208.96</w:t>
            </w:r>
          </w:p>
        </w:tc>
      </w:tr>
    </w:tbl>
    <w:p>
      <w:pPr>
        <w:pStyle w:val="BodyText"/>
        <w:spacing w:line="340" w:lineRule="auto" w:before="51"/>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9"/>
        <w:rPr>
          <w:rFonts w:ascii="宋体" w:hAnsi="宋体" w:cs="宋体" w:eastAsia="宋体" w:hint="default"/>
          <w:sz w:val="21"/>
          <w:szCs w:val="21"/>
        </w:rPr>
      </w:pPr>
    </w:p>
    <w:p>
      <w:pPr>
        <w:pStyle w:val="Heading5"/>
        <w:spacing w:line="240" w:lineRule="auto"/>
        <w:ind w:left="154" w:right="0"/>
        <w:jc w:val="left"/>
      </w:pPr>
      <w:bookmarkStart w:name="（2）存货跌价准备" w:id="259"/>
      <w:bookmarkEnd w:id="259"/>
      <w:r>
        <w:rPr/>
      </w:r>
      <w:r>
        <w:rPr/>
        <w:t>（</w:t>
      </w:r>
      <w:r>
        <w:rPr>
          <w:rFonts w:ascii="Times New Roman" w:hAnsi="Times New Roman" w:cs="Times New Roman" w:eastAsia="Times New Roman" w:hint="default"/>
        </w:rPr>
        <w:t>2</w:t>
      </w:r>
      <w:r>
        <w:rPr/>
        <w:t>）存货跌价准备</w:t>
      </w:r>
    </w:p>
    <w:p>
      <w:pPr>
        <w:spacing w:line="240" w:lineRule="auto" w:before="8"/>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3,282,379.25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2,203,506.50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1,274,874.56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4,211,011.19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4,591,199.89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5,094,791.96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4,200,543.13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5,485,448.72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7,873,579.14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7,298,298.46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5,475,417.69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9,696,459.91</w:t>
            </w:r>
          </w:p>
        </w:tc>
      </w:tr>
    </w:tbl>
    <w:p>
      <w:pPr>
        <w:spacing w:line="240" w:lineRule="auto" w:before="6"/>
        <w:rPr>
          <w:rFonts w:ascii="宋体" w:hAnsi="宋体" w:cs="宋体" w:eastAsia="宋体" w:hint="default"/>
          <w:sz w:val="20"/>
          <w:szCs w:val="20"/>
        </w:rPr>
      </w:pPr>
    </w:p>
    <w:p>
      <w:pPr>
        <w:pStyle w:val="BodyText"/>
        <w:spacing w:line="240" w:lineRule="auto" w:before="44"/>
        <w:ind w:left="154" w:right="0"/>
        <w:jc w:val="left"/>
      </w:pPr>
      <w:bookmarkStart w:name="（3）存货期末余额含有借款费用资本化金额的说明" w:id="260"/>
      <w:bookmarkEnd w:id="260"/>
      <w:r>
        <w:rPr/>
      </w:r>
      <w:r>
        <w:rPr/>
        <w:t>（</w:t>
      </w:r>
      <w:r>
        <w:rPr>
          <w:rFonts w:ascii="Times New Roman" w:hAnsi="Times New Roman" w:cs="Times New Roman" w:eastAsia="Times New Roman" w:hint="default"/>
        </w:rPr>
        <w:t>3</w:t>
      </w:r>
      <w:r>
        <w:rPr/>
        <w:t>）存货期末余额含有借款费用资本化金额的说明</w:t>
      </w:r>
    </w:p>
    <w:p>
      <w:pPr>
        <w:spacing w:line="240" w:lineRule="auto" w:before="0"/>
        <w:rPr>
          <w:rFonts w:ascii="宋体" w:hAnsi="宋体" w:cs="宋体" w:eastAsia="宋体" w:hint="default"/>
          <w:sz w:val="18"/>
          <w:szCs w:val="18"/>
        </w:rPr>
      </w:pPr>
    </w:p>
    <w:p>
      <w:pPr>
        <w:pStyle w:val="BodyText"/>
        <w:spacing w:line="240" w:lineRule="auto" w:before="12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6"/>
        <w:ind w:right="0"/>
        <w:jc w:val="left"/>
      </w:pPr>
      <w:bookmarkStart w:name="（4）期末建造合同形成的已完工未结算资产情况" w:id="261"/>
      <w:bookmarkEnd w:id="261"/>
      <w:r>
        <w:rPr/>
      </w:r>
      <w:r>
        <w:rPr/>
        <w:t>（</w:t>
      </w:r>
      <w:r>
        <w:rPr>
          <w:rFonts w:ascii="Times New Roman" w:hAnsi="Times New Roman" w:cs="Times New Roman" w:eastAsia="Times New Roman" w:hint="default"/>
        </w:rPr>
        <w:t>4</w:t>
      </w:r>
      <w:r>
        <w:rPr/>
        <w:t>）期末建造合同形成的已完工未结算资产情况</w:t>
      </w:r>
    </w:p>
    <w:p>
      <w:pPr>
        <w:spacing w:line="240" w:lineRule="auto" w:before="0"/>
        <w:rPr>
          <w:rFonts w:ascii="宋体" w:hAnsi="宋体" w:cs="宋体" w:eastAsia="宋体" w:hint="default"/>
          <w:sz w:val="18"/>
          <w:szCs w:val="18"/>
        </w:rPr>
      </w:pPr>
    </w:p>
    <w:p>
      <w:pPr>
        <w:pStyle w:val="BodyText"/>
        <w:spacing w:line="240" w:lineRule="auto" w:before="12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1、持有待售的资产" w:id="262"/>
      <w:bookmarkEnd w:id="262"/>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2、一年内到期的非流动资产" w:id="263"/>
      <w:bookmarkEnd w:id="263"/>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3、其他流动资产" w:id="264"/>
      <w:bookmarkEnd w:id="264"/>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229,541.39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203,212.37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87,207,446.68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20,536,228.78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5,787,054.27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83,603,095.59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839,602.46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94,063,444.80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104,342,536.74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4、可供出售金融资产" w:id="265"/>
      <w:bookmarkEnd w:id="265"/>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right="0"/>
        <w:jc w:val="left"/>
      </w:pPr>
      <w:bookmarkStart w:name="（1）可供出售金融资产情况" w:id="266"/>
      <w:bookmarkEnd w:id="266"/>
      <w:r>
        <w:rPr/>
      </w:r>
      <w:r>
        <w:rPr/>
        <w:t>（</w:t>
      </w:r>
      <w:r>
        <w:rPr>
          <w:rFonts w:ascii="Times New Roman" w:hAnsi="Times New Roman" w:cs="Times New Roman" w:eastAsia="Times New Roman" w:hint="default"/>
        </w:rPr>
        <w:t>1</w:t>
      </w:r>
      <w:r>
        <w:rPr/>
        <w:t>）可供出售金融资产情况</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664,728,602.43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13,152,503.25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651,576,099.18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667,434,425.26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3,285,503.25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664,148,922.01</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1,719.04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1,719.04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center"/>
              <w:rPr>
                <w:rFonts w:ascii="Times New Roman" w:hAnsi="Times New Roman" w:cs="Times New Roman" w:eastAsia="Times New Roman" w:hint="default"/>
                <w:sz w:val="18"/>
                <w:szCs w:val="18"/>
              </w:rPr>
            </w:pPr>
            <w:r>
              <w:rPr>
                <w:rFonts w:ascii="Times New Roman"/>
                <w:sz w:val="18"/>
              </w:rPr>
              <w:t>366,911,282.52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366,911,282.52</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664,726,883.39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13,152,503.25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651,574,380.14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300,523,142.74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3,285,503.25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297,237,639.49</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664,728,602.43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13,152,503.25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651,576,099.18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667,434,425.26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3,285,503.25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664,148,922.01</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2）期末按公允价值计量的可供出售金融资产" w:id="267"/>
      <w:bookmarkEnd w:id="267"/>
      <w:r>
        <w:rPr/>
      </w:r>
      <w:r>
        <w:rPr/>
        <w:t>（</w:t>
      </w:r>
      <w:r>
        <w:rPr>
          <w:rFonts w:ascii="Times New Roman" w:hAnsi="Times New Roman" w:cs="Times New Roman" w:eastAsia="Times New Roman" w:hint="default"/>
        </w:rPr>
        <w:t>2</w:t>
      </w:r>
      <w:r>
        <w:rPr/>
        <w:t>）期末按公允价值计量的可供出售金融资产</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33"/>
        <w:gridCol w:w="2138"/>
        <w:gridCol w:w="1560"/>
        <w:gridCol w:w="2268"/>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187.90</w:t>
            </w:r>
          </w:p>
        </w:tc>
        <w:tc>
          <w:tcPr>
            <w:tcW w:w="156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187.90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1,719.04</w:t>
            </w:r>
          </w:p>
        </w:tc>
        <w:tc>
          <w:tcPr>
            <w:tcW w:w="156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1,719.04</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1,531.14</w:t>
            </w:r>
          </w:p>
        </w:tc>
        <w:tc>
          <w:tcPr>
            <w:tcW w:w="156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1,531.14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5"/>
        <w:spacing w:line="240" w:lineRule="auto" w:before="38"/>
        <w:ind w:right="0"/>
        <w:jc w:val="left"/>
      </w:pPr>
      <w:bookmarkStart w:name="（3）期末按成本计量的可供出售金融资产" w:id="268"/>
      <w:bookmarkEnd w:id="268"/>
      <w:r>
        <w:rPr/>
      </w:r>
      <w:r>
        <w:rPr/>
        <w:t>（</w:t>
      </w:r>
      <w:r>
        <w:rPr>
          <w:rFonts w:ascii="Times New Roman" w:hAnsi="Times New Roman" w:cs="Times New Roman" w:eastAsia="Times New Roman" w:hint="default"/>
        </w:rPr>
        <w:t>3</w:t>
      </w:r>
      <w:r>
        <w:rPr/>
        <w:t>）期末按成本计量的可供出售金融资产</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1122"/>
        <w:gridCol w:w="618"/>
        <w:gridCol w:w="516"/>
        <w:gridCol w:w="1224"/>
        <w:gridCol w:w="870"/>
        <w:gridCol w:w="1025"/>
        <w:gridCol w:w="566"/>
        <w:gridCol w:w="1019"/>
        <w:gridCol w:w="1109"/>
        <w:gridCol w:w="631"/>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98" w:right="98"/>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3" w:hRule="exact"/>
        </w:trPr>
        <w:tc>
          <w:tcPr>
            <w:tcW w:w="863" w:type="dxa"/>
            <w:vMerge/>
            <w:tcBorders>
              <w:left w:val="single" w:sz="4" w:space="0" w:color="000000"/>
              <w:bottom w:val="single" w:sz="4" w:space="0" w:color="000000"/>
              <w:right w:val="single" w:sz="4" w:space="0" w:color="000000"/>
            </w:tcBorders>
            <w:shd w:val="clear" w:color="auto" w:fill="D9D9D9"/>
          </w:tcPr>
          <w:p>
            <w:pP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3" w:right="32"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2"/>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109" w:type="dxa"/>
            <w:vMerge/>
            <w:tcBorders>
              <w:left w:val="single" w:sz="4" w:space="0" w:color="000000"/>
              <w:bottom w:val="single" w:sz="4" w:space="0" w:color="000000"/>
              <w:right w:val="single" w:sz="4" w:space="0" w:color="000000"/>
            </w:tcBorders>
            <w:shd w:val="clear" w:color="auto" w:fill="D2D2D2"/>
          </w:tcPr>
          <w:p>
            <w:pPr/>
          </w:p>
        </w:tc>
        <w:tc>
          <w:tcPr>
            <w:tcW w:w="631"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福州东华 炜如数码 科技有限 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61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139,729.87</w:t>
            </w:r>
          </w:p>
        </w:tc>
        <w:tc>
          <w:tcPr>
            <w:tcW w:w="10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139,729.87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安徽五星 食品股份 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9,867,000.00</w:t>
            </w:r>
          </w:p>
        </w:tc>
        <w:tc>
          <w:tcPr>
            <w:tcW w:w="61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9,867,000.00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9,867,000.00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9,867,000.00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成都高新 区中科前 程科技有 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61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3,145,773.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10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3,145,773.38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19.76%</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北京首创 金融资产 交易信息 服务股份 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61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海南银行 股份有限 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1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天津南大 通用数据 技术股份 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61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东华软件 澳洲公司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506,142.74</w:t>
            </w:r>
          </w:p>
        </w:tc>
        <w:tc>
          <w:tcPr>
            <w:tcW w:w="61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506,142.74</w:t>
            </w: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味道网</w:t>
            </w:r>
          </w:p>
          <w:p>
            <w:pPr>
              <w:pStyle w:val="TableParagraph"/>
              <w:spacing w:line="319" w:lineRule="auto" w:before="75"/>
              <w:ind w:left="22" w:right="108"/>
              <w:jc w:val="both"/>
              <w:rPr>
                <w:rFonts w:ascii="宋体" w:hAnsi="宋体" w:cs="宋体" w:eastAsia="宋体" w:hint="default"/>
                <w:sz w:val="18"/>
                <w:szCs w:val="18"/>
              </w:rPr>
            </w:pPr>
            <w:r>
              <w:rPr>
                <w:rFonts w:ascii="宋体" w:hAnsi="宋体" w:cs="宋体" w:eastAsia="宋体" w:hint="default"/>
                <w:sz w:val="18"/>
                <w:szCs w:val="18"/>
              </w:rPr>
              <w:t>（北京） 科技有限 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61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北京中关 村银行股 份有限公 司</w:t>
            </w:r>
          </w:p>
        </w:tc>
        <w:tc>
          <w:tcPr>
            <w:tcW w:w="1122"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东华光普 大数据技</w:t>
            </w:r>
          </w:p>
        </w:tc>
        <w:tc>
          <w:tcPr>
            <w:tcW w:w="1122"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13,870,</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000.00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1122"/>
        <w:gridCol w:w="618"/>
        <w:gridCol w:w="516"/>
        <w:gridCol w:w="1224"/>
        <w:gridCol w:w="870"/>
        <w:gridCol w:w="1025"/>
        <w:gridCol w:w="566"/>
        <w:gridCol w:w="1019"/>
        <w:gridCol w:w="1109"/>
        <w:gridCol w:w="631"/>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术有限公 司</w:t>
            </w:r>
          </w:p>
        </w:tc>
        <w:tc>
          <w:tcPr>
            <w:tcW w:w="1122"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东华星联 科技有限 公司</w:t>
            </w:r>
          </w:p>
        </w:tc>
        <w:tc>
          <w:tcPr>
            <w:tcW w:w="1122"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314,60</w:t>
            </w:r>
          </w:p>
          <w:p>
            <w:pPr>
              <w:pStyle w:val="TableParagraph"/>
              <w:spacing w:line="240" w:lineRule="auto" w:before="105"/>
              <w:ind w:left="246" w:right="0"/>
              <w:jc w:val="center"/>
              <w:rPr>
                <w:rFonts w:ascii="Times New Roman" w:hAnsi="Times New Roman" w:cs="Times New Roman" w:eastAsia="Times New Roman" w:hint="default"/>
                <w:sz w:val="18"/>
                <w:szCs w:val="18"/>
              </w:rPr>
            </w:pPr>
            <w:r>
              <w:rPr>
                <w:rFonts w:ascii="Times New Roman"/>
                <w:sz w:val="18"/>
              </w:rPr>
              <w:t>6.74</w:t>
            </w: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314,606.74</w:t>
            </w: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衡水银行 股份有限 公司</w:t>
            </w:r>
          </w:p>
        </w:tc>
        <w:tc>
          <w:tcPr>
            <w:tcW w:w="1122"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000.00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长治银行 股份有限 公司</w:t>
            </w:r>
          </w:p>
        </w:tc>
        <w:tc>
          <w:tcPr>
            <w:tcW w:w="1122"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75,019,</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133.91</w:t>
            </w: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75,019,133.91</w:t>
            </w:r>
          </w:p>
        </w:tc>
        <w:tc>
          <w:tcPr>
            <w:tcW w:w="870"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300,523,142.7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364,20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3,740.6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51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664,726,883.39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3,285,503.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9,867,000.00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13,152,503.2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BodyText"/>
        <w:spacing w:line="240" w:lineRule="auto" w:before="44"/>
        <w:ind w:left="154" w:right="0"/>
        <w:jc w:val="left"/>
      </w:pPr>
      <w:bookmarkStart w:name="（4）报告期内可供出售金融资产减值的变动情况" w:id="269"/>
      <w:bookmarkEnd w:id="269"/>
      <w:r>
        <w:rPr/>
      </w:r>
      <w:r>
        <w:rPr/>
        <w:t>（</w:t>
      </w:r>
      <w:r>
        <w:rPr>
          <w:rFonts w:ascii="Times New Roman" w:hAnsi="Times New Roman" w:cs="Times New Roman" w:eastAsia="Times New Roman" w:hint="default"/>
        </w:rPr>
        <w:t>4</w:t>
      </w:r>
      <w:r>
        <w:rPr/>
        <w:t>）报告期内可供出售金融资产减值的变动情况</w:t>
      </w:r>
    </w:p>
    <w:p>
      <w:pPr>
        <w:spacing w:line="240" w:lineRule="auto" w:before="0"/>
        <w:rPr>
          <w:rFonts w:ascii="宋体" w:hAnsi="宋体" w:cs="宋体" w:eastAsia="宋体" w:hint="default"/>
          <w:sz w:val="18"/>
          <w:szCs w:val="18"/>
        </w:rPr>
      </w:pPr>
    </w:p>
    <w:p>
      <w:pPr>
        <w:pStyle w:val="BodyText"/>
        <w:spacing w:line="240" w:lineRule="auto" w:before="128"/>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6"/>
        <w:ind w:right="0"/>
        <w:jc w:val="left"/>
      </w:pPr>
      <w:bookmarkStart w:name="（5）可供出售权益工具期末公允价值严重下跌或非暂时性下跌但未计提减值准备的相关说" w:id="270"/>
      <w:bookmarkEnd w:id="270"/>
      <w:r>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5、持有至到期投资" w:id="271"/>
      <w:bookmarkEnd w:id="271"/>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6、长期应收款" w:id="272"/>
      <w:bookmarkEnd w:id="27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7、长期股权投资" w:id="273"/>
      <w:bookmarkEnd w:id="27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1"/>
        <w:gridCol w:w="911"/>
        <w:gridCol w:w="851"/>
        <w:gridCol w:w="636"/>
        <w:gridCol w:w="798"/>
        <w:gridCol w:w="798"/>
        <w:gridCol w:w="798"/>
        <w:gridCol w:w="798"/>
        <w:gridCol w:w="798"/>
        <w:gridCol w:w="798"/>
        <w:gridCol w:w="798"/>
        <w:gridCol w:w="797"/>
      </w:tblGrid>
      <w:tr>
        <w:trPr>
          <w:trHeight w:val="382" w:hRule="exact"/>
        </w:trPr>
        <w:tc>
          <w:tcPr>
            <w:tcW w:w="791" w:type="dxa"/>
            <w:tcBorders>
              <w:top w:val="single" w:sz="4" w:space="0" w:color="000000"/>
              <w:left w:val="single" w:sz="4" w:space="0" w:color="000000"/>
              <w:bottom w:val="nil" w:sz="6" w:space="0" w:color="auto"/>
              <w:right w:val="single" w:sz="4" w:space="0" w:color="000000"/>
            </w:tcBorders>
            <w:shd w:val="clear" w:color="auto" w:fill="D9D9D9"/>
          </w:tcPr>
          <w:p>
            <w:pPr/>
          </w:p>
        </w:tc>
        <w:tc>
          <w:tcPr>
            <w:tcW w:w="911" w:type="dxa"/>
            <w:vMerge w:val="restart"/>
            <w:tcBorders>
              <w:top w:val="single" w:sz="4" w:space="0" w:color="000000"/>
              <w:left w:val="single" w:sz="9" w:space="0" w:color="D9D9D9"/>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7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683" w:hRule="exact"/>
        </w:trPr>
        <w:tc>
          <w:tcPr>
            <w:tcW w:w="79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316" w:lineRule="auto" w:before="31"/>
              <w:ind w:left="302" w:right="26"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911" w:type="dxa"/>
            <w:vMerge/>
            <w:tcBorders>
              <w:left w:val="single" w:sz="9" w:space="0" w:color="D9D9D9"/>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362" w:hRule="exact"/>
        </w:trPr>
        <w:tc>
          <w:tcPr>
            <w:tcW w:w="791" w:type="dxa"/>
            <w:tcBorders>
              <w:top w:val="nil" w:sz="6" w:space="0" w:color="auto"/>
              <w:left w:val="single" w:sz="4" w:space="0" w:color="000000"/>
              <w:bottom w:val="single" w:sz="4" w:space="0" w:color="000000"/>
              <w:right w:val="single" w:sz="4" w:space="0" w:color="000000"/>
            </w:tcBorders>
            <w:shd w:val="clear" w:color="auto" w:fill="D9D9D9"/>
          </w:tcPr>
          <w:p>
            <w:pPr/>
          </w:p>
        </w:tc>
        <w:tc>
          <w:tcPr>
            <w:tcW w:w="911" w:type="dxa"/>
            <w:vMerge/>
            <w:tcBorders>
              <w:left w:val="single" w:sz="9" w:space="0" w:color="D9D9D9"/>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71"/>
              <w:ind w:left="22" w:right="36"/>
              <w:jc w:val="left"/>
              <w:rPr>
                <w:rFonts w:ascii="宋体" w:hAnsi="宋体" w:cs="宋体" w:eastAsia="宋体" w:hint="default"/>
                <w:sz w:val="18"/>
                <w:szCs w:val="18"/>
              </w:rPr>
            </w:pPr>
            <w:r>
              <w:rPr>
                <w:rFonts w:ascii="宋体" w:hAnsi="宋体" w:cs="宋体" w:eastAsia="宋体" w:hint="default"/>
                <w:sz w:val="18"/>
                <w:szCs w:val="18"/>
              </w:rPr>
              <w:t>瑞客东华 转化医学</w:t>
            </w:r>
          </w:p>
        </w:tc>
        <w:tc>
          <w:tcPr>
            <w:tcW w:w="911"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100,344.25</w:t>
            </w:r>
          </w:p>
        </w:tc>
        <w:tc>
          <w:tcPr>
            <w:tcW w:w="85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-100,344.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906"/>
        <w:gridCol w:w="851"/>
        <w:gridCol w:w="636"/>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研究中心 有限公司</w:t>
            </w:r>
          </w:p>
        </w:tc>
        <w:tc>
          <w:tcPr>
            <w:tcW w:w="90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北京卓讯 科信技术 有限公司</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4,498,491.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3,046,470.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3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1,140,318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1,295,935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9,981,215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北京中能 博泰科技 有限公司</w:t>
            </w:r>
          </w:p>
        </w:tc>
        <w:tc>
          <w:tcPr>
            <w:tcW w:w="90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3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深圳市贝 尔加数据 信息有限 公司</w:t>
            </w:r>
          </w:p>
        </w:tc>
        <w:tc>
          <w:tcPr>
            <w:tcW w:w="90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4,598,835.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129,546,4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1,039,974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1,295,935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136,481,2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15.02</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4,598,835.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129,546,4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1,039,974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1,295,935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136,481,2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15.02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8、投资性房地产" w:id="274"/>
      <w:bookmarkEnd w:id="274"/>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bookmarkStart w:name="（1）采用成本计量模式的投资性房地产" w:id="275"/>
      <w:bookmarkEnd w:id="275"/>
      <w:r>
        <w:rPr/>
      </w:r>
      <w:r>
        <w:rPr/>
        <w:t>（</w:t>
      </w:r>
      <w:r>
        <w:rPr>
          <w:rFonts w:ascii="Times New Roman" w:hAnsi="Times New Roman" w:cs="Times New Roman" w:eastAsia="Times New Roman" w:hint="default"/>
        </w:rPr>
        <w:t>1</w:t>
      </w:r>
      <w:r>
        <w:rPr/>
        <w:t>）采用成本计量模式的投资性房地产</w:t>
      </w:r>
    </w:p>
    <w:p>
      <w:pPr>
        <w:spacing w:line="240" w:lineRule="auto" w:before="0"/>
        <w:rPr>
          <w:rFonts w:ascii="宋体" w:hAnsi="宋体" w:cs="宋体" w:eastAsia="宋体" w:hint="default"/>
          <w:sz w:val="18"/>
          <w:szCs w:val="18"/>
        </w:rPr>
      </w:pPr>
    </w:p>
    <w:p>
      <w:pPr>
        <w:pStyle w:val="BodyText"/>
        <w:spacing w:line="240" w:lineRule="auto" w:before="12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6"/>
        <w:ind w:right="0"/>
        <w:jc w:val="left"/>
      </w:pPr>
      <w:bookmarkStart w:name="（2）采用公允价值计量模式的投资性房地产" w:id="276"/>
      <w:bookmarkEnd w:id="276"/>
      <w:r>
        <w:rPr/>
      </w:r>
      <w:r>
        <w:rPr/>
        <w:t>（</w:t>
      </w:r>
      <w:r>
        <w:rPr>
          <w:rFonts w:ascii="Times New Roman" w:hAnsi="Times New Roman" w:cs="Times New Roman" w:eastAsia="Times New Roman" w:hint="default"/>
        </w:rPr>
        <w:t>2</w:t>
      </w:r>
      <w:r>
        <w:rPr/>
        <w:t>）采用公允价值计量模式的投资性房地产</w:t>
      </w:r>
    </w:p>
    <w:p>
      <w:pPr>
        <w:spacing w:line="240" w:lineRule="auto" w:before="0"/>
        <w:rPr>
          <w:rFonts w:ascii="宋体" w:hAnsi="宋体" w:cs="宋体" w:eastAsia="宋体" w:hint="default"/>
          <w:sz w:val="18"/>
          <w:szCs w:val="18"/>
        </w:rPr>
      </w:pPr>
    </w:p>
    <w:p>
      <w:pPr>
        <w:pStyle w:val="BodyText"/>
        <w:spacing w:line="240" w:lineRule="auto" w:before="128"/>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6"/>
        <w:ind w:right="0"/>
        <w:jc w:val="left"/>
      </w:pPr>
      <w:bookmarkStart w:name="（3）未办妥产权证书的投资性房地产情况" w:id="277"/>
      <w:bookmarkEnd w:id="277"/>
      <w:r>
        <w:rPr/>
      </w:r>
      <w:r>
        <w:rPr/>
        <w:t>（</w:t>
      </w:r>
      <w:r>
        <w:rPr>
          <w:rFonts w:ascii="Times New Roman" w:hAnsi="Times New Roman" w:cs="Times New Roman" w:eastAsia="Times New Roman" w:hint="default"/>
        </w:rPr>
        <w:t>3</w:t>
      </w:r>
      <w:r>
        <w:rPr/>
        <w:t>）未办妥产权证书的投资性房地产情况</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19、固定资产" w:id="278"/>
      <w:bookmarkEnd w:id="278"/>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left="154" w:right="0"/>
        <w:jc w:val="left"/>
      </w:pPr>
      <w:bookmarkStart w:name="（1）固定资产情况" w:id="279"/>
      <w:bookmarkEnd w:id="279"/>
      <w:r>
        <w:rPr/>
      </w:r>
      <w:r>
        <w:rPr/>
        <w:t>（</w:t>
      </w:r>
      <w:r>
        <w:rPr>
          <w:rFonts w:ascii="Times New Roman" w:hAnsi="Times New Roman" w:cs="Times New Roman" w:eastAsia="Times New Roman" w:hint="default"/>
        </w:rPr>
        <w:t>1</w:t>
      </w:r>
      <w:r>
        <w:rPr/>
        <w:t>）固定资产情况</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D9D9D9"/>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152,755,105.22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13,935,036.56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22,277,410.91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757,349,559.61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946,317,112.30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3,770,611.14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27,851,731.17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3,993,100.44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22,995,602.63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58,611,045.38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27,851,731.17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3,993,100.44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22,995,602.63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54,840,434.24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3,770,611.14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3,770,611.14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4,102,815.92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136,070,497.52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140,173,313.44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4,102,815.92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116,088,675.34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120,191,491.26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19,981,822.18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19,981,822.18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156,525,716.36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41,786,767.73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22,167,695.43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644,274,664.72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864,754,844.24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49,888,293.65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4,418,651.27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14,207,237.92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487,523,775.69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556,037,958.53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6,285,221.78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1,963,905.41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2,487,308.01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108,864,012.02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119,600,447.22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6,285,221.78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1,963,905.41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2,487,308.01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108,864,012.02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119,600,447.22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3,014,157.07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114,446,550.43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117,460,707.50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3,014,157.07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106,971,058.80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109,985,215.87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权转出</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7,475,491.63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7,475,491.63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56,173,515.43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6,382,556.68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13,680,388.86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481,941,237.28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558,177,698.25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100,352,200.93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35,404,211.05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8,487,306.57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162,333,427.44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306,577,145.99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102,866,811.57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9,516,385.29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8,070,172.99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269,825,783.92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390,279,153.77</w:t>
            </w:r>
          </w:p>
        </w:tc>
      </w:tr>
    </w:tbl>
    <w:p>
      <w:pPr>
        <w:spacing w:line="240" w:lineRule="auto" w:before="6"/>
        <w:rPr>
          <w:rFonts w:ascii="宋体" w:hAnsi="宋体" w:cs="宋体" w:eastAsia="宋体" w:hint="default"/>
          <w:sz w:val="20"/>
          <w:szCs w:val="20"/>
        </w:rPr>
      </w:pPr>
    </w:p>
    <w:p>
      <w:pPr>
        <w:pStyle w:val="BodyText"/>
        <w:spacing w:line="240" w:lineRule="auto" w:before="44"/>
        <w:ind w:left="154" w:right="0"/>
        <w:jc w:val="left"/>
      </w:pPr>
      <w:bookmarkStart w:name="（2）暂时闲置的固定资产情况" w:id="280"/>
      <w:bookmarkEnd w:id="280"/>
      <w:r>
        <w:rPr/>
      </w:r>
      <w:r>
        <w:rPr/>
        <w:t>（</w:t>
      </w:r>
      <w:r>
        <w:rPr>
          <w:rFonts w:ascii="Times New Roman" w:hAnsi="Times New Roman" w:cs="Times New Roman" w:eastAsia="Times New Roman" w:hint="default"/>
        </w:rPr>
        <w:t>2</w:t>
      </w:r>
      <w:r>
        <w:rPr/>
        <w:t>）暂时闲置的固定资产情况</w:t>
      </w:r>
    </w:p>
    <w:p>
      <w:pPr>
        <w:spacing w:line="240" w:lineRule="auto" w:before="0"/>
        <w:rPr>
          <w:rFonts w:ascii="宋体" w:hAnsi="宋体" w:cs="宋体" w:eastAsia="宋体" w:hint="default"/>
          <w:sz w:val="18"/>
          <w:szCs w:val="18"/>
        </w:rPr>
      </w:pPr>
    </w:p>
    <w:p>
      <w:pPr>
        <w:pStyle w:val="BodyText"/>
        <w:spacing w:line="240" w:lineRule="auto" w:before="128"/>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7"/>
        <w:ind w:right="0"/>
        <w:jc w:val="left"/>
      </w:pPr>
      <w:bookmarkStart w:name="（3）通过融资租赁租入的固定资产情况" w:id="281"/>
      <w:bookmarkEnd w:id="281"/>
      <w:r>
        <w:rPr/>
      </w:r>
      <w:r>
        <w:rPr/>
        <w:t>（</w:t>
      </w:r>
      <w:r>
        <w:rPr>
          <w:rFonts w:ascii="Times New Roman" w:hAnsi="Times New Roman" w:cs="Times New Roman" w:eastAsia="Times New Roman" w:hint="default"/>
        </w:rPr>
        <w:t>3</w:t>
      </w:r>
      <w:r>
        <w:rPr/>
        <w:t>）通过融资租赁租入的固定资产情况</w:t>
      </w:r>
    </w:p>
    <w:p>
      <w:pPr>
        <w:spacing w:line="240" w:lineRule="auto" w:before="0"/>
        <w:rPr>
          <w:rFonts w:ascii="宋体" w:hAnsi="宋体" w:cs="宋体" w:eastAsia="宋体" w:hint="default"/>
          <w:sz w:val="18"/>
          <w:szCs w:val="18"/>
        </w:rPr>
      </w:pPr>
    </w:p>
    <w:p>
      <w:pPr>
        <w:pStyle w:val="BodyText"/>
        <w:spacing w:line="240" w:lineRule="auto" w:before="12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bookmarkStart w:name="（4）通过经营租赁租出的固定资产" w:id="282"/>
      <w:bookmarkEnd w:id="282"/>
      <w:r>
        <w:rPr/>
      </w:r>
      <w:r>
        <w:rPr/>
        <w:t>（</w:t>
      </w:r>
      <w:r>
        <w:rPr>
          <w:rFonts w:ascii="Times New Roman" w:hAnsi="Times New Roman" w:cs="Times New Roman" w:eastAsia="Times New Roman" w:hint="default"/>
        </w:rPr>
        <w:t>4</w:t>
      </w:r>
      <w:r>
        <w:rPr/>
        <w:t>）通过经营租赁租出的固定资产</w:t>
      </w:r>
    </w:p>
    <w:p>
      <w:pPr>
        <w:spacing w:line="240" w:lineRule="auto" w:before="0"/>
        <w:rPr>
          <w:rFonts w:ascii="宋体" w:hAnsi="宋体" w:cs="宋体" w:eastAsia="宋体" w:hint="default"/>
          <w:sz w:val="18"/>
          <w:szCs w:val="18"/>
        </w:rPr>
      </w:pPr>
    </w:p>
    <w:p>
      <w:pPr>
        <w:pStyle w:val="BodyText"/>
        <w:spacing w:line="240" w:lineRule="auto" w:before="1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6"/>
        <w:ind w:right="0"/>
        <w:jc w:val="left"/>
      </w:pPr>
      <w:bookmarkStart w:name="（5）未办妥产权证书的固定资产情况" w:id="283"/>
      <w:bookmarkEnd w:id="283"/>
      <w:r>
        <w:rPr/>
      </w:r>
      <w:r>
        <w:rPr/>
        <w:t>（</w:t>
      </w:r>
      <w:r>
        <w:rPr>
          <w:rFonts w:ascii="Times New Roman" w:hAnsi="Times New Roman" w:cs="Times New Roman" w:eastAsia="Times New Roman" w:hint="default"/>
        </w:rPr>
        <w:t>5</w:t>
      </w:r>
      <w:r>
        <w:rPr/>
        <w:t>）未办妥产权证书的固定资产情况</w:t>
      </w:r>
    </w:p>
    <w:p>
      <w:pPr>
        <w:spacing w:line="240" w:lineRule="auto" w:before="0"/>
        <w:rPr>
          <w:rFonts w:ascii="宋体" w:hAnsi="宋体" w:cs="宋体" w:eastAsia="宋体" w:hint="default"/>
          <w:sz w:val="18"/>
          <w:szCs w:val="18"/>
        </w:rPr>
      </w:pPr>
    </w:p>
    <w:p>
      <w:pPr>
        <w:pStyle w:val="BodyText"/>
        <w:spacing w:line="240" w:lineRule="auto" w:before="12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0、在建工程" w:id="284"/>
      <w:bookmarkEnd w:id="284"/>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bookmarkStart w:name="（1）在建工程情况" w:id="285"/>
      <w:bookmarkEnd w:id="285"/>
      <w:r>
        <w:rPr/>
      </w:r>
      <w:r>
        <w:rPr/>
        <w:t>（</w:t>
      </w:r>
      <w:r>
        <w:rPr>
          <w:rFonts w:ascii="Times New Roman" w:hAnsi="Times New Roman" w:cs="Times New Roman" w:eastAsia="Times New Roman" w:hint="default"/>
        </w:rPr>
        <w:t>1</w:t>
      </w:r>
      <w:r>
        <w:rPr/>
        <w:t>）在建工程情况</w:t>
      </w:r>
    </w:p>
    <w:p>
      <w:pPr>
        <w:spacing w:line="240" w:lineRule="auto" w:before="6"/>
        <w:rPr>
          <w:rFonts w:ascii="宋体" w:hAnsi="宋体" w:cs="宋体" w:eastAsia="宋体" w:hint="default"/>
          <w:sz w:val="24"/>
          <w:szCs w:val="24"/>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9D9D9"/>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泰安东华软件园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10,300,218.23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10,300,218.23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12,033,413.19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12,033,413.19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10,300,218.23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10,300,218.23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12,033,413.19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12,033,413.19</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2）重要在建工程项目本期变动情况" w:id="286"/>
      <w:bookmarkEnd w:id="286"/>
      <w:r>
        <w:rPr/>
      </w:r>
      <w:r>
        <w:rPr/>
        <w:t>（</w:t>
      </w:r>
      <w:r>
        <w:rPr>
          <w:rFonts w:ascii="Times New Roman" w:hAnsi="Times New Roman" w:cs="Times New Roman" w:eastAsia="Times New Roman" w:hint="default"/>
        </w:rPr>
        <w:t>2</w:t>
      </w:r>
      <w:r>
        <w:rPr/>
        <w:t>）重要在建工程项目本期变动情况</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泰安东 华软件 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68,000,0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12,033,4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13.19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2,037,41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3,770,61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10,300,2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18.23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105.57%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68,000,0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12,033,4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13.19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2,037,41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3,770,61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10,300,2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18.23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530" w:lineRule="auto" w:before="38"/>
        <w:ind w:left="514" w:right="2653" w:hanging="360"/>
        <w:jc w:val="left"/>
      </w:pPr>
      <w:bookmarkStart w:name="（3）本期计提在建工程减值准备情况" w:id="287"/>
      <w:bookmarkEnd w:id="287"/>
      <w:r>
        <w:rPr/>
      </w:r>
      <w:r>
        <w:rPr/>
        <w:t>（</w:t>
      </w:r>
      <w:r>
        <w:rPr>
          <w:rFonts w:ascii="Times New Roman" w:hAnsi="Times New Roman" w:cs="Times New Roman" w:eastAsia="Times New Roman" w:hint="default"/>
        </w:rPr>
        <w:t>3</w:t>
      </w:r>
      <w:r>
        <w:rPr/>
        <w:t>）本期计提在建工程减值准备情况</w:t>
      </w:r>
      <w:r>
        <w:rPr>
          <w:w w:val="100"/>
        </w:rPr>
        <w:t> </w:t>
      </w: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日，公司无在建工程减值准备的情况。</w:t>
      </w:r>
    </w:p>
    <w:p>
      <w:pPr>
        <w:pStyle w:val="Heading3"/>
        <w:spacing w:line="240" w:lineRule="auto" w:before="59"/>
        <w:ind w:right="0"/>
        <w:jc w:val="left"/>
        <w:rPr>
          <w:b w:val="0"/>
          <w:bCs w:val="0"/>
        </w:rPr>
      </w:pPr>
      <w:bookmarkStart w:name="21、工程物资" w:id="288"/>
      <w:bookmarkEnd w:id="288"/>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2、固定资产清理" w:id="289"/>
      <w:bookmarkEnd w:id="289"/>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3、生产性生物资产" w:id="290"/>
      <w:bookmarkEnd w:id="29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bookmarkStart w:name="（1）采用成本计量模式的生产性生物资产" w:id="291"/>
      <w:bookmarkEnd w:id="291"/>
      <w:r>
        <w:rPr/>
      </w:r>
      <w:r>
        <w:rPr/>
        <w:t>（</w:t>
      </w:r>
      <w:r>
        <w:rPr>
          <w:rFonts w:ascii="Times New Roman" w:hAnsi="Times New Roman" w:cs="Times New Roman" w:eastAsia="Times New Roman" w:hint="default"/>
        </w:rPr>
        <w:t>1</w:t>
      </w:r>
      <w:r>
        <w:rPr/>
        <w:t>）采用成本计量模式的生产性生物资产</w:t>
      </w:r>
    </w:p>
    <w:p>
      <w:pPr>
        <w:spacing w:line="240" w:lineRule="auto" w:before="0"/>
        <w:rPr>
          <w:rFonts w:ascii="宋体" w:hAnsi="宋体" w:cs="宋体" w:eastAsia="宋体" w:hint="default"/>
          <w:sz w:val="18"/>
          <w:szCs w:val="18"/>
        </w:rPr>
      </w:pPr>
    </w:p>
    <w:p>
      <w:pPr>
        <w:pStyle w:val="BodyText"/>
        <w:spacing w:line="240" w:lineRule="auto" w:before="12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6"/>
        <w:ind w:right="0"/>
        <w:jc w:val="left"/>
      </w:pPr>
      <w:bookmarkStart w:name="（2）采用公允价值计量模式的生产性生物资产" w:id="292"/>
      <w:bookmarkEnd w:id="292"/>
      <w:r>
        <w:rPr/>
      </w:r>
      <w:r>
        <w:rPr/>
        <w:t>（</w:t>
      </w:r>
      <w:r>
        <w:rPr>
          <w:rFonts w:ascii="Times New Roman" w:hAnsi="Times New Roman" w:cs="Times New Roman" w:eastAsia="Times New Roman" w:hint="default"/>
        </w:rPr>
        <w:t>2</w:t>
      </w:r>
      <w:r>
        <w:rPr/>
        <w:t>）采用公允价值计量模式的生产性生物资产</w:t>
      </w:r>
    </w:p>
    <w:p>
      <w:pPr>
        <w:spacing w:line="240" w:lineRule="auto" w:before="0"/>
        <w:rPr>
          <w:rFonts w:ascii="宋体" w:hAnsi="宋体" w:cs="宋体" w:eastAsia="宋体" w:hint="default"/>
          <w:sz w:val="18"/>
          <w:szCs w:val="18"/>
        </w:rPr>
      </w:pPr>
    </w:p>
    <w:p>
      <w:pPr>
        <w:pStyle w:val="BodyText"/>
        <w:spacing w:line="240" w:lineRule="auto" w:before="12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4、油气资产" w:id="293"/>
      <w:bookmarkEnd w:id="29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5、无形资产" w:id="294"/>
      <w:bookmarkEnd w:id="294"/>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left="154" w:right="0"/>
        <w:jc w:val="left"/>
      </w:pPr>
      <w:bookmarkStart w:name="（1）无形资产情况" w:id="295"/>
      <w:bookmarkEnd w:id="295"/>
      <w:r>
        <w:rPr/>
      </w:r>
      <w:r>
        <w:rPr/>
        <w:t>（</w:t>
      </w:r>
      <w:r>
        <w:rPr>
          <w:rFonts w:ascii="Times New Roman" w:hAnsi="Times New Roman" w:cs="Times New Roman" w:eastAsia="Times New Roman" w:hint="default"/>
        </w:rPr>
        <w:t>1</w:t>
      </w:r>
      <w:r>
        <w:rPr/>
        <w:t>）无形资产情况</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3,508,276.67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337,995,428.56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347,024,705.23</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23,294,475.60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21,666,611.57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44,961,087.17</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11,751,713.04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11,751,713.04</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23,294,475.60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9,914,898.53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33,209,374.13</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13,362,759.26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13,362,759.26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9" w:space="0" w:color="FFFFFF"/>
            </w:tcBorders>
            <w:shd w:val="clear" w:color="auto" w:fill="D9D9D9"/>
          </w:tcPr>
          <w:p>
            <w:pPr>
              <w:pStyle w:val="TableParagraph"/>
              <w:spacing w:line="300" w:lineRule="auto" w:before="51"/>
              <w:ind w:left="11" w:right="-34" w:firstLine="90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处置股权转出</w:t>
            </w:r>
          </w:p>
        </w:tc>
        <w:tc>
          <w:tcPr>
            <w:tcW w:w="1378" w:type="dxa"/>
            <w:tcBorders>
              <w:top w:val="single" w:sz="4" w:space="0" w:color="000000"/>
              <w:left w:val="single" w:sz="22" w:space="0" w:color="FF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13,362,759.26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13,362,759.26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3,508,276.67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28,814,475.60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346,299,280.87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378,623,033.14</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692,268.14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150,773,522.61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156,924,290.75</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70,399.56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2,391,947.56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67,644,947.16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70,107,294.28</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70,399.56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2,391,947.56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67,644,947.16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70,107,294.28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1,240,056.37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1,240,056.37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62" w:firstLine="81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处置股权转出</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1,240,056.37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1,240,056.37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762,667.70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7,849,447.56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217,178,413.40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4" w:right="0"/>
              <w:jc w:val="left"/>
              <w:rPr>
                <w:rFonts w:ascii="Times New Roman" w:hAnsi="Times New Roman" w:cs="Times New Roman" w:eastAsia="Times New Roman" w:hint="default"/>
                <w:sz w:val="18"/>
                <w:szCs w:val="18"/>
              </w:rPr>
            </w:pPr>
            <w:r>
              <w:rPr>
                <w:rFonts w:ascii="Times New Roman"/>
                <w:sz w:val="18"/>
              </w:rPr>
              <w:t>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225,791,528.66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2,745,608.97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20,965,028.04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129,120,867.47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152,831,504.48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2,816,008.53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187,221,905.95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190,100,414.48</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23.30%</w:t>
      </w:r>
      <w:r>
        <w:rPr/>
        <w:t>。</w:t>
      </w:r>
    </w:p>
    <w:p>
      <w:pPr>
        <w:spacing w:line="240" w:lineRule="auto" w:before="6"/>
        <w:rPr>
          <w:rFonts w:ascii="宋体" w:hAnsi="宋体" w:cs="宋体" w:eastAsia="宋体" w:hint="default"/>
          <w:sz w:val="26"/>
          <w:szCs w:val="26"/>
        </w:rPr>
      </w:pPr>
    </w:p>
    <w:p>
      <w:pPr>
        <w:pStyle w:val="Heading5"/>
        <w:spacing w:line="240" w:lineRule="auto"/>
        <w:ind w:right="0"/>
        <w:jc w:val="left"/>
      </w:pPr>
      <w:bookmarkStart w:name="（2）未办妥产权证书的土地使用权情况" w:id="296"/>
      <w:bookmarkEnd w:id="296"/>
      <w:r>
        <w:rPr/>
      </w:r>
      <w:r>
        <w:rPr/>
        <w:t>（</w:t>
      </w:r>
      <w:r>
        <w:rPr>
          <w:rFonts w:ascii="Times New Roman" w:hAnsi="Times New Roman" w:cs="Times New Roman" w:eastAsia="Times New Roman" w:hint="default"/>
        </w:rPr>
        <w:t>2</w:t>
      </w:r>
      <w:r>
        <w:rPr/>
        <w:t>）未办妥产权证书的土地使用权情况</w:t>
      </w:r>
    </w:p>
    <w:p>
      <w:pPr>
        <w:spacing w:line="240" w:lineRule="auto" w:before="0"/>
        <w:rPr>
          <w:rFonts w:ascii="宋体" w:hAnsi="宋体" w:cs="宋体" w:eastAsia="宋体" w:hint="default"/>
          <w:sz w:val="27"/>
          <w:szCs w:val="27"/>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6、开发支出" w:id="297"/>
      <w:bookmarkEnd w:id="297"/>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1"/>
        <w:gridCol w:w="1276"/>
        <w:gridCol w:w="1134"/>
        <w:gridCol w:w="566"/>
        <w:gridCol w:w="637"/>
        <w:gridCol w:w="1063"/>
        <w:gridCol w:w="1064"/>
        <w:gridCol w:w="1063"/>
        <w:gridCol w:w="1063"/>
      </w:tblGrid>
      <w:tr>
        <w:trPr>
          <w:trHeight w:val="402" w:hRule="exact"/>
        </w:trPr>
        <w:tc>
          <w:tcPr>
            <w:tcW w:w="1701"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电商运营支撑平台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1,093,113.58</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1,093,113.58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神州易购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1,157,600.26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1,157,600.26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WindRDS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1,428,590.11</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1,428,590.11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海南云教育平台建设 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15,172,990.87</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15,172,990.8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企业服务总线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6,454,652.95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1,209,531.74</w:t>
            </w:r>
          </w:p>
        </w:tc>
        <w:tc>
          <w:tcPr>
            <w:tcW w:w="56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7,664,184.69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智慧社区平台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9,525,339.75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4,210,211.48</w:t>
            </w:r>
          </w:p>
        </w:tc>
        <w:tc>
          <w:tcPr>
            <w:tcW w:w="56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13,735,551.2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1"/>
        <w:gridCol w:w="1276"/>
        <w:gridCol w:w="1134"/>
        <w:gridCol w:w="566"/>
        <w:gridCol w:w="637"/>
        <w:gridCol w:w="1063"/>
        <w:gridCol w:w="1064"/>
        <w:gridCol w:w="1063"/>
        <w:gridCol w:w="1063"/>
      </w:tblGrid>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业务运营支撑平台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7,375,647.52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2,183,276.85</w:t>
            </w:r>
          </w:p>
        </w:tc>
        <w:tc>
          <w:tcPr>
            <w:tcW w:w="56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9,558,924.37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社区综合营销平台</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center"/>
              <w:rPr>
                <w:rFonts w:ascii="Times New Roman" w:hAnsi="Times New Roman" w:cs="Times New Roman" w:eastAsia="Times New Roman" w:hint="default"/>
                <w:sz w:val="18"/>
                <w:szCs w:val="18"/>
              </w:rPr>
            </w:pPr>
            <w:r>
              <w:rPr>
                <w:rFonts w:ascii="Times New Roman"/>
                <w:sz w:val="18"/>
              </w:rPr>
              <w:t>9,579,267.21</w:t>
            </w:r>
          </w:p>
        </w:tc>
        <w:tc>
          <w:tcPr>
            <w:tcW w:w="56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9,579,267.21</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42,207,935.04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17,182,287.28</w:t>
            </w:r>
          </w:p>
        </w:tc>
        <w:tc>
          <w:tcPr>
            <w:tcW w:w="566"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33,209,374.1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1,428,590.11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24,752,258.0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7、商誉" w:id="298"/>
      <w:bookmarkEnd w:id="298"/>
      <w:r>
        <w:rPr>
          <w:b w:val="0"/>
          <w:bCs w:val="0"/>
        </w:rPr>
      </w:r>
      <w:r>
        <w:rPr>
          <w:rFonts w:ascii="Times New Roman" w:hAnsi="Times New Roman" w:cs="Times New Roman" w:eastAsia="Times New Roman" w:hint="default"/>
        </w:rPr>
        <w:t>27</w:t>
      </w:r>
      <w:r>
        <w:rPr/>
        <w:t>、商誉</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left="154" w:right="0"/>
        <w:jc w:val="left"/>
      </w:pPr>
      <w:bookmarkStart w:name="（1）商誉账面原值" w:id="299"/>
      <w:bookmarkEnd w:id="299"/>
      <w:r>
        <w:rPr/>
      </w:r>
      <w:r>
        <w:rPr/>
        <w:t>（</w:t>
      </w:r>
      <w:r>
        <w:rPr>
          <w:rFonts w:ascii="Times New Roman" w:hAnsi="Times New Roman" w:cs="Times New Roman" w:eastAsia="Times New Roman" w:hint="default"/>
        </w:rPr>
        <w:t>1</w:t>
      </w:r>
      <w:r>
        <w:rPr/>
        <w:t>）商誉账面原值</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247,618,632.50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247,618,632.50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225,266,979.44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225,266,979.44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北京东华信息技 术有限公司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1,942,851.06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1,942,851.06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北京威锐达测控 系统有限公司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469,339,595.86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469,339,595.86</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深圳市至高通信 技术发展有限公 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565,135,229.20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565,135,229.20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北京东华万兴软 件有限公司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151,607,495.56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151,607,495.56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广东东华发思特 软件有限公司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2,448,272.58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2,448,272.58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1,663,359,056.20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1,663,359,056.20</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2）商誉减值准备" w:id="300"/>
      <w:bookmarkEnd w:id="300"/>
      <w:r>
        <w:rPr/>
      </w:r>
      <w:r>
        <w:rPr/>
        <w:t>（</w:t>
      </w:r>
      <w:r>
        <w:rPr>
          <w:rFonts w:ascii="Times New Roman" w:hAnsi="Times New Roman" w:cs="Times New Roman" w:eastAsia="Times New Roman" w:hint="default"/>
        </w:rPr>
        <w:t>2</w:t>
      </w:r>
      <w:r>
        <w:rPr/>
        <w:t>）商誉减值准备</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73,621,036.39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73,621,036.39</w:t>
            </w:r>
          </w:p>
        </w:tc>
      </w:tr>
      <w:tr>
        <w:trPr>
          <w:trHeight w:val="67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深圳市至高通信 技术发展有限公</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136,146,724.47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118,171,493.93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254,318,218.40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北京威锐达测控 系统有限公司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208,407,726.53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208,407,726.53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北京东华万兴软 件有限公司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121,012,386.29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121,012,386.29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209,767,760.86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447,591,606.75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657,359,367.61</w:t>
            </w:r>
          </w:p>
        </w:tc>
      </w:tr>
    </w:tbl>
    <w:p>
      <w:pPr>
        <w:pStyle w:val="BodyText"/>
        <w:spacing w:line="240" w:lineRule="auto" w:before="51"/>
        <w:ind w:left="154" w:right="0"/>
        <w:jc w:val="left"/>
      </w:pPr>
      <w:r>
        <w:rPr/>
        <w:t>说明商誉减值测试过程、参数及商誉减值损失的确认方法：</w:t>
      </w:r>
    </w:p>
    <w:p>
      <w:pPr>
        <w:pStyle w:val="Heading5"/>
        <w:spacing w:line="285" w:lineRule="auto" w:before="100"/>
        <w:ind w:left="154" w:right="0" w:firstLine="399"/>
        <w:jc w:val="left"/>
      </w:pPr>
      <w:r>
        <w:rPr/>
        <w:t>将被收购公司整体作为一个资产组进行减值测试。</w:t>
      </w:r>
      <w:r>
        <w:rPr>
          <w:w w:val="100"/>
        </w:rPr>
        <w:t> </w:t>
      </w:r>
      <w:r>
        <w:rPr>
          <w:spacing w:val="-1"/>
        </w:rPr>
        <w:t>确认资产组的可收回金额：企业管理层预测被收购公司的未来自由现金流量，选择恰当的折现率对其进行折现</w:t>
      </w:r>
      <w:r>
        <w:rPr>
          <w:spacing w:val="-63"/>
        </w:rPr>
        <w:t> </w:t>
      </w:r>
      <w:r>
        <w:rPr>
          <w:spacing w:val="-63"/>
        </w:rPr>
      </w:r>
      <w:r>
        <w:rPr/>
        <w:t>后确定未来自由现金流量的现值，以企业的股东权益价值作为被收购公司权益的可收回金额。</w:t>
      </w:r>
      <w:r>
        <w:rPr>
          <w:w w:val="100"/>
        </w:rPr>
        <w:t> </w:t>
      </w:r>
      <w:r>
        <w:rPr>
          <w:spacing w:val="-1"/>
        </w:rPr>
        <w:t>比较相关资产组的账面价值（包括所分摊的商誉的账面价值部分）与其可收回金额，如相关资产组或者资产组</w:t>
      </w:r>
      <w:r>
        <w:rPr>
          <w:spacing w:val="-63"/>
        </w:rPr>
        <w:t> </w:t>
      </w:r>
      <w:r>
        <w:rPr>
          <w:spacing w:val="-63"/>
        </w:rPr>
      </w:r>
      <w:r>
        <w:rPr/>
        <w:t>组合的可收回金额低于其账面价值的，确认商誉的减值损失。</w:t>
      </w:r>
    </w:p>
    <w:p>
      <w:pPr>
        <w:pStyle w:val="Heading5"/>
        <w:spacing w:line="278" w:lineRule="auto" w:before="50"/>
        <w:ind w:right="0" w:firstLine="399"/>
        <w:jc w:val="left"/>
      </w:pPr>
      <w:r>
        <w:rPr>
          <w:spacing w:val="-2"/>
        </w:rPr>
        <w:t>经本公司聘请的专业评估机构对所收购公司产生的商誉进行减值测试，深圳市至高通信技术发展有限公司、</w:t>
      </w:r>
      <w:r>
        <w:rPr>
          <w:w w:val="100"/>
        </w:rPr>
        <w:t> </w:t>
      </w:r>
      <w:r>
        <w:rPr>
          <w:spacing w:val="-3"/>
        </w:rPr>
        <w:t>北京威锐达测控系统有限公司、北京东华万兴软件有限公司本期商誉发生减值，减值金额分别为</w:t>
      </w:r>
      <w:r>
        <w:rPr>
          <w:spacing w:val="-35"/>
        </w:rPr>
        <w:t> </w:t>
      </w:r>
      <w:r>
        <w:rPr>
          <w:rFonts w:ascii="Times New Roman" w:hAnsi="Times New Roman" w:cs="Times New Roman" w:eastAsia="Times New Roman" w:hint="default"/>
        </w:rPr>
        <w:t>118,171,493.93</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元、</w:t>
      </w:r>
      <w:r>
        <w:rPr>
          <w:rFonts w:ascii="Times New Roman" w:hAnsi="Times New Roman" w:cs="Times New Roman" w:eastAsia="Times New Roman" w:hint="default"/>
        </w:rPr>
        <w:t>208,407,726.53 </w:t>
      </w:r>
      <w:r>
        <w:rPr/>
        <w:t>元、</w:t>
      </w:r>
      <w:r>
        <w:rPr>
          <w:rFonts w:ascii="Times New Roman" w:hAnsi="Times New Roman" w:cs="Times New Roman" w:eastAsia="Times New Roman" w:hint="default"/>
        </w:rPr>
        <w:t>121,012,386.29</w:t>
      </w:r>
      <w:r>
        <w:rPr>
          <w:rFonts w:ascii="Times New Roman" w:hAnsi="Times New Roman" w:cs="Times New Roman" w:eastAsia="Times New Roman" w:hint="default"/>
          <w:spacing w:val="-28"/>
        </w:rPr>
        <w:t> </w:t>
      </w:r>
      <w:r>
        <w:rPr/>
        <w:t>元，北京联银通科技有限公司本期未继续发生商誉减值。</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8、长期待摊费用" w:id="301"/>
      <w:bookmarkEnd w:id="301"/>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52"/>
              <w:ind w:left="4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5,175,048.44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1,730,476.67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2,897,651.64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4,007,873.47</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5,175,048.44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1,730,476.67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2,897,651.64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4,007,873.47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9、递延所得税资产/递延所得税负债" w:id="302"/>
      <w:bookmarkEnd w:id="302"/>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right="0"/>
        <w:jc w:val="left"/>
      </w:pPr>
      <w:bookmarkStart w:name="（1）未经抵销的递延所得税资产" w:id="303"/>
      <w:bookmarkEnd w:id="303"/>
      <w:r>
        <w:rPr/>
      </w:r>
      <w:r>
        <w:rPr/>
        <w:t>（</w:t>
      </w:r>
      <w:r>
        <w:rPr>
          <w:rFonts w:ascii="Times New Roman" w:hAnsi="Times New Roman" w:cs="Times New Roman" w:eastAsia="Times New Roman" w:hint="default"/>
        </w:rPr>
        <w:t>1</w:t>
      </w:r>
      <w:r>
        <w:rPr/>
        <w:t>）未经抵销的递延所得税资产</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408,785,489.46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44,093,835.39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282,425,605.54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30,579,501.46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9,736,051.66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1,547,466.00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14,681,848.61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3,017,284.39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23,559,140.29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3,479,181.07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1,264,540.49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158,067.56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442,080,681.41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49,120,482.46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298,371,994.64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33,754,853.41</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2）未经抵销的递延所得税负债" w:id="304"/>
      <w:bookmarkEnd w:id="304"/>
      <w:r>
        <w:rPr/>
      </w:r>
      <w:r>
        <w:rPr/>
        <w:t>（</w:t>
      </w:r>
      <w:r>
        <w:rPr>
          <w:rFonts w:ascii="Times New Roman" w:hAnsi="Times New Roman" w:cs="Times New Roman" w:eastAsia="Times New Roman" w:hint="default"/>
        </w:rPr>
        <w:t>2</w:t>
      </w:r>
      <w:r>
        <w:rPr/>
        <w:t>）未经抵销的递延所得税负债</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4"/>
        <w:gridCol w:w="3819"/>
        <w:gridCol w:w="3817"/>
      </w:tblGrid>
      <w:tr>
        <w:trPr>
          <w:trHeight w:val="402" w:hRule="exact"/>
        </w:trPr>
        <w:tc>
          <w:tcPr>
            <w:tcW w:w="192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13" w:space="0" w:color="D2D2D2"/>
            </w:tcBorders>
            <w:shd w:val="clear" w:color="auto" w:fill="D9D9D9"/>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27,887,904.03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4,183,185.62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42,784,146.72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6,417,622.01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153.11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352,299,948.73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35,229,994.87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收购少数股东股权形成 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27,890,793.30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4,183,474.54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395,085,453.58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41,647,752.69</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3）以抵销后净额列示的递延所得税资产或负债" w:id="305"/>
      <w:bookmarkEnd w:id="305"/>
      <w:r>
        <w:rPr/>
      </w:r>
      <w:r>
        <w:rPr/>
        <w:t>（</w:t>
      </w:r>
      <w:r>
        <w:rPr>
          <w:rFonts w:ascii="Times New Roman" w:hAnsi="Times New Roman" w:cs="Times New Roman" w:eastAsia="Times New Roman" w:hint="default"/>
        </w:rPr>
        <w:t>3</w:t>
      </w:r>
      <w:r>
        <w:rPr/>
        <w:t>）以抵销后净额列示的递延所得税资产或负债</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49,120,482.46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33,754,853.41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4,183,474.54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41,647,752.69</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4）未确认递延所得税资产明细" w:id="306"/>
      <w:bookmarkEnd w:id="306"/>
      <w:r>
        <w:rPr/>
      </w:r>
      <w:r>
        <w:rPr/>
        <w:t>（</w:t>
      </w:r>
      <w:r>
        <w:rPr>
          <w:rFonts w:ascii="Times New Roman" w:hAnsi="Times New Roman" w:cs="Times New Roman" w:eastAsia="Times New Roman" w:hint="default"/>
        </w:rPr>
        <w:t>4</w:t>
      </w:r>
      <w:r>
        <w:rPr/>
        <w:t>）未确认递延所得税资产明细</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12,396,549.42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7,514,751.77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434,356,443.16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340,248,111.73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446,752,992.58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347,762,863.50</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5）未确认递延所得税资产的可抵扣亏损将于以下年度到期" w:id="307"/>
      <w:bookmarkEnd w:id="307"/>
      <w:r>
        <w:rPr/>
      </w:r>
      <w:r>
        <w:rPr/>
        <w:t>（</w:t>
      </w:r>
      <w:r>
        <w:rPr>
          <w:rFonts w:ascii="Times New Roman" w:hAnsi="Times New Roman" w:cs="Times New Roman" w:eastAsia="Times New Roman" w:hint="default"/>
        </w:rPr>
        <w:t>5</w:t>
      </w:r>
      <w:r>
        <w:rPr/>
        <w:t>）未确认递延所得税资产的可抵扣亏损将于以下年度到期</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27,138,139.50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33,606,953.36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33,606,953.36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30,898,697.92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30,898,697.92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84,332,376.55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84,332,376.55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164,271,944.40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164,271,944.40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121,246,470.93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434,356,443.16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340,248,111.73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0、其他非流动资产" w:id="308"/>
      <w:bookmarkEnd w:id="308"/>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25,099,800.00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1、短期借款" w:id="309"/>
      <w:bookmarkEnd w:id="309"/>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left="154" w:right="0"/>
        <w:jc w:val="left"/>
      </w:pPr>
      <w:bookmarkStart w:name="（1）短期借款分类" w:id="310"/>
      <w:bookmarkEnd w:id="310"/>
      <w:r>
        <w:rPr/>
      </w:r>
      <w:r>
        <w:rPr/>
        <w:t>（</w:t>
      </w:r>
      <w:r>
        <w:rPr>
          <w:rFonts w:ascii="Times New Roman" w:hAnsi="Times New Roman" w:cs="Times New Roman" w:eastAsia="Times New Roman" w:hint="default"/>
        </w:rPr>
        <w:t>1</w:t>
      </w:r>
      <w:r>
        <w:rPr/>
        <w:t>）短期借款分类</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7,011,590.32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49,023,180.66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524,665,363.09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528,486,129.15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400,095,690.03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931,772,643.44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622,779,034.35</w:t>
            </w:r>
          </w:p>
        </w:tc>
      </w:tr>
    </w:tbl>
    <w:p>
      <w:pPr>
        <w:pStyle w:val="BodyText"/>
        <w:spacing w:line="240" w:lineRule="auto" w:before="51"/>
        <w:ind w:left="154" w:right="0"/>
        <w:jc w:val="left"/>
      </w:pPr>
      <w:r>
        <w:rPr/>
        <w:t>短期借款分类的说明：</w:t>
      </w:r>
    </w:p>
    <w:p>
      <w:pPr>
        <w:spacing w:line="240" w:lineRule="auto" w:before="12"/>
        <w:rPr>
          <w:rFonts w:ascii="宋体" w:hAnsi="宋体" w:cs="宋体" w:eastAsia="宋体" w:hint="default"/>
          <w:sz w:val="14"/>
          <w:szCs w:val="14"/>
        </w:rPr>
      </w:pPr>
    </w:p>
    <w:p>
      <w:pPr>
        <w:pStyle w:val="BodyText"/>
        <w:spacing w:line="300" w:lineRule="auto"/>
        <w:ind w:right="1130" w:firstLine="36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日，公司所属子公司</w:t>
      </w:r>
      <w:r>
        <w:rPr>
          <w:rFonts w:ascii="Times New Roman" w:hAnsi="Times New Roman" w:cs="Times New Roman" w:eastAsia="Times New Roman" w:hint="default"/>
        </w:rPr>
        <w:t>-</w:t>
      </w:r>
      <w:r>
        <w:rPr/>
        <w:t>北京神州新桥科技有限公司借款余额</w:t>
      </w:r>
      <w:r>
        <w:rPr>
          <w:rFonts w:ascii="Times New Roman" w:hAnsi="Times New Roman" w:cs="Times New Roman" w:eastAsia="Times New Roman" w:hint="default"/>
        </w:rPr>
        <w:t>316,452,670.09</w:t>
      </w:r>
      <w:r>
        <w:rPr/>
        <w:t>元，由本公司提供连带责 任保证。公司所属子公司</w:t>
      </w:r>
      <w:r>
        <w:rPr>
          <w:rFonts w:ascii="Times New Roman" w:hAnsi="Times New Roman" w:cs="Times New Roman" w:eastAsia="Times New Roman" w:hint="default"/>
        </w:rPr>
        <w:t>-</w:t>
      </w:r>
      <w:r>
        <w:rPr/>
        <w:t>北京东华合创科技有限公司借款余额</w:t>
      </w:r>
      <w:r>
        <w:rPr>
          <w:rFonts w:ascii="Times New Roman" w:hAnsi="Times New Roman" w:cs="Times New Roman" w:eastAsia="Times New Roman" w:hint="default"/>
        </w:rPr>
        <w:t>13,212,693.00</w:t>
      </w:r>
      <w:r>
        <w:rPr/>
        <w:t>元，由本公司提供连带责任保证。公司所属子</w:t>
      </w:r>
      <w:r>
        <w:rPr>
          <w:spacing w:val="-18"/>
        </w:rPr>
        <w:t> </w:t>
      </w:r>
      <w:r>
        <w:rPr>
          <w:spacing w:val="-18"/>
        </w:rPr>
      </w:r>
      <w:r>
        <w:rPr>
          <w:spacing w:val="4"/>
        </w:rPr>
        <w:t>公司</w:t>
      </w:r>
      <w:r>
        <w:rPr>
          <w:rFonts w:ascii="Times New Roman" w:hAnsi="Times New Roman" w:cs="Times New Roman" w:eastAsia="Times New Roman" w:hint="default"/>
          <w:spacing w:val="4"/>
        </w:rPr>
        <w:t>-</w:t>
      </w:r>
      <w:r>
        <w:rPr>
          <w:spacing w:val="4"/>
        </w:rPr>
        <w:t>深圳市至高通信技术发展有限公司借款余额</w:t>
      </w:r>
      <w:r>
        <w:rPr>
          <w:rFonts w:ascii="Times New Roman" w:hAnsi="Times New Roman" w:cs="Times New Roman" w:eastAsia="Times New Roman" w:hint="default"/>
          <w:spacing w:val="4"/>
        </w:rPr>
        <w:t>195,000,000.00</w:t>
      </w:r>
      <w:r>
        <w:rPr>
          <w:spacing w:val="4"/>
        </w:rPr>
        <w:t>元，其中</w:t>
      </w:r>
      <w:r>
        <w:rPr>
          <w:rFonts w:ascii="Times New Roman" w:hAnsi="Times New Roman" w:cs="Times New Roman" w:eastAsia="Times New Roman" w:hint="default"/>
          <w:spacing w:val="4"/>
        </w:rPr>
        <w:t>135,000,000.00</w:t>
      </w:r>
      <w:r>
        <w:rPr>
          <w:spacing w:val="4"/>
        </w:rPr>
        <w:t>元由本公司提供连带责任保证，</w:t>
      </w:r>
      <w:r>
        <w:rPr>
          <w:spacing w:val="-65"/>
        </w:rPr>
        <w:t> </w:t>
      </w:r>
      <w:r>
        <w:rPr>
          <w:spacing w:val="-65"/>
        </w:rPr>
      </w:r>
      <w:r>
        <w:rPr>
          <w:rFonts w:ascii="Times New Roman" w:hAnsi="Times New Roman" w:cs="Times New Roman" w:eastAsia="Times New Roman" w:hint="default"/>
        </w:rPr>
        <w:t>30,000,000.00</w:t>
      </w:r>
      <w:r>
        <w:rPr/>
        <w:t>元由本公司及其股东章云芳共同提供连带责任保证，</w:t>
      </w:r>
      <w:r>
        <w:rPr>
          <w:rFonts w:ascii="Times New Roman" w:hAnsi="Times New Roman" w:cs="Times New Roman" w:eastAsia="Times New Roman" w:hint="default"/>
        </w:rPr>
        <w:t>30,000,000.00</w:t>
      </w:r>
      <w:r>
        <w:rPr/>
        <w:t>元由公司股东章云芳以自有房产提供连带责</w:t>
      </w:r>
      <w:r>
        <w:rPr>
          <w:spacing w:val="-86"/>
        </w:rPr>
        <w:t> </w:t>
      </w:r>
      <w:r>
        <w:rPr>
          <w:spacing w:val="-86"/>
        </w:rPr>
      </w:r>
      <w:r>
        <w:rPr/>
        <w:t>任担保。</w:t>
      </w:r>
    </w:p>
    <w:p>
      <w:pPr>
        <w:pStyle w:val="BodyText"/>
        <w:spacing w:line="300" w:lineRule="auto" w:before="151"/>
        <w:ind w:right="1130" w:firstLine="36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20"/>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日，公司与贵阳银行股份有限公司签订的《质押合同》（编号</w:t>
      </w:r>
      <w:r>
        <w:rPr>
          <w:rFonts w:ascii="Times New Roman" w:hAnsi="Times New Roman" w:cs="Times New Roman" w:eastAsia="Times New Roman" w:hint="default"/>
        </w:rPr>
        <w:t>“ZB4120140707001”</w:t>
      </w:r>
      <w:r>
        <w:rPr/>
        <w:t>），为公司与该行签订</w:t>
      </w:r>
      <w:r>
        <w:rPr>
          <w:w w:val="100"/>
        </w:rPr>
        <w:t> </w:t>
      </w:r>
      <w:r>
        <w:rPr>
          <w:spacing w:val="-1"/>
        </w:rPr>
        <w:t>的编号为</w:t>
      </w:r>
      <w:r>
        <w:rPr>
          <w:rFonts w:ascii="Times New Roman" w:hAnsi="Times New Roman" w:cs="Times New Roman" w:eastAsia="Times New Roman" w:hint="default"/>
          <w:spacing w:val="-1"/>
        </w:rPr>
        <w:t>GJ1342015112304</w:t>
      </w:r>
      <w:r>
        <w:rPr>
          <w:spacing w:val="-1"/>
        </w:rPr>
        <w:t>的《流动资金借款合同》提供质押担保，质押物的权利金额为公司与贵阳市公安交通管理局的应</w:t>
      </w:r>
      <w:r>
        <w:rPr>
          <w:spacing w:val="-41"/>
        </w:rPr>
        <w:t> </w:t>
      </w:r>
      <w:r>
        <w:rPr>
          <w:spacing w:val="-41"/>
        </w:rPr>
      </w:r>
      <w:r>
        <w:rPr/>
        <w:t>收账款金额</w:t>
      </w:r>
      <w:r>
        <w:rPr>
          <w:rFonts w:ascii="Times New Roman" w:hAnsi="Times New Roman" w:cs="Times New Roman" w:eastAsia="Times New Roman" w:hint="default"/>
        </w:rPr>
        <w:t>52,586,928.00</w:t>
      </w:r>
      <w:r>
        <w:rPr/>
        <w:t>元，担保金额为公司与贵阳市公安交通管理局的应收账款金额</w:t>
      </w:r>
      <w:r>
        <w:rPr>
          <w:rFonts w:ascii="Times New Roman" w:hAnsi="Times New Roman" w:cs="Times New Roman" w:eastAsia="Times New Roman" w:hint="default"/>
        </w:rPr>
        <w:t>21,034,771.00</w:t>
      </w:r>
      <w:r>
        <w:rPr/>
        <w:t>元。质押期限至被担保</w:t>
      </w:r>
      <w:r>
        <w:rPr>
          <w:spacing w:val="-87"/>
        </w:rPr>
        <w:t> </w:t>
      </w:r>
      <w:r>
        <w:rPr>
          <w:spacing w:val="-87"/>
        </w:rPr>
      </w:r>
      <w:r>
        <w:rPr>
          <w:spacing w:val="-2"/>
        </w:rPr>
        <w:t>的债权诉讼时效届满之日，担保金额为主合同项下的本金及利息、违约金、赔偿金等。截至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日，公司在该合同</w:t>
      </w:r>
      <w:r>
        <w:rPr>
          <w:spacing w:val="-58"/>
        </w:rPr>
        <w:t> </w:t>
      </w:r>
      <w:r>
        <w:rPr>
          <w:spacing w:val="-58"/>
        </w:rPr>
      </w:r>
      <w:r>
        <w:rPr/>
        <w:t>项下的借款金额为</w:t>
      </w:r>
      <w:r>
        <w:rPr>
          <w:rFonts w:ascii="Times New Roman" w:hAnsi="Times New Roman" w:cs="Times New Roman" w:eastAsia="Times New Roman" w:hint="default"/>
        </w:rPr>
        <w:t>7,011,590.32</w:t>
      </w:r>
      <w:r>
        <w:rPr/>
        <w:t>元。</w:t>
      </w:r>
    </w:p>
    <w:p>
      <w:pPr>
        <w:spacing w:line="240" w:lineRule="auto" w:before="0"/>
        <w:rPr>
          <w:rFonts w:ascii="宋体" w:hAnsi="宋体" w:cs="宋体" w:eastAsia="宋体" w:hint="default"/>
          <w:sz w:val="24"/>
          <w:szCs w:val="24"/>
        </w:rPr>
      </w:pPr>
    </w:p>
    <w:p>
      <w:pPr>
        <w:pStyle w:val="BodyText"/>
        <w:spacing w:line="590" w:lineRule="auto"/>
        <w:ind w:left="514" w:right="6568" w:hanging="360"/>
        <w:jc w:val="left"/>
      </w:pPr>
      <w:bookmarkStart w:name="（2）已逾期未偿还的短期借款情况" w:id="311"/>
      <w:bookmarkEnd w:id="311"/>
      <w:r>
        <w:rPr/>
      </w:r>
      <w:r>
        <w:rPr/>
        <w:t>（</w:t>
      </w:r>
      <w:r>
        <w:rPr>
          <w:rFonts w:ascii="Times New Roman" w:hAnsi="Times New Roman" w:cs="Times New Roman" w:eastAsia="Times New Roman" w:hint="default"/>
        </w:rPr>
        <w:t>2</w:t>
      </w:r>
      <w:r>
        <w:rPr/>
        <w:t>）已逾期未偿还的短期借款情况 本期末已逾期未偿还的短期借款总额为</w:t>
      </w:r>
      <w:r>
        <w:rPr>
          <w:spacing w:val="-46"/>
        </w:rPr>
        <w:t> </w:t>
      </w:r>
      <w:r>
        <w:rPr>
          <w:rFonts w:ascii="Times New Roman" w:hAnsi="Times New Roman" w:cs="Times New Roman" w:eastAsia="Times New Roman" w:hint="default"/>
        </w:rPr>
        <w:t>0.00 </w:t>
      </w:r>
      <w:r>
        <w:rPr/>
        <w:t>元。</w:t>
      </w:r>
    </w:p>
    <w:p>
      <w:pPr>
        <w:pStyle w:val="Heading3"/>
        <w:spacing w:line="240" w:lineRule="auto" w:before="45"/>
        <w:ind w:right="0"/>
        <w:jc w:val="left"/>
        <w:rPr>
          <w:b w:val="0"/>
          <w:bCs w:val="0"/>
        </w:rPr>
      </w:pPr>
      <w:bookmarkStart w:name="32、以公允价值计量且其变动计入当期损益的金融负债" w:id="312"/>
      <w:bookmarkEnd w:id="312"/>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3、衍生金融负债" w:id="313"/>
      <w:bookmarkEnd w:id="313"/>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4、应付票据" w:id="314"/>
      <w:bookmarkEnd w:id="314"/>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413,949,481.53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179,985,694.48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443,949,481.53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179,985,694.48</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35、应付账款" w:id="315"/>
      <w:bookmarkEnd w:id="315"/>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154" w:right="0"/>
        <w:jc w:val="left"/>
      </w:pPr>
      <w:bookmarkStart w:name="（1）应付账款列示" w:id="316"/>
      <w:bookmarkEnd w:id="316"/>
      <w:r>
        <w:rPr/>
      </w:r>
      <w:r>
        <w:rPr/>
        <w:t>（</w:t>
      </w:r>
      <w:r>
        <w:rPr>
          <w:rFonts w:ascii="Times New Roman" w:hAnsi="Times New Roman" w:cs="Times New Roman" w:eastAsia="Times New Roman" w:hint="default"/>
        </w:rPr>
        <w:t>1</w:t>
      </w:r>
      <w:r>
        <w:rPr/>
        <w:t>）应付账款列示</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948,040,882.55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489,245,814.75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948,040,882.55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489,245,814.75</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2）账龄超过1年的重要应付账款" w:id="317"/>
      <w:bookmarkEnd w:id="317"/>
      <w:r>
        <w:rPr/>
      </w:r>
      <w:r>
        <w:rPr/>
        <w:t>（</w:t>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 </w:t>
      </w:r>
      <w:r>
        <w:rPr/>
        <w:t>年的重要应付账款</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北京安氏领信科技发展有限公司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20,198,839.00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福建广电网络集团股份有限公司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北京汇金科技有限责任公司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7,500,022.19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南京安氏领信科技发展有限公司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广东中实国润科技有限公司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4,938,780.00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北京易讯通信息技术股份有限公司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4,893,800.00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华为数字技术（成都）有限公司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4,719,990.80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北京达乐源科技发展有限公司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北京中北万兴国际贸易有限公司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北京中电广通科技有限公司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2,546,369.57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广州宸瑞软件科技有限公司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2,363,247.87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2,169,945.00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深圳市金宏威技术有限责任公司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2,106,801.20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75,050,195.63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6、预收款项" w:id="318"/>
      <w:bookmarkEnd w:id="318"/>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left="154" w:right="0"/>
        <w:jc w:val="left"/>
      </w:pPr>
      <w:bookmarkStart w:name="（1）预收款项列示" w:id="319"/>
      <w:bookmarkEnd w:id="319"/>
      <w:r>
        <w:rPr/>
      </w:r>
      <w:r>
        <w:rPr/>
        <w:t>（</w:t>
      </w:r>
      <w:r>
        <w:rPr>
          <w:rFonts w:ascii="Times New Roman" w:hAnsi="Times New Roman" w:cs="Times New Roman" w:eastAsia="Times New Roman" w:hint="default"/>
        </w:rPr>
        <w:t>1</w:t>
      </w:r>
      <w:r>
        <w:rPr/>
        <w:t>）预收款项列示</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预收合同款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858,437,966.98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746,024,813.55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858,437,966.98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746,024,813.55</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2）账龄超过1年的重要预收款项" w:id="320"/>
      <w:bookmarkEnd w:id="320"/>
      <w:r>
        <w:rPr/>
      </w:r>
      <w:r>
        <w:rPr/>
        <w:t>（</w:t>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 </w:t>
      </w:r>
      <w:r>
        <w:rPr/>
        <w:t>年的重要预收款项</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27,557,008.77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儋州市教育局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24,498,000.00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内蒙古自治区人民检察院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10,634,886.01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中国人民银行河北省石家庄分行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5,015,449.14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中国工商银行股份有限公司重庆市分行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4,055,780.88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中移电子商务有限公司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3,344,110.94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3,323,340.68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项目尚未完成未验收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78,428,576.42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3）期末建造合同形成的已结算未完工项目情况" w:id="321"/>
      <w:bookmarkEnd w:id="321"/>
      <w:r>
        <w:rPr/>
      </w:r>
      <w:r>
        <w:rPr/>
        <w:t>（</w:t>
      </w:r>
      <w:r>
        <w:rPr>
          <w:rFonts w:ascii="Times New Roman" w:hAnsi="Times New Roman" w:cs="Times New Roman" w:eastAsia="Times New Roman" w:hint="default"/>
        </w:rPr>
        <w:t>3</w:t>
      </w:r>
      <w:r>
        <w:rPr/>
        <w:t>）期末建造合同形成的已结算未完工项目情况</w:t>
      </w:r>
    </w:p>
    <w:p>
      <w:pPr>
        <w:spacing w:line="240" w:lineRule="auto" w:before="12"/>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7、应付职工薪酬" w:id="322"/>
      <w:bookmarkEnd w:id="322"/>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154" w:right="0"/>
        <w:jc w:val="left"/>
      </w:pPr>
      <w:bookmarkStart w:name="（1）应付职工薪酬列示" w:id="323"/>
      <w:bookmarkEnd w:id="323"/>
      <w:r>
        <w:rPr/>
      </w:r>
      <w:r>
        <w:rPr/>
        <w:t>（</w:t>
      </w:r>
      <w:r>
        <w:rPr>
          <w:rFonts w:ascii="Times New Roman" w:hAnsi="Times New Roman" w:cs="Times New Roman" w:eastAsia="Times New Roman" w:hint="default"/>
        </w:rPr>
        <w:t>1</w:t>
      </w:r>
      <w:r>
        <w:rPr/>
        <w:t>）应付职工薪酬列示</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12,518,654.65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902,973,330.76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907,195,736.58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8,296,248.83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250,676.18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74,584,026.89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74,552,068.57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282,634.50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12,769,330.83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977,557,357.65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981,747,805.15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8,578,883.33</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2）短期薪酬列示" w:id="324"/>
      <w:bookmarkEnd w:id="324"/>
      <w:r>
        <w:rPr/>
      </w:r>
      <w:r>
        <w:rPr/>
        <w:t>（</w:t>
      </w:r>
      <w:r>
        <w:rPr>
          <w:rFonts w:ascii="Times New Roman" w:hAnsi="Times New Roman" w:cs="Times New Roman" w:eastAsia="Times New Roman" w:hint="default"/>
        </w:rPr>
        <w:t>2</w:t>
      </w:r>
      <w:r>
        <w:rPr/>
        <w:t>）短期薪酬列示</w:t>
      </w:r>
    </w:p>
    <w:p>
      <w:pPr>
        <w:spacing w:line="240" w:lineRule="auto" w:before="8"/>
        <w:rPr>
          <w:rFonts w:ascii="宋体" w:hAnsi="宋体" w:cs="宋体" w:eastAsia="宋体" w:hint="default"/>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11,799,269.35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829,479,416.98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833,887,126.41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7,391,559.92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6,639,773.36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6,639,773.36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121,504.50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30,556,220.08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30,573,949.65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103,774.93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113,520.23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27,390,542.16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27,410,857.28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93,205.11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1,043,296.99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1,041,285.54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3,400.91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2,122,380.93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2,121,806.83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7,168.91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53,289.62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31,779,211.15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31,788,618.38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43,882.39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544,591.18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4,518,709.19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4,306,268.78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757,031.59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12,518,654.65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902,973,330.76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907,195,736.58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8,296,248.83</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3）设定提存计划列示" w:id="325"/>
      <w:bookmarkEnd w:id="325"/>
      <w:r>
        <w:rPr/>
      </w:r>
      <w:r>
        <w:rPr/>
        <w:t>（</w:t>
      </w:r>
      <w:r>
        <w:rPr>
          <w:rFonts w:ascii="Times New Roman" w:hAnsi="Times New Roman" w:cs="Times New Roman" w:eastAsia="Times New Roman" w:hint="default"/>
        </w:rPr>
        <w:t>3</w:t>
      </w:r>
      <w:r>
        <w:rPr/>
        <w:t>）设定提存计划列示</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238,653.09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72,760,787.35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72,728,181.18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271,259.26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12,023.09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1,823,239.54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1,823,887.39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11,375.24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250,676.18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74,584,026.89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74,552,068.57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282,634.50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8、应交税费" w:id="326"/>
      <w:bookmarkEnd w:id="326"/>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46,431,372.06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19,261,891.31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72,642,191.81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69,453,572.65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30,053,957.99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49,146,731.67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3,915,262.94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2,719,767.16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1,647,993.17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1,129,038.15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1,088,269.50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743,028.13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81,521.29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81,521.30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182,497.27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191,856.08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168,288.19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75,976.92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25,184.95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4,520.21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副食品调节基金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5,544.05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6,065.49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21,015.17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156,243,357.01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142,840,528.29</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9、应付利息" w:id="327"/>
      <w:bookmarkEnd w:id="32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0、应付股利" w:id="328"/>
      <w:bookmarkEnd w:id="328"/>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371,108,068.67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271,570,030.37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371,108,068.67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271,570,030.37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1、其他应付款" w:id="329"/>
      <w:bookmarkEnd w:id="32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left="154" w:right="0"/>
        <w:jc w:val="left"/>
      </w:pPr>
      <w:bookmarkStart w:name="（1）按款项性质列示其他应付款" w:id="330"/>
      <w:bookmarkEnd w:id="330"/>
      <w:r>
        <w:rPr/>
      </w:r>
      <w:r>
        <w:rPr/>
        <w:t>（</w:t>
      </w:r>
      <w:r>
        <w:rPr>
          <w:rFonts w:ascii="Times New Roman" w:hAnsi="Times New Roman" w:cs="Times New Roman" w:eastAsia="Times New Roman" w:hint="default"/>
        </w:rPr>
        <w:t>1</w:t>
      </w:r>
      <w:r>
        <w:rPr/>
        <w:t>）按款项性质列示其他应付款</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43,577,919.28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52,491,915.97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2,544,679.02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6,200,713.35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外部往来及其他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1,287,182,639.86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893,368,887.60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2,511,112.00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1,335,816,350.16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952,061,516.92</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2）账龄超过1年的重要其他应付款" w:id="331"/>
      <w:bookmarkEnd w:id="331"/>
      <w:r>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pict>
          <v:group style="position:absolute;margin-left:217.460007pt;margin-top:39.831726pt;width:156.9pt;height:19.6pt;mso-position-horizontal-relative:page;mso-position-vertical-relative:paragraph;z-index:-1041376" coordorigin="4349,797" coordsize="3138,392">
            <v:shape style="position:absolute;left:4349;top:797;width:3138;height:392" coordorigin="4349,797" coordsize="3138,392" path="m4349,1188l7486,1188,7486,797,4349,797,4349,1188xe" filled="true" fillcolor="#ffffff" stroked="false">
              <v:path arrowok="t"/>
              <v:fill type="solid"/>
            </v:shape>
            <w10:wrap type="none"/>
          </v:group>
        </w:pict>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9"/>
        <w:gridCol w:w="3182"/>
        <w:gridCol w:w="3189"/>
      </w:tblGrid>
      <w:tr>
        <w:trPr>
          <w:trHeight w:val="402" w:hRule="exact"/>
        </w:trPr>
        <w:tc>
          <w:tcPr>
            <w:tcW w:w="3199"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99" w:type="dxa"/>
            <w:tcBorders>
              <w:top w:val="single" w:sz="4" w:space="0" w:color="000000"/>
              <w:left w:val="single" w:sz="4" w:space="0" w:color="000000"/>
              <w:bottom w:val="single" w:sz="4" w:space="0" w:color="000000"/>
              <w:right w:val="single" w:sz="13" w:space="0" w:color="FFFFFF"/>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北京东华诚信投资管理中心（有限合伙</w:t>
            </w:r>
          </w:p>
        </w:tc>
        <w:tc>
          <w:tcPr>
            <w:tcW w:w="3182" w:type="dxa"/>
            <w:tcBorders>
              <w:top w:val="single" w:sz="4" w:space="0" w:color="000000"/>
              <w:left w:val="single" w:sz="13" w:space="0" w:color="FFFFFF"/>
              <w:bottom w:val="single" w:sz="4" w:space="0" w:color="000000"/>
              <w:right w:val="single" w:sz="4" w:space="0" w:color="000000"/>
            </w:tcBorders>
          </w:tcPr>
          <w:p>
            <w:pPr>
              <w:pStyle w:val="TableParagraph"/>
              <w:tabs>
                <w:tab w:pos="2012" w:val="left" w:leader="none"/>
              </w:tabs>
              <w:spacing w:line="240" w:lineRule="auto" w:before="52"/>
              <w:ind w:left="-147"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532,863,360.17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尚未偿还</w:t>
            </w:r>
          </w:p>
        </w:tc>
      </w:tr>
      <w:tr>
        <w:trPr>
          <w:trHeight w:val="403" w:hRule="exact"/>
        </w:trPr>
        <w:tc>
          <w:tcPr>
            <w:tcW w:w="3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532,863,360.17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2、持有待售的负债" w:id="332"/>
      <w:bookmarkEnd w:id="332"/>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3、一年内到期的非流动负债" w:id="333"/>
      <w:bookmarkEnd w:id="333"/>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4、其他流动负债" w:id="334"/>
      <w:bookmarkEnd w:id="334"/>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5、长期借款" w:id="335"/>
      <w:bookmarkEnd w:id="335"/>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154" w:right="0"/>
        <w:jc w:val="left"/>
      </w:pPr>
      <w:bookmarkStart w:name="（1）长期借款分类" w:id="336"/>
      <w:bookmarkEnd w:id="336"/>
      <w:r>
        <w:rPr/>
      </w:r>
      <w:r>
        <w:rPr/>
        <w:t>（</w:t>
      </w:r>
      <w:r>
        <w:rPr>
          <w:rFonts w:ascii="Times New Roman" w:hAnsi="Times New Roman" w:cs="Times New Roman" w:eastAsia="Times New Roman" w:hint="default"/>
        </w:rPr>
        <w:t>1</w:t>
      </w:r>
      <w:r>
        <w:rPr/>
        <w:t>）长期借款分类</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bl>
    <w:p>
      <w:pPr>
        <w:pStyle w:val="BodyText"/>
        <w:spacing w:line="240" w:lineRule="auto" w:before="51"/>
        <w:ind w:left="154" w:right="0"/>
        <w:jc w:val="left"/>
      </w:pPr>
      <w:r>
        <w:rPr/>
        <w:t>长期借款分类的说明：</w:t>
      </w:r>
    </w:p>
    <w:p>
      <w:pPr>
        <w:pStyle w:val="Heading5"/>
        <w:spacing w:line="273" w:lineRule="auto" w:before="100"/>
        <w:ind w:right="1129" w:firstLine="399"/>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日，根据公司所属子公司东华软件工程有限公司总经理吴定与马鞍山江东金融控股有限公司签</w:t>
      </w:r>
      <w:r>
        <w:rPr>
          <w:w w:val="100"/>
        </w:rPr>
        <w:t> </w:t>
      </w:r>
      <w:r>
        <w:rPr>
          <w:spacing w:val="-2"/>
        </w:rPr>
        <w:t>订的《委托贷款保证担保合同》（编号</w:t>
      </w:r>
      <w:r>
        <w:rPr>
          <w:rFonts w:ascii="Times New Roman" w:hAnsi="Times New Roman" w:cs="Times New Roman" w:eastAsia="Times New Roman" w:hint="default"/>
          <w:spacing w:val="-2"/>
        </w:rPr>
        <w:t>“</w:t>
      </w:r>
      <w:r>
        <w:rPr>
          <w:spacing w:val="-2"/>
        </w:rPr>
        <w:t>科委贷保</w:t>
      </w:r>
      <w:r>
        <w:rPr>
          <w:rFonts w:ascii="Times New Roman" w:hAnsi="Times New Roman" w:cs="Times New Roman" w:eastAsia="Times New Roman" w:hint="default"/>
          <w:spacing w:val="-2"/>
        </w:rPr>
        <w:t>20163601</w:t>
      </w:r>
      <w:r>
        <w:rPr>
          <w:spacing w:val="-2"/>
        </w:rPr>
        <w:t>）规定，保证人吴定为东华软件工程有限公司与中国</w:t>
      </w:r>
      <w:r>
        <w:rPr>
          <w:spacing w:val="-59"/>
        </w:rPr>
        <w:t> </w:t>
      </w:r>
      <w:r>
        <w:rPr>
          <w:spacing w:val="-59"/>
        </w:rPr>
      </w:r>
      <w:r>
        <w:rPr>
          <w:spacing w:val="-2"/>
        </w:rPr>
        <w:t>银行股份有限公司及马鞍山江东金融控股有限公司签订的编号为</w:t>
      </w:r>
      <w:r>
        <w:rPr>
          <w:rFonts w:ascii="Times New Roman" w:hAnsi="Times New Roman" w:cs="Times New Roman" w:eastAsia="Times New Roman" w:hint="default"/>
          <w:spacing w:val="-2"/>
        </w:rPr>
        <w:t>“2016</w:t>
      </w:r>
      <w:r>
        <w:rPr>
          <w:spacing w:val="-2"/>
        </w:rPr>
        <w:t>年马中银委字</w:t>
      </w:r>
      <w:r>
        <w:rPr>
          <w:rFonts w:ascii="Times New Roman" w:hAnsi="Times New Roman" w:cs="Times New Roman" w:eastAsia="Times New Roman" w:hint="default"/>
          <w:spacing w:val="-2"/>
        </w:rPr>
        <w:t>016</w:t>
      </w:r>
      <w:r>
        <w:rPr>
          <w:spacing w:val="-2"/>
        </w:rPr>
        <w:t>号</w:t>
      </w:r>
      <w:r>
        <w:rPr>
          <w:rFonts w:ascii="Times New Roman" w:hAnsi="Times New Roman" w:cs="Times New Roman" w:eastAsia="Times New Roman" w:hint="default"/>
          <w:spacing w:val="-2"/>
        </w:rPr>
        <w:t>”</w:t>
      </w:r>
      <w:r>
        <w:rPr>
          <w:spacing w:val="-2"/>
        </w:rPr>
        <w:t>的《人民币委托贷款</w:t>
      </w:r>
      <w:r>
        <w:rPr>
          <w:spacing w:val="-45"/>
        </w:rPr>
        <w:t> </w:t>
      </w:r>
      <w:r>
        <w:rPr>
          <w:spacing w:val="-45"/>
        </w:rPr>
      </w:r>
      <w:r>
        <w:rPr/>
        <w:t>合同》提供连带责任保证担保，保证期限为每期债务履行期限届满之日起至最后一期债务履行期限届满之二年</w:t>
      </w:r>
      <w:r>
        <w:rPr>
          <w:spacing w:val="-63"/>
        </w:rPr>
        <w:t> </w:t>
      </w:r>
      <w:r>
        <w:rPr>
          <w:spacing w:val="-63"/>
        </w:rPr>
      </w:r>
      <w:r>
        <w:rPr/>
        <w:t>止；截至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日，东华软件工程有限公司在该合同项下长期借款余额为人民币</w:t>
      </w:r>
      <w:r>
        <w:rPr>
          <w:rFonts w:ascii="Times New Roman" w:hAnsi="Times New Roman" w:cs="Times New Roman" w:eastAsia="Times New Roman" w:hint="default"/>
        </w:rPr>
        <w:t>4,000,000.00</w:t>
      </w:r>
      <w:r>
        <w:rPr/>
        <w:t>元。</w:t>
      </w:r>
    </w:p>
    <w:p>
      <w:pPr>
        <w:pStyle w:val="BodyText"/>
        <w:spacing w:line="240" w:lineRule="auto" w:before="61"/>
        <w:ind w:left="154" w:right="0"/>
        <w:jc w:val="left"/>
      </w:pPr>
      <w:r>
        <w:rPr/>
        <w:t>其他说明，包括利率区间：</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134"/>
        <w:gridCol w:w="1276"/>
        <w:gridCol w:w="851"/>
        <w:gridCol w:w="709"/>
        <w:gridCol w:w="1134"/>
        <w:gridCol w:w="708"/>
        <w:gridCol w:w="708"/>
        <w:gridCol w:w="1418"/>
      </w:tblGrid>
      <w:tr>
        <w:trPr>
          <w:trHeight w:val="181" w:hRule="exact"/>
        </w:trPr>
        <w:tc>
          <w:tcPr>
            <w:tcW w:w="1560" w:type="dxa"/>
            <w:tcBorders>
              <w:top w:val="single" w:sz="4" w:space="0" w:color="000000"/>
              <w:left w:val="single" w:sz="4" w:space="0" w:color="000000"/>
              <w:bottom w:val="nil" w:sz="6" w:space="0" w:color="auto"/>
              <w:right w:val="single" w:sz="4" w:space="0" w:color="000000"/>
            </w:tcBorders>
            <w:shd w:val="clear" w:color="auto" w:fill="D9D9D9"/>
          </w:tcPr>
          <w:p>
            <w:pPr/>
          </w:p>
        </w:tc>
        <w:tc>
          <w:tcPr>
            <w:tcW w:w="1134" w:type="dxa"/>
            <w:tcBorders>
              <w:top w:val="single" w:sz="4" w:space="0" w:color="000000"/>
              <w:left w:val="single" w:sz="4" w:space="0" w:color="000000"/>
              <w:bottom w:val="nil" w:sz="6" w:space="0" w:color="auto"/>
              <w:right w:val="single" w:sz="4" w:space="0" w:color="000000"/>
            </w:tcBorders>
            <w:shd w:val="clear" w:color="auto" w:fill="D9D9D9"/>
          </w:tcPr>
          <w:p>
            <w:pPr/>
          </w:p>
        </w:tc>
        <w:tc>
          <w:tcPr>
            <w:tcW w:w="1276" w:type="dxa"/>
            <w:tcBorders>
              <w:top w:val="single" w:sz="4" w:space="0" w:color="000000"/>
              <w:left w:val="single" w:sz="4" w:space="0" w:color="000000"/>
              <w:bottom w:val="nil" w:sz="6" w:space="0" w:color="auto"/>
              <w:right w:val="single" w:sz="4" w:space="0" w:color="000000"/>
            </w:tcBorders>
            <w:shd w:val="clear" w:color="auto" w:fill="D9D9D9"/>
          </w:tcPr>
          <w:p>
            <w:pPr/>
          </w:p>
        </w:tc>
        <w:tc>
          <w:tcPr>
            <w:tcW w:w="2694"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35"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560"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left="414"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134"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left="111"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276"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2694" w:type="dxa"/>
            <w:gridSpan w:val="3"/>
            <w:vMerge/>
            <w:tcBorders>
              <w:left w:val="single" w:sz="4" w:space="0" w:color="000000"/>
              <w:bottom w:val="single" w:sz="4" w:space="0" w:color="000000"/>
              <w:right w:val="single" w:sz="4" w:space="0" w:color="000000"/>
            </w:tcBorders>
            <w:shd w:val="clear" w:color="auto" w:fill="D9D9D9"/>
          </w:tcPr>
          <w:p>
            <w:pPr/>
          </w:p>
        </w:tc>
        <w:tc>
          <w:tcPr>
            <w:tcW w:w="2835" w:type="dxa"/>
            <w:gridSpan w:val="3"/>
            <w:vMerge/>
            <w:tcBorders>
              <w:left w:val="single" w:sz="4" w:space="0" w:color="000000"/>
              <w:bottom w:val="single" w:sz="4" w:space="0" w:color="000000"/>
              <w:right w:val="single" w:sz="4" w:space="0" w:color="000000"/>
            </w:tcBorders>
            <w:shd w:val="clear" w:color="auto" w:fill="D9D9D9"/>
          </w:tcPr>
          <w:p>
            <w:pPr/>
          </w:p>
        </w:tc>
      </w:tr>
      <w:tr>
        <w:trPr>
          <w:trHeight w:val="342" w:hRule="exact"/>
        </w:trPr>
        <w:tc>
          <w:tcPr>
            <w:tcW w:w="1560" w:type="dxa"/>
            <w:vMerge/>
            <w:tcBorders>
              <w:left w:val="single" w:sz="4" w:space="0" w:color="000000"/>
              <w:bottom w:val="single" w:sz="4" w:space="0" w:color="000000"/>
              <w:right w:val="single" w:sz="4" w:space="0" w:color="000000"/>
            </w:tcBorders>
            <w:shd w:val="clear" w:color="auto" w:fill="D9D9D9"/>
          </w:tcPr>
          <w:p>
            <w:pPr/>
          </w:p>
        </w:tc>
        <w:tc>
          <w:tcPr>
            <w:tcW w:w="1134" w:type="dxa"/>
            <w:vMerge/>
            <w:tcBorders>
              <w:left w:val="single" w:sz="4" w:space="0" w:color="000000"/>
              <w:bottom w:val="single" w:sz="4" w:space="0" w:color="000000"/>
              <w:right w:val="single" w:sz="4" w:space="0" w:color="000000"/>
            </w:tcBorders>
            <w:shd w:val="clear" w:color="auto" w:fill="D9D9D9"/>
          </w:tcPr>
          <w:p>
            <w:pPr/>
          </w:p>
        </w:tc>
        <w:tc>
          <w:tcPr>
            <w:tcW w:w="1276" w:type="dxa"/>
            <w:vMerge/>
            <w:tcBorders>
              <w:left w:val="single" w:sz="4" w:space="0" w:color="000000"/>
              <w:bottom w:val="single" w:sz="4" w:space="0" w:color="000000"/>
              <w:right w:val="single" w:sz="4" w:space="0" w:color="000000"/>
            </w:tcBorders>
            <w:shd w:val="clear" w:color="auto" w:fill="D9D9D9"/>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40"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69"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01"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67"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69"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44"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655"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5"/>
              <w:ind w:left="4" w:right="4"/>
              <w:jc w:val="left"/>
              <w:rPr>
                <w:rFonts w:ascii="宋体" w:hAnsi="宋体" w:cs="宋体" w:eastAsia="宋体" w:hint="default"/>
                <w:sz w:val="20"/>
                <w:szCs w:val="20"/>
              </w:rPr>
            </w:pPr>
            <w:r>
              <w:rPr>
                <w:rFonts w:ascii="宋体" w:hAnsi="宋体" w:cs="宋体" w:eastAsia="宋体" w:hint="default"/>
                <w:spacing w:val="18"/>
                <w:sz w:val="20"/>
                <w:szCs w:val="20"/>
              </w:rPr>
              <w:t>马鞍山江东金融</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控股有限公司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2016.09.07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2019.09.07</w:t>
            </w:r>
          </w:p>
        </w:tc>
        <w:tc>
          <w:tcPr>
            <w:tcW w:w="85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4.75%</w:t>
            </w:r>
          </w:p>
        </w:tc>
        <w:tc>
          <w:tcPr>
            <w:tcW w:w="70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RMB</w:t>
            </w:r>
          </w:p>
        </w:tc>
        <w:tc>
          <w:tcPr>
            <w:tcW w:w="11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4,000,000.00</w:t>
            </w:r>
          </w:p>
        </w:tc>
        <w:tc>
          <w:tcPr>
            <w:tcW w:w="70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4.75%</w:t>
            </w:r>
          </w:p>
        </w:tc>
        <w:tc>
          <w:tcPr>
            <w:tcW w:w="70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RMB</w:t>
            </w:r>
          </w:p>
        </w:tc>
        <w:tc>
          <w:tcPr>
            <w:tcW w:w="14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59" w:right="0"/>
              <w:jc w:val="left"/>
              <w:rPr>
                <w:rFonts w:ascii="Times New Roman" w:hAnsi="Times New Roman" w:cs="Times New Roman" w:eastAsia="Times New Roman" w:hint="default"/>
                <w:sz w:val="18"/>
                <w:szCs w:val="18"/>
              </w:rPr>
            </w:pPr>
            <w:r>
              <w:rPr>
                <w:rFonts w:ascii="Times New Roman"/>
                <w:sz w:val="18"/>
              </w:rPr>
              <w:t>4,000,000.00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6、应付债券" w:id="337"/>
      <w:bookmarkEnd w:id="337"/>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7、长期应付款" w:id="338"/>
      <w:bookmarkEnd w:id="338"/>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8、长期应付职工薪酬" w:id="339"/>
      <w:bookmarkEnd w:id="339"/>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9、专项应付款" w:id="340"/>
      <w:bookmarkEnd w:id="340"/>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0、预计负债" w:id="341"/>
      <w:bookmarkEnd w:id="34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1、递延收益" w:id="342"/>
      <w:bookmarkEnd w:id="34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59,132,752.56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15,911,891.77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71,050,860.79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59,132,752.56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15,911,891.77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71,050,860.79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1134"/>
        <w:gridCol w:w="568"/>
        <w:gridCol w:w="1206"/>
        <w:gridCol w:w="920"/>
        <w:gridCol w:w="1134"/>
        <w:gridCol w:w="1134"/>
        <w:gridCol w:w="1063"/>
      </w:tblGrid>
      <w:tr>
        <w:trPr>
          <w:trHeight w:val="1962"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0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92" w:right="109"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6"/>
              <w:jc w:val="both"/>
              <w:rPr>
                <w:rFonts w:ascii="宋体" w:hAnsi="宋体" w:cs="宋体" w:eastAsia="宋体" w:hint="default"/>
                <w:sz w:val="18"/>
                <w:szCs w:val="18"/>
              </w:rPr>
            </w:pPr>
            <w:r>
              <w:rPr>
                <w:rFonts w:ascii="宋体" w:hAnsi="宋体" w:cs="宋体" w:eastAsia="宋体" w:hint="default"/>
                <w:sz w:val="18"/>
                <w:szCs w:val="18"/>
              </w:rPr>
              <w:t>本期 计入 营业 外收 入金 额</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0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62"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基于传感网 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 的农产品质 量追溯系统 研发及产业 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216,666.67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107,264.96</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109,401.71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高速流量控 制系统产业 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385,754.99</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345,868.95</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39,886.04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162"/>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年度电 子信息产业 发展基金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719,961.02</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581,779.89</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138,181.13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气象医疗行 业核心软件 研发项目资 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云计算的数 字化医疗和 区域医疗协 同系统项目 补助资金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工信部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电子发展基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1,005,398.86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375,398.86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23"/>
        <w:gridCol w:w="1287"/>
        <w:gridCol w:w="1134"/>
        <w:gridCol w:w="568"/>
        <w:gridCol w:w="1206"/>
        <w:gridCol w:w="920"/>
        <w:gridCol w:w="1134"/>
        <w:gridCol w:w="1134"/>
        <w:gridCol w:w="1063"/>
      </w:tblGrid>
      <w:tr>
        <w:trPr>
          <w:trHeight w:val="362"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金款（</w:t>
            </w:r>
            <w:r>
              <w:rPr>
                <w:rFonts w:ascii="Times New Roman" w:hAnsi="Times New Roman" w:cs="Times New Roman" w:eastAsia="Times New Roman" w:hint="default"/>
                <w:sz w:val="18"/>
                <w:szCs w:val="18"/>
              </w:rPr>
              <w:t>ITSS</w:t>
            </w:r>
            <w:r>
              <w:rPr>
                <w:rFonts w:ascii="宋体" w:hAnsi="宋体" w:cs="宋体" w:eastAsia="宋体" w:hint="default"/>
                <w:sz w:val="18"/>
                <w:szCs w:val="18"/>
              </w:rPr>
              <w:t>）</w:t>
            </w:r>
          </w:p>
        </w:tc>
        <w:tc>
          <w:tcPr>
            <w:tcW w:w="1287" w:type="dxa"/>
            <w:tcBorders>
              <w:top w:val="single" w:sz="4" w:space="0" w:color="000000"/>
              <w:left w:val="single" w:sz="13" w:space="0" w:color="D9D9D9"/>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云计算流量 分析控制北 京市工程实 验室创新能 力建设项目</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2,387,666.67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2,204,000.00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中关村科技 园产业发展 专项资金</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新一代互联 网上网行为 管理系统产 业化</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1,705,170.94</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805,170.94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144"/>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年核高 基国家科技 重大专项</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372,680.00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186,340.00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186,340.00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基于医学知 识库电子病 历系统研发 及临床应用 </w:t>
            </w: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计划电子 病历</w:t>
            </w:r>
            <w:r>
              <w:rPr>
                <w:rFonts w:ascii="Times New Roman" w:hAnsi="Times New Roman" w:cs="Times New Roman" w:eastAsia="Times New Roman" w:hint="default"/>
                <w:sz w:val="18"/>
                <w:szCs w:val="18"/>
              </w:rPr>
              <w:t>)</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103,720.00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51,860.00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信息技术服 务能力提升</w:t>
            </w:r>
            <w:r>
              <w:rPr>
                <w:rFonts w:ascii="Times New Roman" w:hAnsi="Times New Roman" w:cs="Times New Roman" w:eastAsia="Times New Roman" w:hint="default"/>
                <w:sz w:val="18"/>
                <w:szCs w:val="18"/>
              </w:rPr>
              <w:t>- </w:t>
            </w:r>
            <w:r>
              <w:rPr>
                <w:rFonts w:ascii="宋体" w:hAnsi="宋体" w:cs="宋体" w:eastAsia="宋体" w:hint="default"/>
                <w:sz w:val="18"/>
                <w:szCs w:val="18"/>
              </w:rPr>
              <w:t>银行安全可 靠业务系统 研发及应用 示范</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海淀联合重 大攻关项目</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491,196.58</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281,196.58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中小商业银 行一体化服 务平台</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5,706,000.00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1,902,000.00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数字化医疗 区域协同应 用示范（</w:t>
            </w:r>
            <w:r>
              <w:rPr>
                <w:rFonts w:ascii="Times New Roman" w:hAnsi="Times New Roman" w:cs="Times New Roman" w:eastAsia="Times New Roman" w:hint="default"/>
                <w:sz w:val="18"/>
                <w:szCs w:val="18"/>
              </w:rPr>
              <w:t>863 </w:t>
            </w:r>
            <w:r>
              <w:rPr>
                <w:rFonts w:ascii="宋体" w:hAnsi="宋体" w:cs="宋体" w:eastAsia="宋体" w:hint="default"/>
                <w:sz w:val="18"/>
                <w:szCs w:val="18"/>
              </w:rPr>
              <w:t>计划华西医 院）</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924,444.44</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75,555.56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计划数字 化医疗医院 流程研究及</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223,881.01</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87,580.00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136,301.01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23"/>
        <w:gridCol w:w="1287"/>
        <w:gridCol w:w="1134"/>
        <w:gridCol w:w="568"/>
        <w:gridCol w:w="1206"/>
        <w:gridCol w:w="920"/>
        <w:gridCol w:w="1134"/>
        <w:gridCol w:w="1134"/>
        <w:gridCol w:w="1063"/>
      </w:tblGrid>
      <w:tr>
        <w:trPr>
          <w:trHeight w:val="986"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应用示范</w:t>
            </w:r>
          </w:p>
          <w:p>
            <w:pPr>
              <w:pStyle w:val="TableParagraph"/>
              <w:spacing w:line="302" w:lineRule="auto" w:before="76"/>
              <w:ind w:left="22" w:right="5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计划协 和医院）</w:t>
            </w:r>
          </w:p>
        </w:tc>
        <w:tc>
          <w:tcPr>
            <w:tcW w:w="1287" w:type="dxa"/>
            <w:tcBorders>
              <w:top w:val="single" w:sz="4" w:space="0" w:color="000000"/>
              <w:left w:val="single" w:sz="13" w:space="0" w:color="D9D9D9"/>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基于安全可 靠软硬件的 系统集成开 发工具（</w:t>
            </w:r>
            <w:r>
              <w:rPr>
                <w:rFonts w:ascii="Times New Roman" w:hAnsi="Times New Roman" w:cs="Times New Roman" w:eastAsia="Times New Roman" w:hint="default"/>
                <w:sz w:val="18"/>
                <w:szCs w:val="18"/>
              </w:rPr>
              <w:t>IDE) </w:t>
            </w:r>
            <w:r>
              <w:rPr>
                <w:rFonts w:ascii="宋体" w:hAnsi="宋体" w:cs="宋体" w:eastAsia="宋体" w:hint="default"/>
                <w:sz w:val="18"/>
                <w:szCs w:val="18"/>
              </w:rPr>
              <w:t>研发</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信息系统（政 务、医疗）运 行维护支持 系统研发及 产业化项目</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23,076.93</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23,076.93</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超大规模数 据智能分析 平台</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1,102,290.60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2,897,709.40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电力装备智 能运维平台 关键技术研 究及应用示 范</w:t>
            </w:r>
          </w:p>
        </w:tc>
        <w:tc>
          <w:tcPr>
            <w:tcW w:w="1287" w:type="dxa"/>
            <w:tcBorders>
              <w:top w:val="single" w:sz="4" w:space="0" w:color="000000"/>
              <w:left w:val="single" w:sz="13" w:space="0" w:color="D9D9D9"/>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基于大数据 的健康服务 平台</w:t>
            </w:r>
          </w:p>
        </w:tc>
        <w:tc>
          <w:tcPr>
            <w:tcW w:w="1287" w:type="dxa"/>
            <w:tcBorders>
              <w:top w:val="single" w:sz="4" w:space="0" w:color="000000"/>
              <w:left w:val="single" w:sz="13" w:space="0" w:color="D9D9D9"/>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海淀联合重 大攻关项目</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144"/>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年海淀 区重大联合 攻关项目</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深圳前海深 港合作区现 代服务业综 合试点项目 扶持协议</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-4,670,000.00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新华舆情网 络预警系统 及配套智能 移动终端产 业化项目</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643,801.11</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425,386.00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218,415.11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基于移动互 联网的新一</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711,111.12</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133,333.33</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577,777.79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23"/>
        <w:gridCol w:w="1287"/>
        <w:gridCol w:w="1134"/>
        <w:gridCol w:w="568"/>
        <w:gridCol w:w="1206"/>
        <w:gridCol w:w="920"/>
        <w:gridCol w:w="1134"/>
        <w:gridCol w:w="1134"/>
        <w:gridCol w:w="1063"/>
      </w:tblGrid>
      <w:tr>
        <w:trPr>
          <w:trHeight w:val="1298"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代银行卡手 持移动金融 终端应用示 范项目</w:t>
            </w:r>
          </w:p>
        </w:tc>
        <w:tc>
          <w:tcPr>
            <w:tcW w:w="1287" w:type="dxa"/>
            <w:tcBorders>
              <w:top w:val="single" w:sz="4" w:space="0" w:color="000000"/>
              <w:left w:val="single" w:sz="13" w:space="0" w:color="D9D9D9"/>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自主标准 </w:t>
            </w:r>
            <w:r>
              <w:rPr>
                <w:rFonts w:ascii="Times New Roman" w:hAnsi="Times New Roman" w:cs="Times New Roman" w:eastAsia="Times New Roman" w:hint="default"/>
                <w:sz w:val="18"/>
                <w:szCs w:val="18"/>
              </w:rPr>
              <w:t>900M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高频 </w:t>
            </w:r>
            <w:r>
              <w:rPr>
                <w:rFonts w:ascii="Times New Roman" w:hAnsi="Times New Roman" w:cs="Times New Roman" w:eastAsia="Times New Roman" w:hint="default"/>
                <w:sz w:val="18"/>
                <w:szCs w:val="18"/>
              </w:rPr>
              <w:t>FRID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物联网 智能终端及 关键技术研 发</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116,666.66</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66,666.67</w:t>
            </w: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49,999.99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高清</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摄 像机及关键 技术研发</w:t>
            </w:r>
          </w:p>
        </w:tc>
        <w:tc>
          <w:tcPr>
            <w:tcW w:w="1287" w:type="dxa"/>
            <w:tcBorders>
              <w:top w:val="single" w:sz="4" w:space="0" w:color="000000"/>
              <w:left w:val="single" w:sz="13" w:space="0" w:color="D9D9D9"/>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未来产业发 展专项资金</w:t>
            </w:r>
          </w:p>
          <w:p>
            <w:pPr>
              <w:pStyle w:val="TableParagraph"/>
              <w:spacing w:line="319" w:lineRule="auto" w:before="19"/>
              <w:ind w:left="22" w:right="8"/>
              <w:jc w:val="left"/>
              <w:rPr>
                <w:rFonts w:ascii="宋体" w:hAnsi="宋体" w:cs="宋体" w:eastAsia="宋体" w:hint="default"/>
                <w:sz w:val="18"/>
                <w:szCs w:val="18"/>
              </w:rPr>
            </w:pPr>
            <w:r>
              <w:rPr>
                <w:rFonts w:ascii="宋体" w:hAnsi="宋体" w:cs="宋体" w:eastAsia="宋体" w:hint="default"/>
                <w:sz w:val="18"/>
                <w:szCs w:val="18"/>
              </w:rPr>
              <w:t>（军民融合） 扶持计划</w:t>
            </w:r>
          </w:p>
        </w:tc>
        <w:tc>
          <w:tcPr>
            <w:tcW w:w="1287" w:type="dxa"/>
            <w:tcBorders>
              <w:top w:val="single" w:sz="4" w:space="0" w:color="000000"/>
              <w:left w:val="single" w:sz="13" w:space="0" w:color="D9D9D9"/>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12,350,000.00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济宁仙营街 道政府扶持 资金</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144"/>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年省企 业发展专项 资金</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59,132,752.56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10,941,891.77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-4,670,000.00</w:t>
            </w:r>
          </w:p>
        </w:tc>
        <w:tc>
          <w:tcPr>
            <w:tcW w:w="11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71,050,860.79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2、其他非流动负债" w:id="343"/>
      <w:bookmarkEnd w:id="34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3、股本" w:id="344"/>
      <w:bookmarkEnd w:id="344"/>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1,569,893,780.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1,569,893,780.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1,569,893,780.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3,139,787,560.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4、其他权益工具" w:id="345"/>
      <w:bookmarkEnd w:id="34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5、资本公积" w:id="346"/>
      <w:bookmarkEnd w:id="346"/>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2,337,572,036.56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1,295,935.64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235,864.63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2,338,632,107.57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3,958,790.32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3,958,790.32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2,341,530,826.88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1,295,935.64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235,864.63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2,342,590,897.89</w:t>
            </w:r>
          </w:p>
        </w:tc>
      </w:tr>
    </w:tbl>
    <w:p>
      <w:pPr>
        <w:pStyle w:val="BodyText"/>
        <w:spacing w:line="240" w:lineRule="auto" w:before="51"/>
        <w:ind w:left="154" w:right="0"/>
        <w:jc w:val="left"/>
      </w:pPr>
      <w:r>
        <w:rPr/>
        <w:t>其他说明，包括本期增减变动情况、变动原因说明：</w:t>
      </w:r>
    </w:p>
    <w:p>
      <w:pPr>
        <w:pStyle w:val="BodyText"/>
        <w:spacing w:line="300" w:lineRule="auto" w:before="115"/>
        <w:ind w:left="154" w:right="1132" w:firstLine="290"/>
        <w:jc w:val="left"/>
      </w:pPr>
      <w:r>
        <w:rPr>
          <w:spacing w:val="-2"/>
        </w:rPr>
        <w:t>资本公积</w:t>
      </w:r>
      <w:r>
        <w:rPr>
          <w:rFonts w:ascii="Times New Roman" w:hAnsi="Times New Roman" w:cs="Times New Roman" w:eastAsia="Times New Roman" w:hint="default"/>
          <w:spacing w:val="-2"/>
        </w:rPr>
        <w:t>-</w:t>
      </w:r>
      <w:r>
        <w:rPr>
          <w:spacing w:val="-2"/>
        </w:rPr>
        <w:t>股本溢价增加的原因：公司联营企业北京卓讯科信技术有限公司其他股东增资，导致本公司持股比例变动，所</w:t>
      </w:r>
      <w:r>
        <w:rPr/>
        <w:t> 享有的权益变动部分增加资本公积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1,295,935.64</w:t>
      </w:r>
      <w:r>
        <w:rPr/>
        <w:t>元。</w:t>
      </w:r>
    </w:p>
    <w:p>
      <w:pPr>
        <w:pStyle w:val="BodyText"/>
        <w:spacing w:line="300" w:lineRule="auto" w:before="73"/>
        <w:ind w:right="0" w:firstLine="420"/>
        <w:jc w:val="left"/>
      </w:pPr>
      <w:r>
        <w:rPr>
          <w:spacing w:val="-1"/>
        </w:rPr>
        <w:t>资本公积</w:t>
      </w:r>
      <w:r>
        <w:rPr>
          <w:rFonts w:ascii="Times New Roman" w:hAnsi="Times New Roman" w:cs="Times New Roman" w:eastAsia="Times New Roman" w:hint="default"/>
          <w:spacing w:val="-1"/>
        </w:rPr>
        <w:t>-</w:t>
      </w:r>
      <w:r>
        <w:rPr>
          <w:spacing w:val="-1"/>
        </w:rPr>
        <w:t>股本溢价减少的原因：因购买子公司少数股权新取得的长期股权投资与按照新增持股比例计算应享有子公司</w:t>
      </w:r>
      <w:r>
        <w:rPr/>
        <w:t> 自合并日开始持续计算的净资产份额之间的差额冲减资本公积</w:t>
      </w:r>
      <w:r>
        <w:rPr>
          <w:rFonts w:ascii="Times New Roman" w:hAnsi="Times New Roman" w:cs="Times New Roman" w:eastAsia="Times New Roman" w:hint="default"/>
        </w:rPr>
        <w:t>235,864.63</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56、库存股" w:id="347"/>
      <w:bookmarkEnd w:id="347"/>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7、其他综合收益" w:id="348"/>
      <w:bookmarkEnd w:id="348"/>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398"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317,133,298.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-352,365,73</w:t>
            </w:r>
          </w:p>
          <w:p>
            <w:pPr>
              <w:pStyle w:val="TableParagraph"/>
              <w:spacing w:line="240" w:lineRule="auto" w:before="106"/>
              <w:ind w:left="586" w:right="0"/>
              <w:jc w:val="left"/>
              <w:rPr>
                <w:rFonts w:ascii="Times New Roman" w:hAnsi="Times New Roman" w:cs="Times New Roman" w:eastAsia="Times New Roman" w:hint="default"/>
                <w:sz w:val="18"/>
                <w:szCs w:val="18"/>
              </w:rPr>
            </w:pPr>
            <w:r>
              <w:rPr>
                <w:rFonts w:ascii="Times New Roman"/>
                <w:sz w:val="18"/>
              </w:rPr>
              <w:t>9.04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-35,229,841</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-317,135,89</w:t>
            </w:r>
          </w:p>
          <w:p>
            <w:pPr>
              <w:pStyle w:val="TableParagraph"/>
              <w:spacing w:line="240" w:lineRule="auto" w:before="106"/>
              <w:ind w:left="588" w:right="0"/>
              <w:jc w:val="left"/>
              <w:rPr>
                <w:rFonts w:ascii="Times New Roman" w:hAnsi="Times New Roman" w:cs="Times New Roman" w:eastAsia="Times New Roman" w:hint="default"/>
                <w:sz w:val="18"/>
                <w:szCs w:val="18"/>
              </w:rPr>
            </w:pPr>
            <w:r>
              <w:rPr>
                <w:rFonts w:ascii="Times New Roman"/>
                <w:sz w:val="18"/>
              </w:rPr>
              <w:t>7.29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-2,598.39</w:t>
            </w:r>
            <w:r>
              <w:rPr>
                <w:rFonts w:ascii="Times New Roman"/>
                <w:sz w:val="18"/>
              </w:rPr>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317,069,953.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-352,298,41</w:t>
            </w:r>
          </w:p>
          <w:p>
            <w:pPr>
              <w:pStyle w:val="TableParagraph"/>
              <w:spacing w:line="240" w:lineRule="auto" w:before="106"/>
              <w:ind w:left="586" w:right="0"/>
              <w:jc w:val="left"/>
              <w:rPr>
                <w:rFonts w:ascii="Times New Roman" w:hAnsi="Times New Roman" w:cs="Times New Roman" w:eastAsia="Times New Roman" w:hint="default"/>
                <w:sz w:val="18"/>
                <w:szCs w:val="18"/>
              </w:rPr>
            </w:pPr>
            <w:r>
              <w:rPr>
                <w:rFonts w:ascii="Times New Roman"/>
                <w:sz w:val="18"/>
              </w:rPr>
              <w:t>7.51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-35,229,841</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-317,068,57</w:t>
            </w:r>
          </w:p>
          <w:p>
            <w:pPr>
              <w:pStyle w:val="TableParagraph"/>
              <w:spacing w:line="240" w:lineRule="auto" w:before="106"/>
              <w:ind w:left="588" w:right="0"/>
              <w:jc w:val="left"/>
              <w:rPr>
                <w:rFonts w:ascii="Times New Roman" w:hAnsi="Times New Roman" w:cs="Times New Roman" w:eastAsia="Times New Roman" w:hint="default"/>
                <w:sz w:val="18"/>
                <w:szCs w:val="18"/>
              </w:rPr>
            </w:pPr>
            <w:r>
              <w:rPr>
                <w:rFonts w:ascii="Times New Roman"/>
                <w:sz w:val="18"/>
              </w:rPr>
              <w:t>5.76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1,378.02</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3" w:right="0"/>
              <w:jc w:val="left"/>
              <w:rPr>
                <w:rFonts w:ascii="Times New Roman" w:hAnsi="Times New Roman" w:cs="Times New Roman" w:eastAsia="Times New Roman" w:hint="default"/>
                <w:sz w:val="18"/>
                <w:szCs w:val="18"/>
              </w:rPr>
            </w:pPr>
            <w:r>
              <w:rPr>
                <w:rFonts w:ascii="Times New Roman"/>
                <w:sz w:val="18"/>
              </w:rPr>
              <w:t>63,345.12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-67,321.53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-67,321.53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-3,976.41</w:t>
            </w:r>
            <w:r>
              <w:rPr>
                <w:rFonts w:ascii="Times New Roman"/>
                <w:sz w:val="18"/>
              </w:rPr>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317,133,298.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-352,365,73</w:t>
            </w:r>
          </w:p>
          <w:p>
            <w:pPr>
              <w:pStyle w:val="TableParagraph"/>
              <w:spacing w:line="240" w:lineRule="auto" w:before="106"/>
              <w:ind w:left="586" w:right="0"/>
              <w:jc w:val="left"/>
              <w:rPr>
                <w:rFonts w:ascii="Times New Roman" w:hAnsi="Times New Roman" w:cs="Times New Roman" w:eastAsia="Times New Roman" w:hint="default"/>
                <w:sz w:val="18"/>
                <w:szCs w:val="18"/>
              </w:rPr>
            </w:pPr>
            <w:r>
              <w:rPr>
                <w:rFonts w:ascii="Times New Roman"/>
                <w:sz w:val="18"/>
              </w:rPr>
              <w:t>9.04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-35,229,841</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.75</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-317,135,89</w:t>
            </w:r>
          </w:p>
          <w:p>
            <w:pPr>
              <w:pStyle w:val="TableParagraph"/>
              <w:spacing w:line="240" w:lineRule="auto" w:before="106"/>
              <w:ind w:left="588" w:right="0"/>
              <w:jc w:val="left"/>
              <w:rPr>
                <w:rFonts w:ascii="Times New Roman" w:hAnsi="Times New Roman" w:cs="Times New Roman" w:eastAsia="Times New Roman" w:hint="default"/>
                <w:sz w:val="18"/>
                <w:szCs w:val="18"/>
              </w:rPr>
            </w:pPr>
            <w:r>
              <w:rPr>
                <w:rFonts w:ascii="Times New Roman"/>
                <w:sz w:val="18"/>
              </w:rPr>
              <w:t>7.29</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-2,598.39</w:t>
            </w:r>
          </w:p>
        </w:tc>
      </w:tr>
      <w:tr>
        <w:trPr>
          <w:trHeight w:val="392"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8、专项储备" w:id="349"/>
      <w:bookmarkEnd w:id="349"/>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9、盈余公积" w:id="350"/>
      <w:bookmarkEnd w:id="350"/>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478,435,719.85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84,068,302.64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562,504,022.49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478,435,719.85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84,068,302.64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562,504,022.49</w:t>
            </w:r>
          </w:p>
        </w:tc>
      </w:tr>
    </w:tbl>
    <w:p>
      <w:pPr>
        <w:pStyle w:val="BodyText"/>
        <w:spacing w:line="357" w:lineRule="auto" w:before="51"/>
        <w:ind w:left="574" w:right="0" w:hanging="420"/>
        <w:jc w:val="left"/>
        <w:rPr>
          <w:rFonts w:ascii="Times New Roman" w:hAnsi="Times New Roman" w:cs="Times New Roman" w:eastAsia="Times New Roman" w:hint="default"/>
        </w:rPr>
      </w:pPr>
      <w:r>
        <w:rPr/>
        <w:t>盈余公积说明，包括本期增减变动情况、变动原因说明： 根据公司法、章程的规定，本公司按净利润的</w:t>
      </w:r>
      <w:r>
        <w:rPr>
          <w:rFonts w:ascii="Times New Roman" w:hAnsi="Times New Roman" w:cs="Times New Roman" w:eastAsia="Times New Roman" w:hint="default"/>
        </w:rPr>
        <w:t>10%</w:t>
      </w:r>
      <w:r>
        <w:rPr/>
        <w:t>提取法定盈余公积金。法定盈余公积累计额为本公司注册资本</w:t>
      </w:r>
      <w:r>
        <w:rPr>
          <w:rFonts w:ascii="Times New Roman" w:hAnsi="Times New Roman" w:cs="Times New Roman" w:eastAsia="Times New Roman" w:hint="default"/>
        </w:rPr>
        <w:t>50%</w:t>
      </w:r>
    </w:p>
    <w:p>
      <w:pPr>
        <w:pStyle w:val="BodyText"/>
        <w:spacing w:line="201" w:lineRule="exact"/>
        <w:ind w:left="154" w:right="0"/>
        <w:jc w:val="left"/>
      </w:pPr>
      <w:r>
        <w:rPr/>
        <w:t>以上的，可不再提取。在提取法定盈余公积金后，可提取任意盈余公积金。经批准，任意盈余公积金可用于弥补以前年度亏</w:t>
      </w:r>
    </w:p>
    <w:p>
      <w:pPr>
        <w:pStyle w:val="BodyText"/>
        <w:spacing w:line="240" w:lineRule="auto" w:before="76"/>
        <w:ind w:left="154" w:right="0"/>
        <w:jc w:val="left"/>
      </w:pPr>
      <w:r>
        <w:rPr/>
        <w:t>损或增加股本。</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60、未分配利润" w:id="351"/>
      <w:bookmarkEnd w:id="351"/>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4,075,573,765.33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3,502,736,621.07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4,075,573,765.33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3,502,736,621.07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663,799,645.53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899,647,231.24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84,068,302.64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91,326,019.99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1,805,377,847.00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235,484,066.99</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2,849,927,261.22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4,075,573,765.33</w:t>
            </w:r>
          </w:p>
        </w:tc>
      </w:tr>
    </w:tbl>
    <w:p>
      <w:pPr>
        <w:pStyle w:val="BodyText"/>
        <w:spacing w:line="240" w:lineRule="auto" w:before="51"/>
        <w:ind w:left="154" w:right="0"/>
        <w:jc w:val="left"/>
      </w:pPr>
      <w:r>
        <w:rPr/>
        <w:t>调整期初未分配利润明细：</w:t>
      </w:r>
    </w:p>
    <w:p>
      <w:pPr>
        <w:pStyle w:val="BodyText"/>
        <w:spacing w:line="240" w:lineRule="auto" w:before="116"/>
        <w:ind w:left="51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left="514"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513"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513"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51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52"/>
      <w:bookmarkEnd w:id="352"/>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7,248,060,639.39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5,088,262,343.27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6,286,910,757.05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4,164,169,045.35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42,067,814.03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37,003,111.09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189,836,976.44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168,448,507.01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7,290,128,453.42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5,125,265,454.36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6,476,747,733.49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4,332,617,552.36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2、税金及附加" w:id="353"/>
      <w:bookmarkEnd w:id="353"/>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9,369,865.25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8,488,216.26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4,267,032.01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3,638,183.13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1,292,344.88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563,161.57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741,944.45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584,927.08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83,569.77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40,957.92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3,037,173.21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617,217.70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750,923.66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2,860,686.96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2,426,432.39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41,542.09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22,115.86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140,691.50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104,867.83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防洪保安费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32,707.12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20,989.01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1,355.40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21,868,912.64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17,258,908.79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3、销售费用" w:id="354"/>
      <w:bookmarkEnd w:id="35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141,472,899.76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130,377,409.32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45,549,301.05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49,522,303.19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35,149,169.69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32,229,526.40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19,254,363.07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17,315,003.76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198,640.89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213,353.55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运保费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5,268,717.91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4,298,322.44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6,515,182.76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5,332,000.70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35,658,552.38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38,928,600.84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289,066,827.51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278,216,520.20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4、管理费用" w:id="355"/>
      <w:bookmarkEnd w:id="355"/>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277,283,840.14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210,230,850.87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343,963,250.41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262,546,849.92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909,916.59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1,614,405.70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29,570,455.66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29,541,073.09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117,296,347.23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118,300,532.39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53,909,718.16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51,652,904.75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12,791,607.49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1,489,180.45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65,127,968.92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71,315,282.64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900,853,104.60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746,691,079.81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5、财务费用" w:id="356"/>
      <w:bookmarkEnd w:id="356"/>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38,304,621.35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53,418,635.14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贴现利息支出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1,563,666.60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716,372.36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3,520,309.16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990,067.41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5,479,332.50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17,036,272.75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81,363.24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134,494.46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238,730.46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2,873,894.76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4,354,201.63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1,674,917.38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42,106,099.02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37,024,319.24</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66、资产减值损失" w:id="357"/>
      <w:bookmarkEnd w:id="357"/>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129,515,882.76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84,786,486.91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7,298,298.46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2,941,281.34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9,867,000.00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447,591,606.75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209,767,760.86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594,272,787.97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297,495,529.11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7、公允价值变动收益" w:id="358"/>
      <w:bookmarkEnd w:id="358"/>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8、投资收益" w:id="359"/>
      <w:bookmarkEnd w:id="359"/>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1,039,974.01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406,308.24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16,008,834.95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24,391,117.19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831,771.00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359,319,234.85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100,718,452.00</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-685,393.26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4,304,314.80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375,682,650.55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130,651,963.23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9、资产处置收益" w:id="360"/>
      <w:bookmarkEnd w:id="360"/>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处置未划分为持有待售的固定资产、在 建工程、生产性生物资产及无形资产而 产生的处置利得或损失小计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1,834,981.83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1,608,311.89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在建工程处置</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生产性生物资产处置</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无形资产处置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226,669.94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非流动资产债务重组利得或损失小计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非货币性资产交换利得或损失小计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1,834,981.83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0、其他收益" w:id="361"/>
      <w:bookmarkEnd w:id="361"/>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电子信息产业发展基金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23,076.93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年度电子信息产业发展基金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581,779.89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22" w:right="135"/>
              <w:jc w:val="left"/>
              <w:rPr>
                <w:rFonts w:ascii="宋体" w:hAnsi="宋体" w:cs="宋体" w:eastAsia="宋体" w:hint="default"/>
                <w:sz w:val="18"/>
                <w:szCs w:val="18"/>
              </w:rPr>
            </w:pPr>
            <w:r>
              <w:rPr>
                <w:rFonts w:ascii="宋体" w:hAnsi="宋体" w:cs="宋体" w:eastAsia="宋体" w:hint="default"/>
                <w:sz w:val="18"/>
                <w:szCs w:val="18"/>
              </w:rPr>
              <w:t>基于传感网和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技术的农产品质量 追溯系统研发及产业化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107,264.96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中关村科技园产业发展专项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云计算流量分析控制北京市工程实验室 创新能力建设项目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新一代互联网上网行为管理系统产业化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中小商业银行一体化云服务平台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高速流量控制系统产业化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345,868.95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工信部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电子发展基金款（</w:t>
            </w:r>
            <w:r>
              <w:rPr>
                <w:rFonts w:ascii="Times New Roman" w:hAnsi="Times New Roman" w:cs="Times New Roman" w:eastAsia="Times New Roman" w:hint="default"/>
                <w:sz w:val="18"/>
                <w:szCs w:val="18"/>
              </w:rPr>
              <w:t>ITSS)</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海淀联合重大攻关项目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基于医学知识库电子病历系统研发及临 床应用（</w:t>
            </w: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计划电子病历）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计划数字化医疗医院流程研究及应 用示范（</w:t>
            </w:r>
            <w:r>
              <w:rPr>
                <w:rFonts w:ascii="Times New Roman" w:hAnsi="Times New Roman" w:cs="Times New Roman" w:eastAsia="Times New Roman" w:hint="default"/>
                <w:sz w:val="18"/>
                <w:szCs w:val="18"/>
              </w:rPr>
              <w:t>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计划协和医院）</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87,580.00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年核高基国家科技重大专项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186,340.00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数字化医疗区域协同应用示范（</w:t>
            </w:r>
            <w:r>
              <w:rPr>
                <w:rFonts w:ascii="Times New Roman" w:hAnsi="Times New Roman" w:cs="Times New Roman" w:eastAsia="Times New Roman" w:hint="default"/>
                <w:spacing w:val="-4"/>
                <w:sz w:val="18"/>
                <w:szCs w:val="18"/>
              </w:rPr>
              <w:t>863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计划 华西）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924,444.44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高新技术成果转换项目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超大规模数据智能分析平台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1,102,290.60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企业房租补贴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2,752,158.75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新华舆情网络预警系统及配套智能移动 终端产业化项目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425,386.00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第三批科技资金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66,666.67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手持移动终端</w:t>
            </w:r>
            <w:r>
              <w:rPr>
                <w:rFonts w:ascii="Times New Roman" w:hAnsi="Times New Roman" w:cs="Times New Roman" w:eastAsia="Times New Roman" w:hint="default"/>
                <w:sz w:val="18"/>
                <w:szCs w:val="18"/>
              </w:rPr>
              <w:t>-</w:t>
            </w:r>
            <w:r>
              <w:rPr>
                <w:rFonts w:ascii="宋体" w:hAnsi="宋体" w:cs="宋体" w:eastAsia="宋体" w:hint="default"/>
                <w:sz w:val="18"/>
                <w:szCs w:val="18"/>
              </w:rPr>
              <w:t>购买固定资产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133,333.33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350,129.69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研发补助资金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云计算环境下应用性能管理系统研发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45,562,456.09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64,528,436.30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1、营业外收入" w:id="362"/>
      <w:bookmarkEnd w:id="362"/>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13,550,562.00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55,037,999.04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13,550,562.00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50,890.75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50,890.75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45,366,917.31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930,432.55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3,644,673.30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930,432.55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14,531,885.30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104,062,746.30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14,531,885.30</w:t>
            </w:r>
          </w:p>
        </w:tc>
      </w:tr>
    </w:tbl>
    <w:p>
      <w:pPr>
        <w:spacing w:line="240" w:lineRule="auto" w:before="6"/>
        <w:rPr>
          <w:rFonts w:ascii="宋体" w:hAnsi="宋体" w:cs="宋体" w:eastAsia="宋体" w:hint="default"/>
          <w:sz w:val="27"/>
          <w:szCs w:val="27"/>
        </w:rPr>
      </w:pPr>
    </w:p>
    <w:p>
      <w:pPr>
        <w:pStyle w:val="BodyText"/>
        <w:spacing w:line="240" w:lineRule="auto" w:before="44"/>
        <w:ind w:left="154" w:right="0"/>
        <w:jc w:val="left"/>
      </w:pPr>
      <w:r>
        <w:rPr/>
        <w:t>计入当期损益的政府补助：</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920"/>
        <w:gridCol w:w="1193"/>
      </w:tblGrid>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4" w:right="95"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36" w:right="20"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right="132"/>
              <w:jc w:val="right"/>
              <w:rPr>
                <w:rFonts w:ascii="宋体" w:hAnsi="宋体" w:cs="宋体" w:eastAsia="宋体" w:hint="default"/>
                <w:sz w:val="18"/>
                <w:szCs w:val="18"/>
              </w:rPr>
            </w:pPr>
            <w:r>
              <w:rPr>
                <w:rFonts w:ascii="宋体" w:hAnsi="宋体" w:cs="宋体" w:eastAsia="宋体" w:hint="default"/>
                <w:sz w:val="18"/>
                <w:szCs w:val="18"/>
              </w:rPr>
              <w:t>技术创新奖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61"/>
              <w:jc w:val="center"/>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3,282,000.00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920"/>
        <w:gridCol w:w="1205"/>
      </w:tblGrid>
      <w:tr>
        <w:trPr>
          <w:trHeight w:val="986"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2"/>
              <w:jc w:val="left"/>
              <w:rPr>
                <w:rFonts w:ascii="宋体" w:hAnsi="宋体" w:cs="宋体" w:eastAsia="宋体" w:hint="default"/>
                <w:sz w:val="18"/>
                <w:szCs w:val="18"/>
              </w:rPr>
            </w:pPr>
            <w:r>
              <w:rPr>
                <w:rFonts w:ascii="宋体" w:hAnsi="宋体" w:cs="宋体" w:eastAsia="宋体" w:hint="default"/>
                <w:sz w:val="18"/>
                <w:szCs w:val="18"/>
              </w:rPr>
              <w:t>高新技术企 业奖励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1,268,212.00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30"/>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化委员会陈 微波战新第 五批扶持款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2"/>
              <w:jc w:val="left"/>
              <w:rPr>
                <w:rFonts w:ascii="宋体" w:hAnsi="宋体" w:cs="宋体" w:eastAsia="宋体" w:hint="default"/>
                <w:sz w:val="18"/>
                <w:szCs w:val="18"/>
              </w:rPr>
            </w:pPr>
            <w:r>
              <w:rPr>
                <w:rFonts w:ascii="宋体" w:hAnsi="宋体" w:cs="宋体" w:eastAsia="宋体" w:hint="default"/>
                <w:sz w:val="18"/>
                <w:szCs w:val="18"/>
              </w:rPr>
              <w:t>工业稳增长 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3,472,500.00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2"/>
              <w:jc w:val="left"/>
              <w:rPr>
                <w:rFonts w:ascii="宋体" w:hAnsi="宋体" w:cs="宋体" w:eastAsia="宋体" w:hint="default"/>
                <w:sz w:val="18"/>
                <w:szCs w:val="18"/>
              </w:rPr>
            </w:pPr>
            <w:r>
              <w:rPr>
                <w:rFonts w:ascii="宋体" w:hAnsi="宋体" w:cs="宋体" w:eastAsia="宋体" w:hint="default"/>
                <w:sz w:val="18"/>
                <w:szCs w:val="18"/>
              </w:rPr>
              <w:t>产业发展专 项资金补贴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2"/>
              <w:jc w:val="left"/>
              <w:rPr>
                <w:rFonts w:ascii="宋体" w:hAnsi="宋体" w:cs="宋体" w:eastAsia="宋体" w:hint="default"/>
                <w:sz w:val="18"/>
                <w:szCs w:val="18"/>
              </w:rPr>
            </w:pPr>
            <w:r>
              <w:rPr>
                <w:rFonts w:ascii="宋体" w:hAnsi="宋体" w:cs="宋体" w:eastAsia="宋体" w:hint="default"/>
                <w:sz w:val="18"/>
                <w:szCs w:val="18"/>
              </w:rPr>
              <w:t>优秀企业奖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2"/>
              <w:jc w:val="left"/>
              <w:rPr>
                <w:rFonts w:ascii="宋体" w:hAnsi="宋体" w:cs="宋体" w:eastAsia="宋体" w:hint="default"/>
                <w:sz w:val="18"/>
                <w:szCs w:val="18"/>
              </w:rPr>
            </w:pPr>
            <w:r>
              <w:rPr>
                <w:rFonts w:ascii="宋体" w:hAnsi="宋体" w:cs="宋体" w:eastAsia="宋体" w:hint="default"/>
                <w:sz w:val="18"/>
                <w:szCs w:val="18"/>
              </w:rPr>
              <w:t>优惠政策补 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361,200.00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1299"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2"/>
              <w:jc w:val="left"/>
              <w:rPr>
                <w:rFonts w:ascii="宋体" w:hAnsi="宋体" w:cs="宋体" w:eastAsia="宋体" w:hint="default"/>
                <w:sz w:val="18"/>
                <w:szCs w:val="18"/>
              </w:rPr>
            </w:pPr>
            <w:r>
              <w:rPr>
                <w:rFonts w:ascii="宋体" w:hAnsi="宋体" w:cs="宋体" w:eastAsia="宋体" w:hint="default"/>
                <w:sz w:val="18"/>
                <w:szCs w:val="18"/>
              </w:rPr>
              <w:t>国内专利资 助奖励费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8,900.00</w:t>
            </w: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920"/>
        <w:gridCol w:w="1205"/>
      </w:tblGrid>
      <w:tr>
        <w:trPr>
          <w:trHeight w:val="986"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2"/>
              <w:jc w:val="left"/>
              <w:rPr>
                <w:rFonts w:ascii="宋体" w:hAnsi="宋体" w:cs="宋体" w:eastAsia="宋体" w:hint="default"/>
                <w:sz w:val="18"/>
                <w:szCs w:val="18"/>
              </w:rPr>
            </w:pPr>
            <w:r>
              <w:rPr>
                <w:rFonts w:ascii="宋体" w:hAnsi="宋体" w:cs="宋体" w:eastAsia="宋体" w:hint="default"/>
                <w:sz w:val="18"/>
                <w:szCs w:val="18"/>
              </w:rPr>
              <w:t>企业扶持资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1,873,000.00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1,538,210.0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济宁仙营街 道政府扶持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2"/>
              <w:jc w:val="left"/>
              <w:rPr>
                <w:rFonts w:ascii="宋体" w:hAnsi="宋体" w:cs="宋体" w:eastAsia="宋体" w:hint="default"/>
                <w:sz w:val="18"/>
                <w:szCs w:val="18"/>
              </w:rPr>
            </w:pPr>
            <w:r>
              <w:rPr>
                <w:rFonts w:ascii="宋体" w:hAnsi="宋体" w:cs="宋体" w:eastAsia="宋体" w:hint="default"/>
                <w:sz w:val="18"/>
                <w:szCs w:val="18"/>
              </w:rPr>
              <w:t>其他零星项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114,750.00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847,293.73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年核高 基国家科技 重大专项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9,779,820.0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0"/>
              <w:jc w:val="both"/>
              <w:rPr>
                <w:rFonts w:ascii="宋体" w:hAnsi="宋体" w:cs="宋体" w:eastAsia="宋体" w:hint="default"/>
                <w:sz w:val="18"/>
                <w:szCs w:val="18"/>
              </w:rPr>
            </w:pPr>
            <w:r>
              <w:rPr>
                <w:rFonts w:ascii="宋体" w:hAnsi="宋体" w:cs="宋体" w:eastAsia="宋体" w:hint="default"/>
                <w:sz w:val="18"/>
                <w:szCs w:val="18"/>
              </w:rPr>
              <w:t>儋州市工业 和信息化局 落户奖励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1299"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9" w:lineRule="auto"/>
              <w:ind w:left="22"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工信部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电子发展基 金款（</w:t>
            </w:r>
            <w:r>
              <w:rPr>
                <w:rFonts w:ascii="Times New Roman" w:hAnsi="Times New Roman" w:cs="Times New Roman" w:eastAsia="Times New Roman" w:hint="default"/>
                <w:sz w:val="18"/>
                <w:szCs w:val="18"/>
              </w:rPr>
              <w:t>ITSS)</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3,494,601.1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920"/>
        <w:gridCol w:w="1205"/>
      </w:tblGrid>
      <w:tr>
        <w:trPr>
          <w:trHeight w:val="986"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海淀区产业 发展专项资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 圳市未来产 业发展专项 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年软件 产业和集成 电路设计专 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2,779,400.0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基于医学知 识库电子病 历系统研发 及临床应用</w:t>
            </w:r>
          </w:p>
          <w:p>
            <w:pPr>
              <w:pStyle w:val="TableParagraph"/>
              <w:spacing w:line="302" w:lineRule="auto" w:before="19"/>
              <w:ind w:left="22" w:right="13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计划 电子病历）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2,703,780.0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2"/>
              <w:jc w:val="both"/>
              <w:rPr>
                <w:rFonts w:ascii="宋体" w:hAnsi="宋体" w:cs="宋体" w:eastAsia="宋体" w:hint="default"/>
                <w:sz w:val="18"/>
                <w:szCs w:val="18"/>
              </w:rPr>
            </w:pPr>
            <w:r>
              <w:rPr>
                <w:rFonts w:ascii="宋体" w:hAnsi="宋体" w:cs="宋体" w:eastAsia="宋体" w:hint="default"/>
                <w:sz w:val="18"/>
                <w:szCs w:val="18"/>
              </w:rPr>
              <w:t>云计算流量 分析控制北 京市工程实 验室创新能 力建设项目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1299"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2"/>
              <w:jc w:val="left"/>
              <w:rPr>
                <w:rFonts w:ascii="宋体" w:hAnsi="宋体" w:cs="宋体" w:eastAsia="宋体" w:hint="default"/>
                <w:sz w:val="18"/>
                <w:szCs w:val="18"/>
              </w:rPr>
            </w:pPr>
            <w:r>
              <w:rPr>
                <w:rFonts w:ascii="宋体" w:hAnsi="宋体" w:cs="宋体" w:eastAsia="宋体" w:hint="default"/>
                <w:sz w:val="18"/>
                <w:szCs w:val="18"/>
              </w:rPr>
              <w:t>云环境下负 载均衡项目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920"/>
        <w:gridCol w:w="1205"/>
      </w:tblGrid>
      <w:tr>
        <w:trPr>
          <w:trHeight w:val="986"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21"/>
              <w:jc w:val="left"/>
              <w:rPr>
                <w:rFonts w:ascii="宋体" w:hAnsi="宋体" w:cs="宋体" w:eastAsia="宋体" w:hint="default"/>
                <w:sz w:val="18"/>
                <w:szCs w:val="18"/>
              </w:rPr>
            </w:pPr>
            <w:r>
              <w:rPr>
                <w:rFonts w:ascii="宋体" w:hAnsi="宋体" w:cs="宋体" w:eastAsia="宋体" w:hint="default"/>
                <w:sz w:val="18"/>
                <w:szCs w:val="18"/>
              </w:rPr>
              <w:t>天津服务业 发展专项资 </w:t>
            </w:r>
            <w:r>
              <w:rPr>
                <w:rFonts w:ascii="宋体" w:hAnsi="宋体" w:cs="宋体" w:eastAsia="宋体" w:hint="default"/>
                <w:spacing w:val="-12"/>
                <w:sz w:val="18"/>
                <w:szCs w:val="18"/>
              </w:rPr>
              <w:t>金（津财建二</w:t>
            </w:r>
            <w:r>
              <w:rPr>
                <w:rFonts w:ascii="宋体" w:hAnsi="宋体" w:cs="宋体" w:eastAsia="宋体" w:hint="default"/>
                <w:sz w:val="18"/>
                <w:szCs w:val="18"/>
              </w:rPr>
              <w:t> </w:t>
            </w:r>
            <w:r>
              <w:rPr>
                <w:rFonts w:ascii="Times New Roman" w:hAnsi="Times New Roman" w:cs="Times New Roman" w:eastAsia="Times New Roman" w:hint="default"/>
                <w:sz w:val="18"/>
                <w:szCs w:val="18"/>
              </w:rPr>
              <w:t>(2014)8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中小商业银 行一体化服 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2"/>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年省创 新奖励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海南云教育 平台建设项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高新技术成 果转化项目 奖励款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986"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新一代互联 网上网行为 管理系统产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900,000.00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920"/>
        <w:gridCol w:w="1205"/>
      </w:tblGrid>
      <w:tr>
        <w:trPr>
          <w:trHeight w:val="1298"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2"/>
              <w:jc w:val="left"/>
              <w:rPr>
                <w:rFonts w:ascii="宋体" w:hAnsi="宋体" w:cs="宋体" w:eastAsia="宋体" w:hint="default"/>
                <w:sz w:val="18"/>
                <w:szCs w:val="18"/>
              </w:rPr>
            </w:pPr>
            <w:r>
              <w:rPr>
                <w:rFonts w:ascii="宋体" w:hAnsi="宋体" w:cs="宋体" w:eastAsia="宋体" w:hint="default"/>
                <w:sz w:val="18"/>
                <w:szCs w:val="18"/>
              </w:rPr>
              <w:t>房租物业补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1,301,253.0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22" w:right="21"/>
              <w:jc w:val="left"/>
              <w:rPr>
                <w:rFonts w:ascii="宋体" w:hAnsi="宋体" w:cs="宋体" w:eastAsia="宋体" w:hint="default"/>
                <w:sz w:val="18"/>
                <w:szCs w:val="18"/>
              </w:rPr>
            </w:pPr>
            <w:r>
              <w:rPr>
                <w:rFonts w:ascii="宋体" w:hAnsi="宋体" w:cs="宋体" w:eastAsia="宋体" w:hint="default"/>
                <w:sz w:val="18"/>
                <w:szCs w:val="18"/>
              </w:rPr>
              <w:t>矿用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无线 通信系统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年度电 子信息产业 发展基金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581,779.89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2"/>
              <w:jc w:val="left"/>
              <w:rPr>
                <w:rFonts w:ascii="宋体" w:hAnsi="宋体" w:cs="宋体" w:eastAsia="宋体" w:hint="default"/>
                <w:sz w:val="18"/>
                <w:szCs w:val="18"/>
              </w:rPr>
            </w:pPr>
            <w:r>
              <w:rPr>
                <w:rFonts w:ascii="宋体" w:hAnsi="宋体" w:cs="宋体" w:eastAsia="宋体" w:hint="default"/>
                <w:sz w:val="18"/>
                <w:szCs w:val="18"/>
              </w:rPr>
              <w:t>海淀联合重 大攻关项目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558,803.42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年省重 大专项项目 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安徽省科技 重大专项区 级配套资金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920"/>
        <w:gridCol w:w="1205"/>
      </w:tblGrid>
      <w:tr>
        <w:trPr>
          <w:trHeight w:val="1298"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2"/>
              <w:jc w:val="left"/>
              <w:rPr>
                <w:rFonts w:ascii="宋体" w:hAnsi="宋体" w:cs="宋体" w:eastAsia="宋体" w:hint="default"/>
                <w:sz w:val="18"/>
                <w:szCs w:val="18"/>
              </w:rPr>
            </w:pPr>
            <w:r>
              <w:rPr>
                <w:rFonts w:ascii="宋体" w:hAnsi="宋体" w:cs="宋体" w:eastAsia="宋体" w:hint="default"/>
                <w:sz w:val="18"/>
                <w:szCs w:val="18"/>
              </w:rPr>
              <w:t>高新科技局 项目经费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5" w:right="0"/>
              <w:jc w:val="center"/>
              <w:rPr>
                <w:rFonts w:ascii="Times New Roman" w:hAnsi="Times New Roman" w:cs="Times New Roman" w:eastAsia="Times New Roman" w:hint="default"/>
                <w:sz w:val="18"/>
                <w:szCs w:val="18"/>
              </w:rPr>
            </w:pPr>
            <w:r>
              <w:rPr>
                <w:rFonts w:ascii="Times New Roman"/>
                <w:sz w:val="18"/>
              </w:rPr>
              <w:t>500,000.00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2"/>
              <w:jc w:val="both"/>
              <w:rPr>
                <w:rFonts w:ascii="宋体" w:hAnsi="宋体" w:cs="宋体" w:eastAsia="宋体" w:hint="default"/>
                <w:sz w:val="18"/>
                <w:szCs w:val="18"/>
              </w:rPr>
            </w:pPr>
            <w:r>
              <w:rPr>
                <w:rFonts w:ascii="宋体" w:hAnsi="宋体" w:cs="宋体" w:eastAsia="宋体" w:hint="default"/>
                <w:sz w:val="18"/>
                <w:szCs w:val="18"/>
              </w:rPr>
              <w:t>促进重点创 新型企业发 展专项资金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493,308.33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高速流量控 制系统产业 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446,438.75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132"/>
              <w:jc w:val="both"/>
              <w:rPr>
                <w:rFonts w:ascii="宋体" w:hAnsi="宋体" w:cs="宋体" w:eastAsia="宋体" w:hint="default"/>
                <w:sz w:val="18"/>
                <w:szCs w:val="18"/>
              </w:rPr>
            </w:pP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计划数 字化医疗医 院流程研究 及应用示范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426,118.99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2"/>
              <w:jc w:val="both"/>
              <w:rPr>
                <w:rFonts w:ascii="宋体" w:hAnsi="宋体" w:cs="宋体" w:eastAsia="宋体" w:hint="default"/>
                <w:sz w:val="18"/>
                <w:szCs w:val="18"/>
              </w:rPr>
            </w:pPr>
            <w:r>
              <w:rPr>
                <w:rFonts w:ascii="宋体" w:hAnsi="宋体" w:cs="宋体" w:eastAsia="宋体" w:hint="default"/>
                <w:sz w:val="18"/>
                <w:szCs w:val="18"/>
              </w:rPr>
              <w:t>新华舆情网 络预警系统 及配套智能 移动终端产 业化项目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425,386.00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1962"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基于面向服 务构架</w:t>
            </w:r>
          </w:p>
          <w:p>
            <w:pPr>
              <w:pStyle w:val="TableParagraph"/>
              <w:spacing w:line="312" w:lineRule="auto" w:before="19"/>
              <w:ind w:left="22" w:right="22"/>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SOA</w:t>
            </w:r>
            <w:r>
              <w:rPr>
                <w:rFonts w:ascii="宋体" w:hAnsi="宋体" w:cs="宋体" w:eastAsia="宋体" w:hint="default"/>
                <w:spacing w:val="-11"/>
                <w:sz w:val="18"/>
                <w:szCs w:val="18"/>
              </w:rPr>
              <w:t>）的产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品可追溯的 企业管理系 统研发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920"/>
        <w:gridCol w:w="1205"/>
      </w:tblGrid>
      <w:tr>
        <w:trPr>
          <w:trHeight w:val="362"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2"/>
              <w:jc w:val="both"/>
              <w:rPr>
                <w:rFonts w:ascii="宋体" w:hAnsi="宋体" w:cs="宋体" w:eastAsia="宋体" w:hint="default"/>
                <w:sz w:val="18"/>
                <w:szCs w:val="18"/>
              </w:rPr>
            </w:pPr>
            <w:r>
              <w:rPr>
                <w:rFonts w:ascii="宋体" w:hAnsi="宋体" w:cs="宋体" w:eastAsia="宋体" w:hint="default"/>
                <w:sz w:val="18"/>
                <w:szCs w:val="18"/>
              </w:rPr>
              <w:t>深圳市南山 区住房和建 设局款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1"/>
              <w:jc w:val="left"/>
              <w:rPr>
                <w:rFonts w:ascii="宋体" w:hAnsi="宋体" w:cs="宋体" w:eastAsia="宋体" w:hint="default"/>
                <w:sz w:val="18"/>
                <w:szCs w:val="18"/>
              </w:rPr>
            </w:pPr>
            <w:r>
              <w:rPr>
                <w:rFonts w:ascii="宋体" w:hAnsi="宋体" w:cs="宋体" w:eastAsia="宋体" w:hint="default"/>
                <w:spacing w:val="-12"/>
                <w:sz w:val="18"/>
                <w:szCs w:val="18"/>
              </w:rPr>
              <w:t>信息系统（政</w:t>
            </w:r>
            <w:r>
              <w:rPr>
                <w:rFonts w:ascii="宋体" w:hAnsi="宋体" w:cs="宋体" w:eastAsia="宋体" w:hint="default"/>
                <w:sz w:val="18"/>
                <w:szCs w:val="18"/>
              </w:rPr>
              <w:t> </w:t>
            </w:r>
            <w:r>
              <w:rPr>
                <w:rFonts w:ascii="宋体" w:hAnsi="宋体" w:cs="宋体" w:eastAsia="宋体" w:hint="default"/>
                <w:spacing w:val="-12"/>
                <w:sz w:val="18"/>
                <w:szCs w:val="18"/>
              </w:rPr>
              <w:t>务、医疗）运</w:t>
            </w:r>
            <w:r>
              <w:rPr>
                <w:rFonts w:ascii="宋体" w:hAnsi="宋体" w:cs="宋体" w:eastAsia="宋体" w:hint="default"/>
                <w:sz w:val="18"/>
                <w:szCs w:val="18"/>
              </w:rPr>
              <w:t> 行维护支持 系统研发及 产业化项目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356,552.71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1962"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香洲区科工 信局拨付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 技型中小企 业技术创新 基金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32"/>
              <w:jc w:val="left"/>
              <w:rPr>
                <w:rFonts w:ascii="宋体" w:hAnsi="宋体" w:cs="宋体" w:eastAsia="宋体" w:hint="default"/>
                <w:sz w:val="18"/>
                <w:szCs w:val="18"/>
              </w:rPr>
            </w:pPr>
            <w:r>
              <w:rPr>
                <w:rFonts w:ascii="宋体" w:hAnsi="宋体" w:cs="宋体" w:eastAsia="宋体" w:hint="default"/>
                <w:sz w:val="18"/>
                <w:szCs w:val="18"/>
              </w:rPr>
              <w:t>软件企业税 收奖励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266,891.00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年度知 识产权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250,000.00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2"/>
              <w:jc w:val="both"/>
              <w:rPr>
                <w:rFonts w:ascii="宋体" w:hAnsi="宋体" w:cs="宋体" w:eastAsia="宋体" w:hint="default"/>
                <w:sz w:val="18"/>
                <w:szCs w:val="18"/>
              </w:rPr>
            </w:pPr>
            <w:r>
              <w:rPr>
                <w:rFonts w:ascii="宋体" w:hAnsi="宋体" w:cs="宋体" w:eastAsia="宋体" w:hint="default"/>
                <w:sz w:val="18"/>
                <w:szCs w:val="18"/>
              </w:rPr>
              <w:t>市级工业倍 增企业转型 升级政策兑 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920"/>
        <w:gridCol w:w="1205"/>
      </w:tblGrid>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z w:val="18"/>
                <w:szCs w:val="18"/>
              </w:rPr>
              <w:t>基于传感网 和</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技术 的农产品质 量追溯系统 研发及产业 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192,272.08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2"/>
              <w:jc w:val="both"/>
              <w:rPr>
                <w:rFonts w:ascii="宋体" w:hAnsi="宋体" w:cs="宋体" w:eastAsia="宋体" w:hint="default"/>
                <w:sz w:val="18"/>
                <w:szCs w:val="18"/>
              </w:rPr>
            </w:pPr>
            <w:r>
              <w:rPr>
                <w:rFonts w:ascii="宋体" w:hAnsi="宋体" w:cs="宋体" w:eastAsia="宋体" w:hint="default"/>
                <w:sz w:val="18"/>
                <w:szCs w:val="18"/>
              </w:rPr>
              <w:t>产业化技术 升级资助项 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160,000.00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2"/>
              <w:jc w:val="left"/>
              <w:rPr>
                <w:rFonts w:ascii="宋体" w:hAnsi="宋体" w:cs="宋体" w:eastAsia="宋体" w:hint="default"/>
                <w:sz w:val="18"/>
                <w:szCs w:val="18"/>
              </w:rPr>
            </w:pPr>
            <w:r>
              <w:rPr>
                <w:rFonts w:ascii="宋体" w:hAnsi="宋体" w:cs="宋体" w:eastAsia="宋体" w:hint="default"/>
                <w:sz w:val="18"/>
                <w:szCs w:val="18"/>
              </w:rPr>
              <w:t>国家创新基 金项目尾款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5" w:right="0"/>
              <w:jc w:val="center"/>
              <w:rPr>
                <w:rFonts w:ascii="Times New Roman" w:hAnsi="Times New Roman" w:cs="Times New Roman" w:eastAsia="Times New Roman" w:hint="default"/>
                <w:sz w:val="18"/>
                <w:szCs w:val="18"/>
              </w:rPr>
            </w:pPr>
            <w:r>
              <w:rPr>
                <w:rFonts w:ascii="Times New Roman"/>
                <w:sz w:val="18"/>
              </w:rPr>
              <w:t>150,000.00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140,090.00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color w:val="212121"/>
                <w:sz w:val="18"/>
                <w:szCs w:val="18"/>
              </w:rPr>
              <w:t>与收益相关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2"/>
              <w:jc w:val="both"/>
              <w:rPr>
                <w:rFonts w:ascii="宋体" w:hAnsi="宋体" w:cs="宋体" w:eastAsia="宋体" w:hint="default"/>
                <w:sz w:val="18"/>
                <w:szCs w:val="18"/>
              </w:rPr>
            </w:pPr>
            <w:r>
              <w:rPr>
                <w:rFonts w:ascii="宋体" w:hAnsi="宋体" w:cs="宋体" w:eastAsia="宋体" w:hint="default"/>
                <w:sz w:val="18"/>
                <w:szCs w:val="18"/>
              </w:rPr>
              <w:t>基于移动互 联网的新一 代银行卡手 持移动金融 终端应用示 范项目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133,333.33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37"/>
              <w:jc w:val="left"/>
              <w:rPr>
                <w:rFonts w:ascii="宋体" w:hAnsi="宋体" w:cs="宋体" w:eastAsia="宋体" w:hint="default"/>
                <w:sz w:val="18"/>
                <w:szCs w:val="18"/>
              </w:rPr>
            </w:pPr>
            <w:r>
              <w:rPr>
                <w:rFonts w:ascii="宋体" w:hAnsi="宋体" w:cs="宋体" w:eastAsia="宋体" w:hint="default"/>
                <w:sz w:val="18"/>
                <w:szCs w:val="18"/>
              </w:rPr>
              <w:t>自主标准 </w:t>
            </w:r>
            <w:r>
              <w:rPr>
                <w:rFonts w:ascii="Times New Roman" w:hAnsi="Times New Roman" w:cs="Times New Roman" w:eastAsia="Times New Roman" w:hint="default"/>
                <w:sz w:val="18"/>
                <w:szCs w:val="18"/>
              </w:rPr>
              <w:t>900M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高频 </w:t>
            </w:r>
            <w:r>
              <w:rPr>
                <w:rFonts w:ascii="Times New Roman" w:hAnsi="Times New Roman" w:cs="Times New Roman" w:eastAsia="Times New Roman" w:hint="default"/>
                <w:sz w:val="18"/>
                <w:szCs w:val="18"/>
              </w:rPr>
              <w:t>FRID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物联网 智能终端及 关键技术研 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45" w:right="0"/>
              <w:jc w:val="center"/>
              <w:rPr>
                <w:rFonts w:ascii="Times New Roman" w:hAnsi="Times New Roman" w:cs="Times New Roman" w:eastAsia="Times New Roman" w:hint="default"/>
                <w:sz w:val="18"/>
                <w:szCs w:val="18"/>
              </w:rPr>
            </w:pPr>
            <w:r>
              <w:rPr>
                <w:rFonts w:ascii="Times New Roman"/>
                <w:sz w:val="18"/>
              </w:rPr>
              <w:t>66,666.67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中关村科技 园产业发展 专项资金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5" w:right="0"/>
              <w:jc w:val="center"/>
              <w:rPr>
                <w:rFonts w:ascii="Times New Roman" w:hAnsi="Times New Roman" w:cs="Times New Roman" w:eastAsia="Times New Roman" w:hint="default"/>
                <w:sz w:val="18"/>
                <w:szCs w:val="18"/>
              </w:rPr>
            </w:pPr>
            <w:r>
              <w:rPr>
                <w:rFonts w:ascii="Times New Roman"/>
                <w:sz w:val="18"/>
              </w:rPr>
              <w:t>60,000.00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color w:val="212121"/>
                <w:sz w:val="18"/>
                <w:szCs w:val="18"/>
              </w:rPr>
              <w:t>与资产相关</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3"/>
        <w:gridCol w:w="1064"/>
        <w:gridCol w:w="1063"/>
        <w:gridCol w:w="1063"/>
        <w:gridCol w:w="1064"/>
        <w:gridCol w:w="920"/>
        <w:gridCol w:w="1205"/>
      </w:tblGrid>
      <w:tr>
        <w:trPr>
          <w:trHeight w:val="362"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89"/>
              <w:jc w:val="righ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66"/>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13,550,562.0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55,037,999.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72、营业外支出" w:id="363"/>
      <w:bookmarkEnd w:id="363"/>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3,059,800.00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3,059,800.00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5,511,609.99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802,378.11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5,511,609.99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3,652,885.43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417,677.90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3,652,885.43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83,861.56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25,337.01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83,861.56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12,308,156.98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2,345,402.27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12,308,156.98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3、所得税费用" w:id="364"/>
      <w:bookmarkEnd w:id="364"/>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left="154" w:right="0"/>
        <w:jc w:val="left"/>
      </w:pPr>
      <w:bookmarkStart w:name="（1）所得税费用表" w:id="365"/>
      <w:bookmarkEnd w:id="365"/>
      <w:r>
        <w:rPr/>
      </w:r>
      <w:r>
        <w:rPr/>
        <w:t>（</w:t>
      </w:r>
      <w:r>
        <w:rPr>
          <w:rFonts w:ascii="Times New Roman" w:hAnsi="Times New Roman" w:cs="Times New Roman" w:eastAsia="Times New Roman" w:hint="default"/>
        </w:rPr>
        <w:t>1</w:t>
      </w:r>
      <w:r>
        <w:rPr/>
        <w:t>）所得税费用表</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113,270,478.11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118,983,822.84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-17,600,065.45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-9,629,636.52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95,670,412.66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109,354,186.32</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2）会计利润与所得税费用调整过程" w:id="366"/>
      <w:bookmarkEnd w:id="366"/>
      <w:r>
        <w:rPr/>
      </w:r>
      <w:r>
        <w:rPr/>
        <w:t>（</w:t>
      </w:r>
      <w:r>
        <w:rPr>
          <w:rFonts w:ascii="Times New Roman" w:hAnsi="Times New Roman" w:cs="Times New Roman" w:eastAsia="Times New Roman" w:hint="default"/>
        </w:rPr>
        <w:t>2</w:t>
      </w:r>
      <w:r>
        <w:rPr/>
        <w:t>）会计利润与所得税费用调整过程</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760,965,064.31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76,096,506.43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-7,418,128.06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2,081,814.04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-4,138,873.59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5,344,890.90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-384,437.82</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29,311,779.99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技术开发费及残疾人工资加计扣除的影响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-49,982,299.91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计提商誉减值准备的影响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44,759,160.67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95,670,412.66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4、其他综合收益" w:id="367"/>
      <w:bookmarkEnd w:id="367"/>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详见附注六</w:t>
      </w:r>
      <w:r>
        <w:rPr>
          <w:spacing w:val="-90"/>
        </w:rPr>
        <w:t>、</w:t>
      </w:r>
      <w:r>
        <w:rPr/>
        <w:t>（三十</w:t>
      </w:r>
      <w:r>
        <w:rPr>
          <w:spacing w:val="-90"/>
        </w:rPr>
        <w:t>）</w:t>
      </w:r>
      <w:r>
        <w:rPr/>
        <w:t>。</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75、现金流量表项目" w:id="368"/>
      <w:bookmarkEnd w:id="368"/>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right="0"/>
        <w:jc w:val="left"/>
      </w:pPr>
      <w:bookmarkStart w:name="（1）收到的其他与经营活动有关的现金" w:id="369"/>
      <w:bookmarkEnd w:id="369"/>
      <w:r>
        <w:rPr/>
      </w:r>
      <w:r>
        <w:rPr/>
        <w:t>（</w:t>
      </w:r>
      <w:r>
        <w:rPr>
          <w:rFonts w:ascii="Times New Roman" w:hAnsi="Times New Roman" w:cs="Times New Roman" w:eastAsia="Times New Roman" w:hint="default"/>
        </w:rPr>
        <w:t>1</w:t>
      </w:r>
      <w:r>
        <w:rPr/>
        <w:t>）收到的其他与经营活动有关的现金</w:t>
      </w:r>
    </w:p>
    <w:p>
      <w:pPr>
        <w:spacing w:line="240" w:lineRule="auto" w:before="8"/>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5,479,332.50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17,036,272.75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46,605,909.67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22,806,845.61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148,981,498.12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127,402,734.01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1,124,125.46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1,477,704.72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收回受限的保证金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2,165,750.47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26,357,093.97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204,356,616.22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195,080,651.06</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2）支付的其他与经营活动有关的现金" w:id="370"/>
      <w:bookmarkEnd w:id="370"/>
      <w:r>
        <w:rPr/>
      </w:r>
      <w:r>
        <w:rPr/>
        <w:t>（</w:t>
      </w:r>
      <w:r>
        <w:rPr>
          <w:rFonts w:ascii="Times New Roman" w:hAnsi="Times New Roman" w:cs="Times New Roman" w:eastAsia="Times New Roman" w:hint="default"/>
        </w:rPr>
        <w:t>2</w:t>
      </w:r>
      <w:r>
        <w:rPr/>
        <w:t>）支付的其他与经营活动有关的现金</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技术服务成本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19,188,955.20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18,703,073.82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142,548,258.19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136,374,402.04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118,890,762.90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126,328,860.72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4,354,201.63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1,674,917.38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351,055,972.62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231,912,017.36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支付受限的保证金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146,782,089.84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29,989,942.89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523,831.67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1,557,133.79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783,344,072.05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546,540,348.00</w:t>
            </w:r>
          </w:p>
        </w:tc>
      </w:tr>
    </w:tbl>
    <w:p>
      <w:pPr>
        <w:spacing w:line="240" w:lineRule="auto" w:before="9"/>
        <w:rPr>
          <w:rFonts w:ascii="宋体" w:hAnsi="宋体" w:cs="宋体" w:eastAsia="宋体" w:hint="default"/>
          <w:sz w:val="19"/>
          <w:szCs w:val="19"/>
        </w:rPr>
      </w:pPr>
    </w:p>
    <w:p>
      <w:pPr>
        <w:pStyle w:val="Heading5"/>
        <w:spacing w:line="240" w:lineRule="auto" w:before="38"/>
        <w:ind w:left="154" w:right="0"/>
        <w:jc w:val="left"/>
      </w:pPr>
      <w:bookmarkStart w:name="（3）收到的其他与投资活动有关的现金" w:id="371"/>
      <w:bookmarkEnd w:id="371"/>
      <w:r>
        <w:rPr/>
      </w:r>
      <w:r>
        <w:rPr/>
        <w:t>（</w:t>
      </w:r>
      <w:r>
        <w:rPr>
          <w:rFonts w:ascii="Times New Roman" w:hAnsi="Times New Roman" w:cs="Times New Roman" w:eastAsia="Times New Roman" w:hint="default"/>
        </w:rPr>
        <w:t>3</w:t>
      </w:r>
      <w:r>
        <w:rPr/>
        <w:t>）收到的其他与投资活动有关的现金</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被收购子公司收购时点的现金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资金拆借款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4）支付的其他与投资活动有关的现金" w:id="372"/>
      <w:bookmarkEnd w:id="372"/>
      <w:r>
        <w:rPr/>
      </w:r>
      <w:r>
        <w:rPr/>
        <w:t>（</w:t>
      </w:r>
      <w:r>
        <w:rPr>
          <w:rFonts w:ascii="Times New Roman" w:hAnsi="Times New Roman" w:cs="Times New Roman" w:eastAsia="Times New Roman" w:hint="default"/>
        </w:rPr>
        <w:t>4</w:t>
      </w:r>
      <w:r>
        <w:rPr/>
        <w:t>）支付的其他与投资活动有关的现金</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资金拆借款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子公司处置时点的现金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628,999.27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628,999.27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5）收到的其他与筹资活动有关的现金" w:id="373"/>
      <w:bookmarkEnd w:id="373"/>
      <w:r>
        <w:rPr/>
      </w:r>
      <w:r>
        <w:rPr/>
        <w:t>（</w:t>
      </w:r>
      <w:r>
        <w:rPr>
          <w:rFonts w:ascii="Times New Roman" w:hAnsi="Times New Roman" w:cs="Times New Roman" w:eastAsia="Times New Roman" w:hint="default"/>
        </w:rPr>
        <w:t>5</w:t>
      </w:r>
      <w:r>
        <w:rPr/>
        <w:t>）收到的其他与筹资活动有关的现金</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处置少数股权款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24,587,699.40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695,066,000.00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1,045,443,292.76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收回的贷款保证金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695,066,000.00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1,080,030,992.16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支付的其他与筹资活动有关的现金" w:id="374"/>
      <w:bookmarkEnd w:id="37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购买少数股东股权款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314,590,000.00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198,980,000.00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314,590,000.00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202,355,000.00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6、现金流量表补充资料" w:id="375"/>
      <w:bookmarkEnd w:id="375"/>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right="0"/>
        <w:jc w:val="left"/>
      </w:pPr>
      <w:bookmarkStart w:name="（1）现金流量表补充资料" w:id="376"/>
      <w:bookmarkEnd w:id="376"/>
      <w:r>
        <w:rPr/>
      </w:r>
      <w:r>
        <w:rPr/>
        <w:t>（</w:t>
      </w:r>
      <w:r>
        <w:rPr>
          <w:rFonts w:ascii="Times New Roman" w:hAnsi="Times New Roman" w:cs="Times New Roman" w:eastAsia="Times New Roman" w:hint="default"/>
        </w:rPr>
        <w:t>1</w:t>
      </w:r>
      <w:r>
        <w:rPr/>
        <w:t>）现金流量表补充资料</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6"/>
        <w:gridCol w:w="3057"/>
        <w:gridCol w:w="3173"/>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88" w:right="0"/>
              <w:jc w:val="left"/>
              <w:rPr>
                <w:rFonts w:ascii="Times New Roman" w:hAnsi="Times New Roman" w:cs="Times New Roman" w:eastAsia="Times New Roman" w:hint="default"/>
                <w:sz w:val="18"/>
                <w:szCs w:val="18"/>
              </w:rPr>
            </w:pPr>
            <w:r>
              <w:rPr>
                <w:rFonts w:ascii="Times New Roman"/>
                <w:sz w:val="18"/>
              </w:rPr>
              <w:t>665,294,651.65</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7" w:right="0"/>
              <w:jc w:val="left"/>
              <w:rPr>
                <w:rFonts w:ascii="Times New Roman" w:hAnsi="Times New Roman" w:cs="Times New Roman" w:eastAsia="Times New Roman" w:hint="default"/>
                <w:sz w:val="18"/>
                <w:szCs w:val="18"/>
              </w:rPr>
            </w:pPr>
            <w:r>
              <w:rPr>
                <w:rFonts w:ascii="Times New Roman"/>
                <w:sz w:val="18"/>
              </w:rPr>
              <w:t>890,458,944.92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63.929993pt;width:151.25pt;height:40.9pt;mso-position-horizontal-relative:page;mso-position-vertical-relative:page;z-index:-1041184" coordorigin="4467,5279" coordsize="3025,818">
            <v:group style="position:absolute;left:4478;top:5290;width:2;height:393" coordorigin="4478,5290" coordsize="2,393">
              <v:shape style="position:absolute;left:4478;top:5290;width:2;height:393" coordorigin="4478,5290" coordsize="0,393" path="m4478,5290l4478,5682e" filled="false" stroked="true" strokeweight="1.140pt" strokecolor="#ffffff">
                <v:path arrowok="t"/>
              </v:shape>
            </v:group>
            <v:group style="position:absolute;left:4490;top:5290;width:3002;height:393" coordorigin="4490,5290" coordsize="3002,393">
              <v:shape style="position:absolute;left:4490;top:5290;width:3002;height:393" coordorigin="4490,5290" coordsize="3002,393" path="m4490,5682l7491,5682,7491,5290,4490,5290,4490,5682xe" filled="true" fillcolor="#ffffff" stroked="false">
                <v:path arrowok="t"/>
                <v:fill type="solid"/>
              </v:shape>
            </v:group>
            <v:group style="position:absolute;left:4478;top:5692;width:2;height:393" coordorigin="4478,5692" coordsize="2,393">
              <v:shape style="position:absolute;left:4478;top:5692;width:2;height:393" coordorigin="4478,5692" coordsize="0,393" path="m4478,5692l4478,6084e" filled="false" stroked="true" strokeweight="1.140pt" strokecolor="#ffffff">
                <v:path arrowok="t"/>
              </v:shape>
            </v:group>
            <v:group style="position:absolute;left:4490;top:5692;width:3002;height:393" coordorigin="4490,5692" coordsize="3002,393">
              <v:shape style="position:absolute;left:4490;top:5692;width:3002;height:393" coordorigin="4490,5692" coordsize="3002,393" path="m4490,6084l7491,6084,7491,5692,4490,5692,4490,608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594,272,787.97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297,495,529.11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119,600,447.22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125,533,494.00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70,107,294.28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63,275,970.04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2,897,651.64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2,782,036.40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-1,834,981.83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788,129.71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5,460,719.24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1,091.75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38,304,621.35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54,408,702.55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-375,682,650.55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-130,651,963.23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-15,365,629.05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-8,670,651.07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-37,464,278.15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-2,234,436.40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-682,624,581.87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-949,609,892.94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5" w:right="0"/>
              <w:jc w:val="left"/>
              <w:rPr>
                <w:rFonts w:ascii="Times New Roman" w:hAnsi="Times New Roman" w:cs="Times New Roman" w:eastAsia="Times New Roman" w:hint="default"/>
                <w:sz w:val="18"/>
                <w:szCs w:val="18"/>
              </w:rPr>
            </w:pPr>
            <w:r>
              <w:rPr>
                <w:rFonts w:ascii="Times New Roman"/>
                <w:sz w:val="18"/>
              </w:rPr>
              <w:t>-985,511,375.37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-1,186,075,991.97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770,984,884.45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341,389,107.04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-761,844.94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167,677,716.04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-501,109,930.09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1,599,348,732.26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1,095,233,313.93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1,095,233,313.93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1,100,505,231.25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504,115,418.33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-5,271,917.32</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2）本期支付的取得子公司的现金净额" w:id="377"/>
      <w:bookmarkEnd w:id="377"/>
      <w:r>
        <w:rPr/>
      </w:r>
      <w:r>
        <w:rPr/>
        <w:t>（</w:t>
      </w:r>
      <w:r>
        <w:rPr>
          <w:rFonts w:ascii="Times New Roman" w:hAnsi="Times New Roman" w:cs="Times New Roman" w:eastAsia="Times New Roman" w:hint="default"/>
        </w:rPr>
        <w:t>2</w:t>
      </w:r>
      <w:r>
        <w:rPr/>
        <w:t>）本期支付的取得子公司的现金净额</w:t>
      </w:r>
    </w:p>
    <w:p>
      <w:pPr>
        <w:spacing w:line="240" w:lineRule="auto" w:before="12"/>
        <w:rPr>
          <w:rFonts w:ascii="宋体" w:hAnsi="宋体" w:cs="宋体" w:eastAsia="宋体" w:hint="default"/>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pPr>
      <w:bookmarkStart w:name="（3）本期收到的处置子公司的现金净额" w:id="378"/>
      <w:bookmarkEnd w:id="378"/>
      <w:r>
        <w:rPr/>
      </w:r>
      <w:r>
        <w:rPr/>
        <w:t>（</w:t>
      </w:r>
      <w:r>
        <w:rPr>
          <w:rFonts w:ascii="Times New Roman" w:hAnsi="Times New Roman" w:cs="Times New Roman" w:eastAsia="Times New Roman" w:hint="default"/>
        </w:rPr>
        <w:t>3</w:t>
      </w:r>
      <w:r>
        <w:rPr/>
        <w:t>）本期收到的处置子公司的现金净额</w:t>
      </w:r>
    </w:p>
    <w:p>
      <w:pPr>
        <w:spacing w:line="240" w:lineRule="auto" w:before="12"/>
        <w:rPr>
          <w:rFonts w:ascii="宋体" w:hAnsi="宋体" w:cs="宋体" w:eastAsia="宋体" w:hint="default"/>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7"/>
        <w:rPr>
          <w:rFonts w:ascii="宋体" w:hAnsi="宋体" w:cs="宋体" w:eastAsia="宋体" w:hint="default"/>
          <w:sz w:val="26"/>
          <w:szCs w:val="26"/>
        </w:rPr>
      </w:pPr>
    </w:p>
    <w:p>
      <w:pPr>
        <w:pStyle w:val="Heading5"/>
        <w:spacing w:line="240" w:lineRule="auto"/>
        <w:ind w:right="0"/>
        <w:jc w:val="left"/>
      </w:pPr>
      <w:bookmarkStart w:name="（4）现金和现金等价物的构成" w:id="379"/>
      <w:bookmarkEnd w:id="379"/>
      <w:r>
        <w:rPr/>
      </w:r>
      <w:r>
        <w:rPr/>
        <w:t>（</w:t>
      </w:r>
      <w:r>
        <w:rPr>
          <w:rFonts w:ascii="Times New Roman" w:hAnsi="Times New Roman" w:cs="Times New Roman" w:eastAsia="Times New Roman" w:hint="default"/>
        </w:rPr>
        <w:t>4</w:t>
      </w:r>
      <w:r>
        <w:rPr/>
        <w:t>）现金和现金等价物的构成</w:t>
      </w:r>
    </w:p>
    <w:p>
      <w:pPr>
        <w:spacing w:line="240" w:lineRule="auto" w:before="8"/>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1,599,348,732.26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1,095,233,313.93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1,183,057.39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1,103,232.78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1,558,849,945.64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1,093,101,780.00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39,315,729.23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1,028,301.15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1,599,348,732.26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1,095,233,313.93</w:t>
            </w:r>
          </w:p>
        </w:tc>
      </w:tr>
    </w:tbl>
    <w:p>
      <w:pPr>
        <w:pStyle w:val="BodyText"/>
        <w:spacing w:line="240" w:lineRule="auto" w:before="51"/>
        <w:ind w:left="154" w:right="0"/>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left="154" w:right="0" w:firstLine="360"/>
        <w:jc w:val="left"/>
      </w:pPr>
      <w:r>
        <w:rPr/>
        <w:t>现金流量表中现金的期初、期末余额以本公司货币资金减去其他货币资金中不可以随时用于支付的银行承兑汇票保证 金、保函保证金列示：</w:t>
      </w:r>
    </w:p>
    <w:p>
      <w:pPr>
        <w:spacing w:line="240" w:lineRule="auto" w:before="8"/>
        <w:rPr>
          <w:rFonts w:ascii="宋体" w:hAnsi="宋体" w:cs="宋体" w:eastAsia="宋体" w:hint="default"/>
          <w:sz w:val="10"/>
          <w:szCs w:val="10"/>
        </w:rPr>
      </w:pPr>
    </w:p>
    <w:tbl>
      <w:tblPr>
        <w:tblW w:w="0" w:type="auto"/>
        <w:jc w:val="left"/>
        <w:tblInd w:w="151" w:type="dxa"/>
        <w:tblLayout w:type="fixed"/>
        <w:tblCellMar>
          <w:top w:w="0" w:type="dxa"/>
          <w:left w:w="0" w:type="dxa"/>
          <w:bottom w:w="0" w:type="dxa"/>
          <w:right w:w="0" w:type="dxa"/>
        </w:tblCellMar>
        <w:tblLook w:val="01E0"/>
      </w:tblPr>
      <w:tblGrid>
        <w:gridCol w:w="3259"/>
        <w:gridCol w:w="3119"/>
        <w:gridCol w:w="3261"/>
      </w:tblGrid>
      <w:tr>
        <w:trPr>
          <w:trHeight w:val="332" w:hRule="exact"/>
        </w:trPr>
        <w:tc>
          <w:tcPr>
            <w:tcW w:w="32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2" w:hRule="exact"/>
        </w:trPr>
        <w:tc>
          <w:tcPr>
            <w:tcW w:w="32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货币资金余额</w:t>
            </w:r>
          </w:p>
        </w:tc>
        <w:tc>
          <w:tcPr>
            <w:tcW w:w="3119"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4"/>
              <w:ind w:right="3"/>
              <w:jc w:val="right"/>
              <w:rPr>
                <w:rFonts w:ascii="Times New Roman" w:hAnsi="Times New Roman" w:cs="Times New Roman" w:eastAsia="Times New Roman" w:hint="default"/>
                <w:sz w:val="18"/>
                <w:szCs w:val="18"/>
              </w:rPr>
            </w:pPr>
            <w:r>
              <w:rPr>
                <w:rFonts w:ascii="Times New Roman"/>
                <w:spacing w:val="-1"/>
                <w:sz w:val="18"/>
              </w:rPr>
              <w:t>1,749,004,889.56</w:t>
            </w:r>
          </w:p>
        </w:tc>
        <w:tc>
          <w:tcPr>
            <w:tcW w:w="326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4"/>
              <w:ind w:right="5"/>
              <w:jc w:val="right"/>
              <w:rPr>
                <w:rFonts w:ascii="Times New Roman" w:hAnsi="Times New Roman" w:cs="Times New Roman" w:eastAsia="Times New Roman" w:hint="default"/>
                <w:sz w:val="18"/>
                <w:szCs w:val="18"/>
              </w:rPr>
            </w:pPr>
            <w:r>
              <w:rPr>
                <w:rFonts w:ascii="Times New Roman"/>
                <w:spacing w:val="-1"/>
                <w:sz w:val="18"/>
              </w:rPr>
              <w:t>1,125,223,256.82</w:t>
            </w:r>
          </w:p>
        </w:tc>
      </w:tr>
      <w:tr>
        <w:trPr>
          <w:trHeight w:val="342" w:hRule="exact"/>
        </w:trPr>
        <w:tc>
          <w:tcPr>
            <w:tcW w:w="32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减：保证金</w:t>
            </w:r>
          </w:p>
        </w:tc>
        <w:tc>
          <w:tcPr>
            <w:tcW w:w="311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149,656,157.30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29,989,942.89</w:t>
            </w:r>
          </w:p>
        </w:tc>
      </w:tr>
      <w:tr>
        <w:trPr>
          <w:trHeight w:val="342" w:hRule="exact"/>
        </w:trPr>
        <w:tc>
          <w:tcPr>
            <w:tcW w:w="32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现金流量中列示的现金</w:t>
            </w:r>
          </w:p>
        </w:tc>
        <w:tc>
          <w:tcPr>
            <w:tcW w:w="311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1,599,348,732.26</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1,095,233,313.93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7、所有者权益变动表项目注释" w:id="380"/>
      <w:bookmarkEnd w:id="380"/>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8、所有权或使用权受到限制的资产" w:id="381"/>
      <w:bookmarkEnd w:id="381"/>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149,656,157.30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见本附注六</w:t>
            </w:r>
            <w:r>
              <w:rPr>
                <w:rFonts w:ascii="宋体" w:hAnsi="宋体" w:cs="宋体" w:eastAsia="宋体" w:hint="default"/>
                <w:spacing w:val="-90"/>
                <w:sz w:val="18"/>
                <w:szCs w:val="18"/>
              </w:rPr>
              <w:t>、</w:t>
            </w:r>
            <w:r>
              <w:rPr>
                <w:rFonts w:ascii="宋体" w:hAnsi="宋体" w:cs="宋体" w:eastAsia="宋体" w:hint="default"/>
                <w:sz w:val="18"/>
                <w:szCs w:val="18"/>
              </w:rPr>
              <w:t>（一）</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30,836,311.62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见本附注六</w:t>
            </w:r>
            <w:r>
              <w:rPr>
                <w:rFonts w:ascii="宋体" w:hAnsi="宋体" w:cs="宋体" w:eastAsia="宋体" w:hint="default"/>
                <w:spacing w:val="-90"/>
                <w:sz w:val="18"/>
                <w:szCs w:val="18"/>
              </w:rPr>
              <w:t>、</w:t>
            </w:r>
            <w:r>
              <w:rPr>
                <w:rFonts w:ascii="宋体" w:hAnsi="宋体" w:cs="宋体" w:eastAsia="宋体" w:hint="default"/>
                <w:sz w:val="18"/>
                <w:szCs w:val="18"/>
              </w:rPr>
              <w:t>（十八）</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180,492,468.92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9、外币货币性项目" w:id="382"/>
      <w:bookmarkEnd w:id="382"/>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right="0"/>
        <w:jc w:val="left"/>
      </w:pPr>
      <w:bookmarkStart w:name="（1）外币货币性项目" w:id="383"/>
      <w:bookmarkEnd w:id="383"/>
      <w:r>
        <w:rPr/>
      </w:r>
      <w:r>
        <w:rPr/>
        <w:t>（</w:t>
      </w:r>
      <w:r>
        <w:rPr>
          <w:rFonts w:ascii="Times New Roman" w:hAnsi="Times New Roman" w:cs="Times New Roman" w:eastAsia="Times New Roman" w:hint="default"/>
        </w:rPr>
        <w:t>1</w:t>
      </w:r>
      <w:r>
        <w:rPr/>
        <w:t>）外币货币性项目</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52"/>
              <w:ind w:left="606"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21,179,233.33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3,238,099.02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21,158,386.62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8,135.27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6,800.36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7,990.71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8,948.00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0.1998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1,787.81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4,267.83</w:t>
            </w:r>
          </w:p>
        </w:tc>
      </w:tr>
      <w:tr>
        <w:trPr>
          <w:trHeight w:val="403" w:hRule="exact"/>
        </w:trPr>
        <w:tc>
          <w:tcPr>
            <w:tcW w:w="24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2,402.04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2,873.56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2,402.04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3,908,716.92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4,676,002.10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3,908,716.92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20,977,187.13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5,031,334.00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65"/>
              <w:jc w:val="center"/>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19,076,040.63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15,945,853.13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102,674.30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122,829.37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102,674.30</w:t>
            </w:r>
          </w:p>
        </w:tc>
      </w:tr>
    </w:tbl>
    <w:p>
      <w:pPr>
        <w:spacing w:line="240" w:lineRule="auto" w:before="6"/>
        <w:rPr>
          <w:rFonts w:ascii="宋体" w:hAnsi="宋体" w:cs="宋体" w:eastAsia="宋体" w:hint="default"/>
          <w:sz w:val="20"/>
          <w:szCs w:val="20"/>
        </w:rPr>
      </w:pPr>
    </w:p>
    <w:p>
      <w:pPr>
        <w:pStyle w:val="BodyText"/>
        <w:spacing w:line="302" w:lineRule="auto" w:before="44"/>
        <w:ind w:left="154" w:right="1122"/>
        <w:jc w:val="left"/>
      </w:pPr>
      <w:bookmarkStart w:name="（2）境外经营实体说明，包括对于重要的境外经营实体，应披露其境外主要经营地、记账" w:id="384"/>
      <w:bookmarkEnd w:id="384"/>
      <w:r>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）境外经营实体说明，包括对于重要的境外经营实体，应披露其境外主要经营地、记账本位币及选择依据，记账本位币</w:t>
      </w:r>
      <w:r>
        <w:rPr>
          <w:spacing w:val="-83"/>
        </w:rPr>
        <w:t> </w:t>
      </w:r>
      <w:r>
        <w:rPr>
          <w:spacing w:val="-83"/>
        </w:rPr>
      </w:r>
      <w:r>
        <w:rPr/>
        <w:t>发生变化的还应披露原因。</w:t>
      </w:r>
    </w:p>
    <w:p>
      <w:pPr>
        <w:spacing w:line="240" w:lineRule="auto" w:before="4"/>
        <w:rPr>
          <w:rFonts w:ascii="宋体" w:hAnsi="宋体" w:cs="宋体" w:eastAsia="宋体" w:hint="default"/>
          <w:sz w:val="25"/>
          <w:szCs w:val="25"/>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4407"/>
        <w:gridCol w:w="2551"/>
        <w:gridCol w:w="2538"/>
      </w:tblGrid>
      <w:tr>
        <w:trPr>
          <w:trHeight w:val="337" w:hRule="exact"/>
        </w:trPr>
        <w:tc>
          <w:tcPr>
            <w:tcW w:w="4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子（孙）公司名称</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经营地</w:t>
            </w:r>
          </w:p>
        </w:tc>
        <w:tc>
          <w:tcPr>
            <w:tcW w:w="2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42" w:hRule="exact"/>
        </w:trPr>
        <w:tc>
          <w:tcPr>
            <w:tcW w:w="4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北京东华合创香港有限公司</w:t>
            </w:r>
          </w:p>
        </w:tc>
        <w:tc>
          <w:tcPr>
            <w:tcW w:w="2551"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香港</w:t>
            </w:r>
          </w:p>
        </w:tc>
        <w:tc>
          <w:tcPr>
            <w:tcW w:w="253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342" w:hRule="exact"/>
        </w:trPr>
        <w:tc>
          <w:tcPr>
            <w:tcW w:w="4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Hong Kong Sino Bridge</w:t>
            </w:r>
            <w:r>
              <w:rPr>
                <w:rFonts w:ascii="Times New Roman"/>
                <w:spacing w:val="-2"/>
                <w:sz w:val="18"/>
              </w:rPr>
              <w:t> </w:t>
            </w:r>
            <w:r>
              <w:rPr>
                <w:rFonts w:ascii="Times New Roman"/>
                <w:sz w:val="18"/>
              </w:rPr>
              <w:t>Limited</w:t>
            </w:r>
          </w:p>
        </w:tc>
        <w:tc>
          <w:tcPr>
            <w:tcW w:w="255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香港</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2" w:hRule="exact"/>
        </w:trPr>
        <w:tc>
          <w:tcPr>
            <w:tcW w:w="4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SINO BRIDGE AMERICAN</w:t>
            </w:r>
            <w:r>
              <w:rPr>
                <w:rFonts w:ascii="Times New Roman"/>
                <w:spacing w:val="-5"/>
                <w:sz w:val="18"/>
              </w:rPr>
              <w:t> </w:t>
            </w:r>
            <w:r>
              <w:rPr>
                <w:rFonts w:ascii="Times New Roman"/>
                <w:sz w:val="18"/>
              </w:rPr>
              <w:t>LIMITED</w:t>
            </w:r>
          </w:p>
        </w:tc>
        <w:tc>
          <w:tcPr>
            <w:tcW w:w="255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美国</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0、套期" w:id="385"/>
      <w:bookmarkEnd w:id="385"/>
      <w:r>
        <w:rPr>
          <w:b w:val="0"/>
          <w:bCs w:val="0"/>
        </w:rPr>
      </w: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81、其他" w:id="386"/>
      <w:bookmarkEnd w:id="386"/>
      <w:r>
        <w:rPr>
          <w:b w:val="0"/>
          <w:bCs w:val="0"/>
        </w:rPr>
      </w:r>
      <w:r>
        <w:rPr>
          <w:rFonts w:ascii="Times New Roman" w:hAnsi="Times New Roman" w:cs="Times New Roman" w:eastAsia="Times New Roman" w:hint="default"/>
        </w:rPr>
        <w:t>81</w:t>
      </w:r>
      <w:r>
        <w:rPr/>
        <w:t>、其他</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214" w:right="0"/>
        <w:jc w:val="left"/>
      </w:pPr>
      <w:r>
        <w:rPr>
          <w:rFonts w:ascii="宋体" w:hAnsi="宋体" w:cs="宋体" w:eastAsia="宋体" w:hint="default"/>
        </w:rPr>
        <w:t>1.</w:t>
      </w:r>
      <w:r>
        <w:rPr>
          <w:rFonts w:ascii="宋体" w:hAnsi="宋体" w:cs="宋体" w:eastAsia="宋体" w:hint="default"/>
          <w:spacing w:val="57"/>
        </w:rPr>
        <w:t> </w:t>
      </w:r>
      <w:r>
        <w:rPr/>
        <w:t>持续经营净利润及终止经营净利润</w:t>
      </w:r>
    </w:p>
    <w:p>
      <w:pPr>
        <w:spacing w:line="240" w:lineRule="auto" w:before="11"/>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702"/>
        <w:gridCol w:w="2120"/>
        <w:gridCol w:w="1700"/>
        <w:gridCol w:w="1418"/>
        <w:gridCol w:w="1560"/>
      </w:tblGrid>
      <w:tr>
        <w:trPr>
          <w:trHeight w:val="331" w:hRule="exact"/>
        </w:trPr>
        <w:tc>
          <w:tcPr>
            <w:tcW w:w="270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7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659" w:hRule="exact"/>
        </w:trPr>
        <w:tc>
          <w:tcPr>
            <w:tcW w:w="2702" w:type="dxa"/>
            <w:vMerge/>
            <w:tcBorders>
              <w:left w:val="single" w:sz="4" w:space="0" w:color="000000"/>
              <w:bottom w:val="single" w:sz="4" w:space="0" w:color="000000"/>
              <w:right w:val="single" w:sz="4" w:space="0" w:color="000000"/>
            </w:tcBorders>
            <w:shd w:val="clear" w:color="auto" w:fill="D9D9D9"/>
          </w:tcPr>
          <w:p>
            <w:pPr/>
          </w:p>
        </w:tc>
        <w:tc>
          <w:tcPr>
            <w:tcW w:w="2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93" w:right="0"/>
              <w:jc w:val="left"/>
              <w:rPr>
                <w:rFonts w:ascii="宋体" w:hAnsi="宋体" w:cs="宋体" w:eastAsia="宋体" w:hint="default"/>
                <w:sz w:val="18"/>
                <w:szCs w:val="18"/>
              </w:rPr>
            </w:pPr>
            <w:r>
              <w:rPr>
                <w:rFonts w:ascii="宋体" w:hAnsi="宋体" w:cs="宋体" w:eastAsia="宋体" w:hint="default"/>
                <w:sz w:val="18"/>
                <w:szCs w:val="18"/>
              </w:rPr>
              <w:t>发生金额</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6"/>
              <w:ind w:left="4" w:right="4"/>
              <w:jc w:val="left"/>
              <w:rPr>
                <w:rFonts w:ascii="宋体" w:hAnsi="宋体" w:cs="宋体" w:eastAsia="宋体" w:hint="default"/>
                <w:sz w:val="18"/>
                <w:szCs w:val="18"/>
              </w:rPr>
            </w:pPr>
            <w:r>
              <w:rPr>
                <w:rFonts w:ascii="宋体" w:hAnsi="宋体" w:cs="宋体" w:eastAsia="宋体" w:hint="default"/>
                <w:spacing w:val="6"/>
                <w:sz w:val="18"/>
                <w:szCs w:val="18"/>
              </w:rPr>
              <w:t>归属于母公司所有者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的损益</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发生金额</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6"/>
              <w:ind w:left="4" w:right="5"/>
              <w:jc w:val="left"/>
              <w:rPr>
                <w:rFonts w:ascii="宋体" w:hAnsi="宋体" w:cs="宋体" w:eastAsia="宋体" w:hint="default"/>
                <w:sz w:val="18"/>
                <w:szCs w:val="18"/>
              </w:rPr>
            </w:pPr>
            <w:r>
              <w:rPr>
                <w:rFonts w:ascii="宋体" w:hAnsi="宋体" w:cs="宋体" w:eastAsia="宋体" w:hint="default"/>
                <w:spacing w:val="12"/>
                <w:sz w:val="18"/>
                <w:szCs w:val="18"/>
              </w:rPr>
              <w:t>归属于母公司所有</w:t>
            </w:r>
            <w:r>
              <w:rPr>
                <w:rFonts w:ascii="宋体" w:hAnsi="宋体" w:cs="宋体" w:eastAsia="宋体" w:hint="default"/>
                <w:sz w:val="18"/>
                <w:szCs w:val="18"/>
              </w:rPr>
              <w:t> 者的损益</w:t>
            </w:r>
          </w:p>
        </w:tc>
      </w:tr>
      <w:tr>
        <w:trPr>
          <w:trHeight w:val="342" w:hRule="exact"/>
        </w:trPr>
        <w:tc>
          <w:tcPr>
            <w:tcW w:w="2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持续经营净利润</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665,294,651.65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663,799,645.53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890,458,944.92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899,647,231.24</w:t>
            </w:r>
          </w:p>
        </w:tc>
      </w:tr>
      <w:tr>
        <w:trPr>
          <w:trHeight w:val="342" w:hRule="exact"/>
        </w:trPr>
        <w:tc>
          <w:tcPr>
            <w:tcW w:w="2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终止经营净利润</w:t>
            </w:r>
          </w:p>
        </w:tc>
        <w:tc>
          <w:tcPr>
            <w:tcW w:w="212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665,294,651.65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663,799,645.53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890,458,944.92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899,647,231.24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八、合并范围的变更" w:id="387"/>
      <w:bookmarkEnd w:id="387"/>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88"/>
      <w:bookmarkEnd w:id="388"/>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一控制下企业合并" w:id="389"/>
      <w:bookmarkEnd w:id="389"/>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反向购买" w:id="390"/>
      <w:bookmarkEnd w:id="39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处置子公司" w:id="391"/>
      <w:bookmarkEnd w:id="39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是否存在单次处置对子公司投资即丧失控制权的情形</w:t>
      </w:r>
    </w:p>
    <w:p>
      <w:pPr>
        <w:pStyle w:val="BodyText"/>
        <w:spacing w:line="240" w:lineRule="auto" w:before="116"/>
        <w:ind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622"/>
        <w:gridCol w:w="736"/>
        <w:gridCol w:w="736"/>
        <w:gridCol w:w="734"/>
        <w:gridCol w:w="736"/>
        <w:gridCol w:w="734"/>
        <w:gridCol w:w="736"/>
        <w:gridCol w:w="737"/>
        <w:gridCol w:w="736"/>
        <w:gridCol w:w="736"/>
        <w:gridCol w:w="737"/>
        <w:gridCol w:w="736"/>
      </w:tblGrid>
      <w:tr>
        <w:trPr>
          <w:trHeight w:val="383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330" w:right="59"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34" w:right="35"/>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6"/>
              <w:jc w:val="both"/>
              <w:rPr>
                <w:rFonts w:ascii="宋体" w:hAnsi="宋体" w:cs="宋体" w:eastAsia="宋体" w:hint="default"/>
                <w:sz w:val="18"/>
                <w:szCs w:val="18"/>
              </w:rPr>
            </w:pPr>
            <w:r>
              <w:rPr>
                <w:rFonts w:ascii="宋体" w:hAnsi="宋体" w:cs="宋体" w:eastAsia="宋体" w:hint="default"/>
                <w:sz w:val="18"/>
                <w:szCs w:val="18"/>
              </w:rPr>
              <w:t>东华星联 科技有限 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2,900,0</w:t>
            </w:r>
          </w:p>
          <w:p>
            <w:pPr>
              <w:pStyle w:val="TableParagraph"/>
              <w:spacing w:line="240" w:lineRule="auto" w:before="106"/>
              <w:ind w:left="160" w:right="0"/>
              <w:jc w:val="center"/>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控制权 转移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13,794,9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38.76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314,606.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-685,393</w:t>
            </w:r>
          </w:p>
          <w:p>
            <w:pPr>
              <w:pStyle w:val="TableParagraph"/>
              <w:spacing w:line="240" w:lineRule="auto" w:before="106"/>
              <w:ind w:left="478" w:right="0"/>
              <w:jc w:val="left"/>
              <w:rPr>
                <w:rFonts w:ascii="Times New Roman" w:hAnsi="Times New Roman" w:cs="Times New Roman" w:eastAsia="Times New Roman" w:hint="default"/>
                <w:sz w:val="18"/>
                <w:szCs w:val="18"/>
              </w:rPr>
            </w:pPr>
            <w:r>
              <w:rPr>
                <w:rFonts w:ascii="Times New Roman"/>
                <w:sz w:val="18"/>
              </w:rPr>
              <w:t>.26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按本次 出售股 权的交 易价格 确定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是否存在通过多次交易分步处置对子公司投资且在本期丧失控制权的情形</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392"/>
      <w:bookmarkEnd w:id="39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53" w:right="7693" w:firstLine="0"/>
        <w:jc w:val="left"/>
        <w:rPr>
          <w:rFonts w:ascii="宋体" w:hAnsi="宋体" w:cs="宋体" w:eastAsia="宋体" w:hint="default"/>
          <w:sz w:val="21"/>
          <w:szCs w:val="21"/>
        </w:rPr>
      </w:pPr>
      <w:bookmarkStart w:name="6、其他" w:id="393"/>
      <w:bookmarkEnd w:id="39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94"/>
      <w:bookmarkEnd w:id="394"/>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95"/>
      <w:bookmarkEnd w:id="39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92"/>
        <w:ind w:right="0"/>
        <w:jc w:val="left"/>
      </w:pPr>
      <w:bookmarkStart w:name="（1）企业集团的构成" w:id="396"/>
      <w:bookmarkEnd w:id="396"/>
      <w:r>
        <w:rPr/>
      </w:r>
      <w:r>
        <w:rPr/>
        <w:t>（</w:t>
      </w:r>
      <w:r>
        <w:rPr>
          <w:rFonts w:ascii="Times New Roman" w:hAnsi="Times New Roman" w:cs="Times New Roman" w:eastAsia="Times New Roman" w:hint="default"/>
        </w:rPr>
        <w:t>1</w:t>
      </w:r>
      <w:r>
        <w:rPr/>
        <w:t>）企业集团的构成</w:t>
      </w:r>
    </w:p>
    <w:p>
      <w:pPr>
        <w:spacing w:line="240" w:lineRule="auto" w:before="2"/>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701"/>
        <w:gridCol w:w="1037"/>
        <w:gridCol w:w="1367"/>
        <w:gridCol w:w="1367"/>
        <w:gridCol w:w="1367"/>
        <w:gridCol w:w="1367"/>
        <w:gridCol w:w="1366"/>
      </w:tblGrid>
      <w:tr>
        <w:trPr>
          <w:trHeight w:val="401" w:hRule="exact"/>
        </w:trPr>
        <w:tc>
          <w:tcPr>
            <w:tcW w:w="170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0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701" w:type="dxa"/>
            <w:vMerge/>
            <w:tcBorders>
              <w:left w:val="single" w:sz="4" w:space="0" w:color="000000"/>
              <w:bottom w:val="single" w:sz="4" w:space="0" w:color="000000"/>
              <w:right w:val="single" w:sz="4" w:space="0" w:color="000000"/>
            </w:tcBorders>
            <w:shd w:val="clear" w:color="auto" w:fill="D9D9D9"/>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037"/>
        <w:gridCol w:w="1367"/>
        <w:gridCol w:w="1367"/>
        <w:gridCol w:w="1367"/>
        <w:gridCol w:w="1367"/>
        <w:gridCol w:w="1366"/>
      </w:tblGrid>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广州东华合创数码科 技有限公司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泰安东华合创软件有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北京东华合创科技有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东华软件工程有限公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哈尔滨东华软件有限 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东华合创软件有限公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东华软件技术有限公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北京东华合创香港有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东华合创科技有限公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北京东华厚盾软件有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北京东华易时科技有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沈阳普林科技有限公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西安东华软件有限公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南昌东华软件有限公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山西东华软件有限公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东华软件开发有限公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盐城市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盐城市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天津东华博雅软件股 份有限公司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东华星联科技有限公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东华云计算有限公司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衢州市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衢州市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right="48"/>
              <w:jc w:val="right"/>
              <w:rPr>
                <w:rFonts w:ascii="宋体" w:hAnsi="宋体" w:cs="宋体" w:eastAsia="宋体" w:hint="default"/>
                <w:sz w:val="18"/>
                <w:szCs w:val="18"/>
              </w:rPr>
            </w:pPr>
            <w:r>
              <w:rPr>
                <w:rFonts w:ascii="宋体" w:hAnsi="宋体" w:cs="宋体" w:eastAsia="宋体" w:hint="default"/>
                <w:sz w:val="18"/>
                <w:szCs w:val="18"/>
              </w:rPr>
              <w:t>北京光明数据信息技</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037"/>
        <w:gridCol w:w="1367"/>
        <w:gridCol w:w="1367"/>
        <w:gridCol w:w="1367"/>
        <w:gridCol w:w="1367"/>
        <w:gridCol w:w="1366"/>
      </w:tblGrid>
      <w:tr>
        <w:trPr>
          <w:trHeight w:val="36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03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健康乐软件有限公司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东华智慧城市股份有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衢州市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衢州市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兰州东华软件有限公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北京联银通科技有限 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北京厚盾科技有限公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北京神州新桥科技有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北京东华信息技术有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北京威锐达测控系统 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风电机组振动监 测诊断系统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合力东华（北京）科 技有限公司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东华互联宜家数据服 务有限公司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东华网络股份公司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辽宁省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盘锦市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东华博育云有限公司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苏州东华软件科技有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内蒙古东华软件有限 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海南东华软件有限公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儋州市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儋州市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东华软件（绵阳）有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东华软件威海有限公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威海市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威海市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北京东华智中能源互 联网科技有限公司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吉林省东华软件信息 工程有限公司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深圳市至高通信技术 发展有限公司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037"/>
        <w:gridCol w:w="1367"/>
        <w:gridCol w:w="1367"/>
        <w:gridCol w:w="1367"/>
        <w:gridCol w:w="1367"/>
        <w:gridCol w:w="1366"/>
      </w:tblGrid>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北京东华万兴软件有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华金在线股份公司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北京东华福蝉信息技 术有限公司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贵州东华云数据科技 有限责任公司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东华金云网络股份公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东华软件威海有限公 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威海市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威海市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河北东华冀通软件有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廊坊市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廊坊市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南京东华科创信息技 术有限公司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郑州东华诚信软件有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三亚东华云信数据服 务有限公司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云南东合数据信息技 术有限公司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广西东华云数据科技 有限责任公司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北京国能智研信息科 技有限公司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Times New Roman" w:hAnsi="Times New Roman" w:cs="Times New Roman" w:eastAsia="Times New Roman" w:hint="default"/>
          <w:sz w:val="23"/>
          <w:szCs w:val="23"/>
        </w:rPr>
      </w:pPr>
    </w:p>
    <w:p>
      <w:pPr>
        <w:pStyle w:val="BodyText"/>
        <w:spacing w:line="240" w:lineRule="auto" w:before="44"/>
        <w:ind w:left="154" w:right="0"/>
        <w:jc w:val="left"/>
      </w:pPr>
      <w:bookmarkStart w:name="（2）重要的非全资子公司" w:id="397"/>
      <w:bookmarkEnd w:id="397"/>
      <w:r>
        <w:rPr/>
      </w:r>
      <w:r>
        <w:rPr/>
        <w:t>（</w:t>
      </w:r>
      <w:r>
        <w:rPr>
          <w:rFonts w:ascii="Times New Roman" w:hAnsi="Times New Roman" w:cs="Times New Roman" w:eastAsia="Times New Roman" w:hint="default"/>
        </w:rPr>
        <w:t>2</w:t>
      </w:r>
      <w:r>
        <w:rPr/>
        <w:t>）重要的非全资子公司</w:t>
      </w:r>
    </w:p>
    <w:p>
      <w:pPr>
        <w:spacing w:line="240" w:lineRule="auto" w:before="0"/>
        <w:rPr>
          <w:rFonts w:ascii="宋体" w:hAnsi="宋体" w:cs="宋体" w:eastAsia="宋体" w:hint="default"/>
          <w:sz w:val="18"/>
          <w:szCs w:val="18"/>
        </w:rPr>
      </w:pPr>
    </w:p>
    <w:p>
      <w:pPr>
        <w:pStyle w:val="BodyText"/>
        <w:spacing w:line="240" w:lineRule="auto" w:before="128"/>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7"/>
        <w:ind w:right="0"/>
        <w:jc w:val="left"/>
      </w:pPr>
      <w:bookmarkStart w:name="（3）重要非全资子公司的主要财务信息" w:id="398"/>
      <w:bookmarkEnd w:id="398"/>
      <w:r>
        <w:rPr/>
      </w:r>
      <w:r>
        <w:rPr/>
        <w:t>（</w:t>
      </w:r>
      <w:r>
        <w:rPr>
          <w:rFonts w:ascii="Times New Roman" w:hAnsi="Times New Roman" w:cs="Times New Roman" w:eastAsia="Times New Roman" w:hint="default"/>
        </w:rPr>
        <w:t>3</w:t>
      </w:r>
      <w:r>
        <w:rPr/>
        <w:t>）重要非全资子公司的主要财务信息</w:t>
      </w:r>
    </w:p>
    <w:p>
      <w:pPr>
        <w:spacing w:line="240" w:lineRule="auto" w:before="0"/>
        <w:rPr>
          <w:rFonts w:ascii="宋体" w:hAnsi="宋体" w:cs="宋体" w:eastAsia="宋体" w:hint="default"/>
          <w:sz w:val="18"/>
          <w:szCs w:val="18"/>
        </w:rPr>
      </w:pPr>
    </w:p>
    <w:p>
      <w:pPr>
        <w:pStyle w:val="BodyText"/>
        <w:spacing w:line="240" w:lineRule="auto" w:before="128"/>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7"/>
        <w:ind w:right="0"/>
        <w:jc w:val="left"/>
      </w:pPr>
      <w:bookmarkStart w:name="（4）使用企业集团资产和清偿企业集团债务的重大限制" w:id="399"/>
      <w:bookmarkEnd w:id="399"/>
      <w:r>
        <w:rPr/>
      </w:r>
      <w:r>
        <w:rPr/>
        <w:t>（</w:t>
      </w:r>
      <w:r>
        <w:rPr>
          <w:rFonts w:ascii="Times New Roman" w:hAnsi="Times New Roman" w:cs="Times New Roman" w:eastAsia="Times New Roman" w:hint="default"/>
        </w:rPr>
        <w:t>4</w:t>
      </w:r>
      <w:r>
        <w:rPr/>
        <w:t>）使用企业集团资产和清偿企业集团债务的重大限制</w:t>
      </w:r>
    </w:p>
    <w:p>
      <w:pPr>
        <w:spacing w:line="240" w:lineRule="auto" w:before="0"/>
        <w:rPr>
          <w:rFonts w:ascii="宋体" w:hAnsi="宋体" w:cs="宋体" w:eastAsia="宋体" w:hint="default"/>
          <w:sz w:val="18"/>
          <w:szCs w:val="18"/>
        </w:rPr>
      </w:pPr>
    </w:p>
    <w:p>
      <w:pPr>
        <w:pStyle w:val="BodyText"/>
        <w:spacing w:line="240" w:lineRule="auto" w:before="12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6"/>
        <w:ind w:right="0"/>
        <w:jc w:val="left"/>
      </w:pPr>
      <w:bookmarkStart w:name="（5）向纳入合并财务报表范围的结构化主体提供的财务支持或其他支持" w:id="400"/>
      <w:bookmarkEnd w:id="400"/>
      <w:r>
        <w:rPr/>
      </w:r>
      <w:r>
        <w:rPr/>
        <w:t>（</w:t>
      </w:r>
      <w:r>
        <w:rPr>
          <w:rFonts w:ascii="Times New Roman" w:hAnsi="Times New Roman" w:cs="Times New Roman" w:eastAsia="Times New Roman" w:hint="default"/>
        </w:rPr>
        <w:t>5</w:t>
      </w:r>
      <w:r>
        <w:rPr/>
        <w:t>）向纳入合并财务报表范围的结构化主体提供的财务支持或其他支持</w:t>
      </w:r>
    </w:p>
    <w:p>
      <w:pPr>
        <w:spacing w:line="240" w:lineRule="auto" w:before="0"/>
        <w:rPr>
          <w:rFonts w:ascii="宋体" w:hAnsi="宋体" w:cs="宋体" w:eastAsia="宋体" w:hint="default"/>
          <w:sz w:val="18"/>
          <w:szCs w:val="18"/>
        </w:rPr>
      </w:pPr>
    </w:p>
    <w:p>
      <w:pPr>
        <w:pStyle w:val="BodyText"/>
        <w:spacing w:line="240" w:lineRule="auto" w:before="1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在子公司的所有者权益份额发生变化且仍控制子公司的交易" w:id="401"/>
      <w:bookmarkEnd w:id="40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6"/>
        <w:rPr>
          <w:rFonts w:ascii="宋体" w:hAnsi="宋体" w:cs="宋体" w:eastAsia="宋体" w:hint="default"/>
          <w:b/>
          <w:bCs/>
          <w:sz w:val="25"/>
          <w:szCs w:val="25"/>
        </w:rPr>
      </w:pPr>
    </w:p>
    <w:p>
      <w:pPr>
        <w:pStyle w:val="Heading5"/>
        <w:spacing w:line="530" w:lineRule="auto"/>
        <w:ind w:left="553" w:right="5733" w:hanging="400"/>
        <w:jc w:val="left"/>
      </w:pPr>
      <w:bookmarkStart w:name="（1）在子公司所有者权益份额发生变化的情况说明" w:id="402"/>
      <w:bookmarkEnd w:id="402"/>
      <w:r>
        <w:rPr/>
      </w:r>
      <w:r>
        <w:rPr>
          <w:spacing w:val="-1"/>
        </w:rPr>
        <w:t>（</w:t>
      </w:r>
      <w:r>
        <w:rPr>
          <w:rFonts w:ascii="Times New Roman" w:hAnsi="Times New Roman" w:cs="Times New Roman" w:eastAsia="Times New Roman" w:hint="default"/>
          <w:spacing w:val="-1"/>
        </w:rPr>
        <w:t>1</w:t>
      </w:r>
      <w:r>
        <w:rPr>
          <w:spacing w:val="-1"/>
        </w:rPr>
        <w:t>）在子公司所有者权益份额发生变化的情况说明</w:t>
      </w:r>
      <w:r>
        <w:rPr>
          <w:spacing w:val="-82"/>
        </w:rPr>
        <w:t> </w:t>
      </w:r>
      <w:r>
        <w:rPr>
          <w:spacing w:val="-82"/>
        </w:rPr>
      </w:r>
      <w:r>
        <w:rPr/>
        <w:t>购买广州东华软件有限公司</w:t>
      </w:r>
      <w:r>
        <w:rPr>
          <w:rFonts w:ascii="Times New Roman" w:hAnsi="Times New Roman" w:cs="Times New Roman" w:eastAsia="Times New Roman" w:hint="default"/>
        </w:rPr>
        <w:t>10%</w:t>
      </w:r>
      <w:r>
        <w:rPr/>
        <w:t>股权</w:t>
      </w:r>
    </w:p>
    <w:p>
      <w:pPr>
        <w:pStyle w:val="Heading5"/>
        <w:spacing w:line="240" w:lineRule="auto" w:before="68"/>
        <w:ind w:right="0"/>
        <w:jc w:val="left"/>
      </w:pPr>
      <w:bookmarkStart w:name="（2）交易对于少数股东权益及归属于母公司所有者权益的影响" w:id="403"/>
      <w:bookmarkEnd w:id="403"/>
      <w:r>
        <w:rPr/>
      </w:r>
      <w:r>
        <w:rPr/>
        <w:t>（</w:t>
      </w:r>
      <w:r>
        <w:rPr>
          <w:rFonts w:ascii="Times New Roman" w:hAnsi="Times New Roman" w:cs="Times New Roman" w:eastAsia="Times New Roman" w:hint="default"/>
        </w:rPr>
        <w:t>2</w:t>
      </w:r>
      <w:r>
        <w:rPr/>
        <w:t>）交易对于少数股东权益及归属于母公司所有者权益的影响</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-135,864.63</w:t>
            </w:r>
            <w:r>
              <w:rPr>
                <w:rFonts w:ascii="Times New Roman"/>
                <w:sz w:val="18"/>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235,864.63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235,864.63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在合营安排或联营企业中的权益" w:id="404"/>
      <w:bookmarkEnd w:id="40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bookmarkStart w:name="（1）重要的合营企业或联营企业" w:id="405"/>
      <w:bookmarkEnd w:id="405"/>
      <w:r>
        <w:rPr/>
      </w:r>
      <w:r>
        <w:rPr/>
        <w:t>（</w:t>
      </w:r>
      <w:r>
        <w:rPr>
          <w:rFonts w:ascii="Times New Roman" w:hAnsi="Times New Roman" w:cs="Times New Roman" w:eastAsia="Times New Roman" w:hint="default"/>
        </w:rPr>
        <w:t>1</w:t>
      </w:r>
      <w:r>
        <w:rPr/>
        <w:t>）重要的合营企业或联营企业</w:t>
      </w:r>
    </w:p>
    <w:p>
      <w:pPr>
        <w:spacing w:line="240" w:lineRule="auto" w:before="0"/>
        <w:rPr>
          <w:rFonts w:ascii="宋体" w:hAnsi="宋体" w:cs="宋体" w:eastAsia="宋体" w:hint="default"/>
          <w:sz w:val="18"/>
          <w:szCs w:val="18"/>
        </w:rPr>
      </w:pPr>
    </w:p>
    <w:p>
      <w:pPr>
        <w:pStyle w:val="BodyText"/>
        <w:spacing w:line="240" w:lineRule="auto" w:before="1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6"/>
        <w:ind w:right="0"/>
        <w:jc w:val="left"/>
      </w:pPr>
      <w:bookmarkStart w:name="（2）重要合营企业的主要财务信息" w:id="406"/>
      <w:bookmarkEnd w:id="406"/>
      <w:r>
        <w:rPr/>
      </w:r>
      <w:r>
        <w:rPr/>
        <w:t>（</w:t>
      </w:r>
      <w:r>
        <w:rPr>
          <w:rFonts w:ascii="Times New Roman" w:hAnsi="Times New Roman" w:cs="Times New Roman" w:eastAsia="Times New Roman" w:hint="default"/>
        </w:rPr>
        <w:t>2</w:t>
      </w:r>
      <w:r>
        <w:rPr/>
        <w:t>）重要合营企业的主要财务信息</w:t>
      </w:r>
    </w:p>
    <w:p>
      <w:pPr>
        <w:spacing w:line="240" w:lineRule="auto" w:before="0"/>
        <w:rPr>
          <w:rFonts w:ascii="宋体" w:hAnsi="宋体" w:cs="宋体" w:eastAsia="宋体" w:hint="default"/>
          <w:sz w:val="18"/>
          <w:szCs w:val="18"/>
        </w:rPr>
      </w:pPr>
    </w:p>
    <w:p>
      <w:pPr>
        <w:pStyle w:val="BodyText"/>
        <w:spacing w:line="240" w:lineRule="auto" w:before="1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6"/>
        <w:ind w:right="0"/>
        <w:jc w:val="left"/>
      </w:pPr>
      <w:bookmarkStart w:name="（3）重要联营企业的主要财务信息" w:id="407"/>
      <w:bookmarkEnd w:id="407"/>
      <w:r>
        <w:rPr/>
      </w:r>
      <w:r>
        <w:rPr/>
        <w:t>（</w:t>
      </w:r>
      <w:r>
        <w:rPr>
          <w:rFonts w:ascii="Times New Roman" w:hAnsi="Times New Roman" w:cs="Times New Roman" w:eastAsia="Times New Roman" w:hint="default"/>
        </w:rPr>
        <w:t>3</w:t>
      </w:r>
      <w:r>
        <w:rPr/>
        <w:t>）重要联营企业的主要财务信息</w:t>
      </w:r>
    </w:p>
    <w:p>
      <w:pPr>
        <w:spacing w:line="240" w:lineRule="auto" w:before="0"/>
        <w:rPr>
          <w:rFonts w:ascii="宋体" w:hAnsi="宋体" w:cs="宋体" w:eastAsia="宋体" w:hint="default"/>
          <w:sz w:val="18"/>
          <w:szCs w:val="18"/>
        </w:rPr>
      </w:pPr>
    </w:p>
    <w:p>
      <w:pPr>
        <w:pStyle w:val="BodyText"/>
        <w:spacing w:line="240" w:lineRule="auto" w:before="1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
        </w:rPr>
        <w:t> </w:t>
      </w:r>
      <w:r>
        <w:rPr/>
        <w:t>’</w:t>
      </w:r>
    </w:p>
    <w:p>
      <w:pPr>
        <w:spacing w:line="240" w:lineRule="auto" w:before="6"/>
        <w:rPr>
          <w:rFonts w:ascii="宋体" w:hAnsi="宋体" w:cs="宋体" w:eastAsia="宋体" w:hint="default"/>
          <w:sz w:val="26"/>
          <w:szCs w:val="26"/>
        </w:rPr>
      </w:pPr>
    </w:p>
    <w:p>
      <w:pPr>
        <w:pStyle w:val="Heading5"/>
        <w:spacing w:line="240" w:lineRule="auto"/>
        <w:ind w:right="0"/>
        <w:jc w:val="left"/>
      </w:pPr>
      <w:bookmarkStart w:name="（4）不重要的合营企业和联营企业的汇总财务信息" w:id="408"/>
      <w:bookmarkEnd w:id="408"/>
      <w:r>
        <w:rPr/>
      </w:r>
      <w:r>
        <w:rPr/>
        <w:t>（</w:t>
      </w:r>
      <w:r>
        <w:rPr>
          <w:rFonts w:ascii="Times New Roman" w:hAnsi="Times New Roman" w:cs="Times New Roman" w:eastAsia="Times New Roman" w:hint="default"/>
        </w:rPr>
        <w:t>4</w:t>
      </w:r>
      <w:r>
        <w:rPr/>
        <w:t>）不重要的合营企业和联营企业的汇总财务信息</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136,481,215.02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100,344.25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1,039,974.01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-508,100.17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1,039,974.01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-508,100.17</w:t>
            </w:r>
            <w:r>
              <w:rPr>
                <w:rFonts w:ascii="Times New Roman"/>
                <w:sz w:val="18"/>
              </w:rPr>
            </w:r>
          </w:p>
        </w:tc>
      </w:tr>
    </w:tbl>
    <w:p>
      <w:pPr>
        <w:spacing w:line="240" w:lineRule="auto" w:before="6"/>
        <w:rPr>
          <w:rFonts w:ascii="宋体" w:hAnsi="宋体" w:cs="宋体" w:eastAsia="宋体" w:hint="default"/>
          <w:sz w:val="20"/>
          <w:szCs w:val="20"/>
        </w:rPr>
      </w:pPr>
    </w:p>
    <w:p>
      <w:pPr>
        <w:pStyle w:val="BodyText"/>
        <w:spacing w:line="590" w:lineRule="auto" w:before="44"/>
        <w:ind w:right="5083"/>
        <w:jc w:val="left"/>
      </w:pPr>
      <w:bookmarkStart w:name="（5）合营企业或联营企业向本公司转移资金的能力存在重大限制的说明" w:id="409"/>
      <w:bookmarkEnd w:id="409"/>
      <w:r>
        <w:rPr/>
      </w:r>
      <w:r>
        <w:rPr/>
        <w:t>（</w:t>
      </w:r>
      <w:r>
        <w:rPr>
          <w:rFonts w:ascii="Times New Roman" w:hAnsi="Times New Roman" w:cs="Times New Roman" w:eastAsia="Times New Roman" w:hint="default"/>
        </w:rPr>
        <w:t>5</w:t>
      </w:r>
      <w:r>
        <w:rPr/>
        <w:t>）合营企业或联营企业向本公司转移资金的能力存在重大限制的说明 无。</w:t>
      </w:r>
    </w:p>
    <w:p>
      <w:pPr>
        <w:pStyle w:val="BodyText"/>
        <w:spacing w:line="590" w:lineRule="auto" w:before="113"/>
        <w:ind w:right="7423"/>
        <w:jc w:val="left"/>
      </w:pPr>
      <w:bookmarkStart w:name="（6）合营企业或联营企业发生的超额亏损" w:id="410"/>
      <w:bookmarkEnd w:id="410"/>
      <w:r>
        <w:rPr/>
      </w:r>
      <w:r>
        <w:rPr/>
        <w:t>（</w:t>
      </w:r>
      <w:r>
        <w:rPr>
          <w:rFonts w:ascii="Times New Roman" w:hAnsi="Times New Roman" w:cs="Times New Roman" w:eastAsia="Times New Roman" w:hint="default"/>
        </w:rPr>
        <w:t>6</w:t>
      </w:r>
      <w:r>
        <w:rPr/>
        <w:t>）合营企业或联营企业发生的超额亏损 无。</w:t>
      </w:r>
    </w:p>
    <w:p>
      <w:pPr>
        <w:pStyle w:val="BodyText"/>
        <w:spacing w:line="592" w:lineRule="auto" w:before="113"/>
        <w:ind w:left="154" w:right="7602"/>
        <w:jc w:val="left"/>
      </w:pPr>
      <w:bookmarkStart w:name="（7）与合营企业投资相关的未确认承诺" w:id="411"/>
      <w:bookmarkEnd w:id="411"/>
      <w:r>
        <w:rPr/>
      </w:r>
      <w:r>
        <w:rPr/>
        <w:t>（</w:t>
      </w:r>
      <w:r>
        <w:rPr>
          <w:rFonts w:ascii="Times New Roman" w:hAnsi="Times New Roman" w:cs="Times New Roman" w:eastAsia="Times New Roman" w:hint="default"/>
        </w:rPr>
        <w:t>7</w:t>
      </w:r>
      <w:r>
        <w:rPr/>
        <w:t>）与合营企业投资相关的未确认承诺 无。</w:t>
      </w:r>
    </w:p>
    <w:p>
      <w:pPr>
        <w:pStyle w:val="BodyText"/>
        <w:spacing w:line="592" w:lineRule="auto" w:before="110"/>
        <w:ind w:left="154" w:right="6882"/>
        <w:jc w:val="left"/>
      </w:pPr>
      <w:bookmarkStart w:name="（8）与合营企业或联营企业投资相关的或有负债" w:id="412"/>
      <w:bookmarkEnd w:id="412"/>
      <w:r>
        <w:rPr/>
      </w:r>
      <w:r>
        <w:rPr/>
        <w:t>（</w:t>
      </w:r>
      <w:r>
        <w:rPr>
          <w:rFonts w:ascii="Times New Roman" w:hAnsi="Times New Roman" w:cs="Times New Roman" w:eastAsia="Times New Roman" w:hint="default"/>
        </w:rPr>
        <w:t>8</w:t>
      </w:r>
      <w:r>
        <w:rPr/>
        <w:t>）与合营企业或联营企业投资相关的或有负债 无。</w:t>
      </w:r>
    </w:p>
    <w:p>
      <w:pPr>
        <w:pStyle w:val="Heading3"/>
        <w:spacing w:line="240" w:lineRule="auto" w:before="85"/>
        <w:ind w:left="154" w:right="0"/>
        <w:jc w:val="both"/>
        <w:rPr>
          <w:b w:val="0"/>
          <w:bCs w:val="0"/>
        </w:rPr>
      </w:pPr>
      <w:bookmarkStart w:name="4、重要的共同经营" w:id="413"/>
      <w:bookmarkEnd w:id="41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5、在未纳入合并财务报表范围的结构化主体中的权益" w:id="414"/>
      <w:bookmarkEnd w:id="41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6、其他" w:id="415"/>
      <w:bookmarkEnd w:id="415"/>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16"/>
      <w:bookmarkEnd w:id="416"/>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本公司主要金融工具包括应收款项、应付款项、短期借款等，各项金融工具的详细情况说明见本附注六相关项目。与这</w:t>
      </w:r>
      <w:r>
        <w:rPr/>
        <w:t> </w:t>
      </w:r>
      <w:r>
        <w:rPr>
          <w:spacing w:val="-2"/>
        </w:rPr>
        <w:t>些金融工具有关的风险，以及本公司为降低这些风险采取的风险管理政策如下所述。本公司管理层对这些风险敞口进行管理</w:t>
      </w:r>
      <w:r>
        <w:rPr>
          <w:spacing w:val="-64"/>
        </w:rPr>
        <w:t> </w:t>
      </w:r>
      <w:r>
        <w:rPr>
          <w:spacing w:val="-64"/>
        </w:rPr>
      </w:r>
      <w:r>
        <w:rPr/>
        <w:t>和监控以确保将上述风险控制在限定的范围之内。</w:t>
      </w:r>
    </w:p>
    <w:p>
      <w:pPr>
        <w:spacing w:line="432" w:lineRule="exact" w:before="3"/>
        <w:ind w:left="573" w:right="0" w:hanging="66"/>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z w:val="18"/>
          <w:szCs w:val="18"/>
        </w:rPr>
        <w:t>本公司从事风险管理的目标是在风险和收益之间取得适当的平衡，将风险对本公司经营业绩的负面影响降低到最低水</w:t>
      </w:r>
    </w:p>
    <w:p>
      <w:pPr>
        <w:pStyle w:val="BodyText"/>
        <w:spacing w:line="316" w:lineRule="auto" w:before="15"/>
        <w:ind w:right="1133"/>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BodyText"/>
        <w:spacing w:line="240" w:lineRule="auto" w:before="139"/>
        <w:ind w:left="576" w:right="0"/>
        <w:jc w:val="left"/>
      </w:pPr>
      <w:r>
        <w:rPr>
          <w:rFonts w:ascii="Times New Roman" w:hAnsi="Times New Roman" w:cs="Times New Roman" w:eastAsia="Times New Roman" w:hint="default"/>
        </w:rPr>
        <w:t>1</w:t>
      </w:r>
      <w:r>
        <w:rPr/>
        <w:t>、市场风险</w:t>
      </w:r>
    </w:p>
    <w:p>
      <w:pPr>
        <w:pStyle w:val="BodyText"/>
        <w:spacing w:line="420" w:lineRule="atLeast" w:before="12"/>
        <w:ind w:left="573" w:right="1118"/>
        <w:jc w:val="left"/>
      </w:pPr>
      <w:r>
        <w:rPr/>
        <w:t>（</w:t>
      </w:r>
      <w:r>
        <w:rPr>
          <w:rFonts w:ascii="Times New Roman" w:hAnsi="Times New Roman" w:cs="Times New Roman" w:eastAsia="Times New Roman" w:hint="default"/>
        </w:rPr>
        <w:t>1</w:t>
      </w:r>
      <w:r>
        <w:rPr/>
        <w:t>）外汇风险 外汇风险，是指金融工具的公允价值或未来现金流量因外汇汇率变动而发生波动的风险。本公司面临的汇率变动的风</w:t>
      </w:r>
    </w:p>
    <w:p>
      <w:pPr>
        <w:pStyle w:val="BodyText"/>
        <w:spacing w:line="240" w:lineRule="auto" w:before="76"/>
        <w:ind w:right="0"/>
        <w:jc w:val="both"/>
      </w:pPr>
      <w:r>
        <w:rPr/>
        <w:t>险主要与公司外币货币性资产、负债及境外经营实体有关。本公司尽可能将外币收入与外币支出相匹配以降低外汇风险。</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3" w:right="0"/>
        <w:jc w:val="left"/>
      </w:pPr>
      <w:r>
        <w:rPr/>
        <w:t>公司期末外币金融资产和外币金融负债列示见本附注六（五十）之说明。</w:t>
      </w:r>
    </w:p>
    <w:p>
      <w:pPr>
        <w:pStyle w:val="BodyText"/>
        <w:spacing w:line="420" w:lineRule="atLeast" w:before="25"/>
        <w:ind w:left="573" w:right="1118"/>
        <w:jc w:val="left"/>
      </w:pPr>
      <w:r>
        <w:rPr/>
        <w:t>（</w:t>
      </w:r>
      <w:r>
        <w:rPr>
          <w:rFonts w:ascii="Times New Roman" w:hAnsi="Times New Roman" w:cs="Times New Roman" w:eastAsia="Times New Roman" w:hint="default"/>
        </w:rPr>
        <w:t>2</w:t>
      </w:r>
      <w:r>
        <w:rPr/>
        <w:t>）利率风险 利率风险，是指金融工具的公允价值或未来现金流量因市场利率变动而发生波动的风险。本公司面临的利率风险主要</w:t>
      </w:r>
    </w:p>
    <w:p>
      <w:pPr>
        <w:pStyle w:val="BodyText"/>
        <w:spacing w:line="316" w:lineRule="auto" w:before="77"/>
        <w:ind w:right="1131"/>
        <w:jc w:val="both"/>
      </w:pPr>
      <w:r>
        <w:rPr>
          <w:spacing w:val="-2"/>
        </w:rPr>
        <w:t>与公司的浮动利率借款有关。在货币政策稳健偏紧和融资供求关系相对偏紧的条件下，会推动银行贷款利率水平上升，从而</w:t>
      </w:r>
      <w:r>
        <w:rPr>
          <w:spacing w:val="-66"/>
        </w:rPr>
        <w:t> </w:t>
      </w:r>
      <w:r>
        <w:rPr>
          <w:spacing w:val="-66"/>
        </w:rPr>
      </w:r>
      <w:r>
        <w:rPr>
          <w:spacing w:val="-2"/>
        </w:rPr>
        <w:t>增加公司的融资成本。公司通过建立良好的银企关系，对授信额度、授信品种以及授信期限进行合理的设计，保障银行授信</w:t>
      </w:r>
      <w:r>
        <w:rPr>
          <w:spacing w:val="-66"/>
        </w:rPr>
        <w:t> </w:t>
      </w:r>
      <w:r>
        <w:rPr>
          <w:spacing w:val="-66"/>
        </w:rPr>
      </w:r>
      <w:r>
        <w:rPr/>
        <w:t>额度充足，满足公司各类期限融资需求，合理降低利率波动风险。</w:t>
      </w:r>
    </w:p>
    <w:p>
      <w:pPr>
        <w:pStyle w:val="BodyText"/>
        <w:spacing w:line="300" w:lineRule="auto" w:before="139"/>
        <w:ind w:right="1121" w:firstLine="420"/>
        <w:jc w:val="left"/>
      </w:pPr>
      <w:r>
        <w:rPr/>
        <w:t>截至 </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日，公司短期借款</w:t>
      </w:r>
      <w:r>
        <w:rPr>
          <w:rFonts w:ascii="Times New Roman" w:hAnsi="Times New Roman" w:cs="Times New Roman" w:eastAsia="Times New Roman" w:hint="default"/>
        </w:rPr>
        <w:t>931,772,643.44</w:t>
      </w:r>
      <w:r>
        <w:rPr/>
        <w:t>元，在其他变量不变的假设下，利率发生可能的</w:t>
      </w:r>
      <w:r>
        <w:rPr>
          <w:rFonts w:ascii="Times New Roman" w:hAnsi="Times New Roman" w:cs="Times New Roman" w:eastAsia="Times New Roman" w:hint="default"/>
        </w:rPr>
        <w:t>20%</w:t>
      </w:r>
      <w:r>
        <w:rPr/>
        <w:t>变动时， 将不会对公司的营业利润和股东权益产生重大的影响。</w:t>
      </w:r>
    </w:p>
    <w:p>
      <w:pPr>
        <w:pStyle w:val="BodyText"/>
        <w:spacing w:line="432" w:lineRule="exact" w:before="16"/>
        <w:ind w:left="574" w:right="1118" w:firstLine="2"/>
        <w:jc w:val="left"/>
      </w:pPr>
      <w:r>
        <w:rPr>
          <w:rFonts w:ascii="Times New Roman" w:hAnsi="Times New Roman" w:cs="Times New Roman" w:eastAsia="Times New Roman" w:hint="default"/>
        </w:rPr>
        <w:t>2</w:t>
      </w:r>
      <w:r>
        <w:rPr/>
        <w:t>、信用风险 信用风险，是指金融工具的一方不履行义务，造成另一方发生财务损失的风险。本公司的信用风险主要与应收款项有</w:t>
      </w:r>
    </w:p>
    <w:p>
      <w:pPr>
        <w:pStyle w:val="BodyText"/>
        <w:spacing w:line="316" w:lineRule="auto" w:before="15"/>
        <w:ind w:left="154" w:right="1130"/>
        <w:jc w:val="both"/>
      </w:pPr>
      <w:r>
        <w:rPr>
          <w:spacing w:val="-2"/>
        </w:rPr>
        <w:t>关。在客户信用考察方面，本公司首先从客户的经营情况、资金来源、与本公司合作的历史记录等方面进行信用考察，选择</w:t>
      </w:r>
      <w:r>
        <w:rPr>
          <w:spacing w:val="-66"/>
        </w:rPr>
        <w:t> </w:t>
      </w:r>
      <w:r>
        <w:rPr>
          <w:spacing w:val="-66"/>
        </w:rPr>
      </w:r>
      <w:r>
        <w:rPr>
          <w:spacing w:val="-2"/>
        </w:rPr>
        <w:t>商业信誉良好、支付能力较高的客户进行业务合作，如各级行政机关及事业单位、大中型国有企业等；其次，在项目实施过</w:t>
      </w:r>
      <w:r>
        <w:rPr>
          <w:spacing w:val="-66"/>
        </w:rPr>
        <w:t> </w:t>
      </w:r>
      <w:r>
        <w:rPr>
          <w:spacing w:val="-66"/>
        </w:rPr>
      </w:r>
      <w:r>
        <w:rPr>
          <w:spacing w:val="-2"/>
        </w:rPr>
        <w:t>程中要求销售人员密切关注客户的经营情况和财务状况并及时反馈信息，以便在客户出现经营恶化、支付能力下降等情况时</w:t>
      </w:r>
      <w:r>
        <w:rPr>
          <w:spacing w:val="-64"/>
        </w:rPr>
        <w:t> </w:t>
      </w:r>
      <w:r>
        <w:rPr>
          <w:spacing w:val="-64"/>
        </w:rPr>
      </w:r>
      <w:r>
        <w:rPr>
          <w:spacing w:val="-2"/>
        </w:rPr>
        <w:t>能及时采取补救措施。在应收账款控制管理方面，本公司在签订销售合同前均由法律部对合同条款进行审查，防止错漏、歧</w:t>
      </w:r>
      <w:r>
        <w:rPr>
          <w:spacing w:val="-66"/>
        </w:rPr>
        <w:t> </w:t>
      </w:r>
      <w:r>
        <w:rPr>
          <w:spacing w:val="-66"/>
        </w:rPr>
      </w:r>
      <w:r>
        <w:rPr>
          <w:spacing w:val="-2"/>
        </w:rPr>
        <w:t>义发生，并在合同签订时根据客户的信用情况具体确定应收账款的信用额度和信用期间，尽量争取对本公司收取账款有利的</w:t>
      </w:r>
      <w:r>
        <w:rPr>
          <w:spacing w:val="-64"/>
        </w:rPr>
        <w:t> </w:t>
      </w:r>
      <w:r>
        <w:rPr>
          <w:spacing w:val="-64"/>
        </w:rPr>
      </w:r>
      <w:r>
        <w:rPr>
          <w:spacing w:val="-2"/>
        </w:rPr>
        <w:t>条款；其次，对于信用期内的应收账款，要求财务部专门人员定期对账并及时抄报销售部和公司有关高管，以督促销售人员</w:t>
      </w:r>
      <w:r>
        <w:rPr>
          <w:spacing w:val="-66"/>
        </w:rPr>
        <w:t> </w:t>
      </w:r>
      <w:r>
        <w:rPr>
          <w:spacing w:val="-66"/>
        </w:rPr>
      </w:r>
      <w:r>
        <w:rPr>
          <w:spacing w:val="-2"/>
        </w:rPr>
        <w:t>及时做好与客户之间的对账、催收工作；第三，对于超过信用期的应收账款，除财务部继续作好对账工作外，由法律部、销</w:t>
      </w:r>
      <w:r>
        <w:rPr>
          <w:spacing w:val="-67"/>
        </w:rPr>
        <w:t> </w:t>
      </w:r>
      <w:r>
        <w:rPr>
          <w:spacing w:val="-67"/>
        </w:rPr>
      </w:r>
      <w:r>
        <w:rPr>
          <w:spacing w:val="-2"/>
        </w:rPr>
        <w:t>售部会同公司有关高管根据客户的具体情况研究确定催收方案；第四，将货款的回笼作为考核相关销售人员的主要指标，奖</w:t>
      </w:r>
      <w:r>
        <w:rPr>
          <w:spacing w:val="-66"/>
        </w:rPr>
        <w:t> </w:t>
      </w:r>
      <w:r>
        <w:rPr>
          <w:spacing w:val="-66"/>
        </w:rPr>
      </w:r>
      <w:r>
        <w:rPr/>
        <w:t>金的提取直接与回款的进度和额度挂钩。</w:t>
      </w:r>
    </w:p>
    <w:p>
      <w:pPr>
        <w:pStyle w:val="BodyText"/>
        <w:spacing w:line="432" w:lineRule="exact" w:before="3"/>
        <w:ind w:left="574" w:right="1118" w:firstLine="2"/>
        <w:jc w:val="left"/>
      </w:pPr>
      <w:r>
        <w:rPr>
          <w:rFonts w:ascii="Times New Roman" w:hAnsi="Times New Roman" w:cs="Times New Roman" w:eastAsia="Times New Roman" w:hint="default"/>
        </w:rPr>
        <w:t>3</w:t>
      </w:r>
      <w:r>
        <w:rPr/>
        <w:t>、流动风险 本公司加强资金的预测和监控，同时在</w:t>
      </w:r>
      <w:r>
        <w:rPr>
          <w:rFonts w:ascii="Times New Roman" w:hAnsi="Times New Roman" w:cs="Times New Roman" w:eastAsia="Times New Roman" w:hint="default"/>
        </w:rPr>
        <w:t>10</w:t>
      </w:r>
      <w:r>
        <w:rPr/>
        <w:t>家商业银行取得综合授信，银行信贷信誉良好，融资渠道畅通，未来资金来</w:t>
      </w:r>
    </w:p>
    <w:p>
      <w:pPr>
        <w:pStyle w:val="BodyText"/>
        <w:spacing w:line="300" w:lineRule="auto" w:before="15"/>
        <w:ind w:right="1132"/>
        <w:jc w:val="both"/>
      </w:pPr>
      <w:r>
        <w:rPr>
          <w:spacing w:val="-1"/>
        </w:rPr>
        <w:t>源有充足保证。截止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日，本公司资产负债率</w:t>
      </w:r>
      <w:r>
        <w:rPr>
          <w:rFonts w:ascii="Times New Roman" w:hAnsi="Times New Roman" w:cs="Times New Roman" w:eastAsia="Times New Roman" w:hint="default"/>
          <w:spacing w:val="-1"/>
        </w:rPr>
        <w:t>36.27%</w:t>
      </w:r>
      <w:r>
        <w:rPr>
          <w:spacing w:val="-1"/>
        </w:rPr>
        <w:t>，流动比率</w:t>
      </w:r>
      <w:r>
        <w:rPr>
          <w:rFonts w:ascii="Times New Roman" w:hAnsi="Times New Roman" w:cs="Times New Roman" w:eastAsia="Times New Roman" w:hint="default"/>
          <w:spacing w:val="-1"/>
        </w:rPr>
        <w:t>2.33</w:t>
      </w:r>
      <w:r>
        <w:rPr>
          <w:spacing w:val="-1"/>
        </w:rPr>
        <w:t>，有充足的资金偿还债务，不存在重大流动</w:t>
      </w:r>
      <w:r>
        <w:rPr>
          <w:spacing w:val="-82"/>
        </w:rPr>
        <w:t> </w:t>
      </w:r>
      <w:r>
        <w:rPr>
          <w:spacing w:val="-82"/>
        </w:rPr>
      </w:r>
      <w:r>
        <w:rPr/>
        <w:t>性风险。</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十一、公允价值的披露" w:id="417"/>
      <w:bookmarkEnd w:id="417"/>
      <w:r>
        <w:rPr>
          <w:b w:val="0"/>
          <w:bCs w:val="0"/>
        </w:rPr>
      </w:r>
      <w:r>
        <w:rPr/>
        <w:t>十一、公允价值的披露</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0"/>
        <w:jc w:val="both"/>
      </w:pPr>
      <w:bookmarkStart w:name="1、以公允价值计量的资产和负债的期末公允价值" w:id="418"/>
      <w:bookmarkEnd w:id="418"/>
      <w:r>
        <w:rPr/>
      </w:r>
      <w:r>
        <w:rPr>
          <w:rFonts w:ascii="Times New Roman" w:hAnsi="Times New Roman" w:cs="Times New Roman" w:eastAsia="Times New Roman" w:hint="default"/>
        </w:rPr>
        <w:t>1</w:t>
      </w:r>
      <w:r>
        <w:rPr/>
        <w:t>、以公允价值计量的资产和负债的期末公允价值</w:t>
      </w:r>
    </w:p>
    <w:p>
      <w:pPr>
        <w:spacing w:line="240" w:lineRule="auto" w:before="12"/>
        <w:rPr>
          <w:rFonts w:ascii="宋体" w:hAnsi="宋体" w:cs="宋体" w:eastAsia="宋体" w:hint="default"/>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16"/>
        <w:gridCol w:w="1716"/>
        <w:gridCol w:w="1913"/>
        <w:gridCol w:w="1913"/>
        <w:gridCol w:w="1913"/>
      </w:tblGrid>
      <w:tr>
        <w:trPr>
          <w:trHeight w:val="402" w:hRule="exact"/>
        </w:trPr>
        <w:tc>
          <w:tcPr>
            <w:tcW w:w="21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4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21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67" w:right="36"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116" w:type="dxa"/>
            <w:vMerge/>
            <w:tcBorders>
              <w:left w:val="single" w:sz="4" w:space="0" w:color="000000"/>
              <w:bottom w:val="nil" w:sz="6" w:space="0" w:color="auto"/>
              <w:right w:val="single" w:sz="4" w:space="0" w:color="000000"/>
            </w:tcBorders>
            <w:shd w:val="clear" w:color="auto" w:fill="D2D2D2"/>
          </w:tcPr>
          <w:p>
            <w:pPr/>
          </w:p>
        </w:tc>
        <w:tc>
          <w:tcPr>
            <w:tcW w:w="1716"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2116" w:type="dxa"/>
            <w:vMerge w:val="restart"/>
            <w:tcBorders>
              <w:top w:val="nil" w:sz="6" w:space="0" w:color="auto"/>
              <w:left w:val="single" w:sz="4" w:space="0" w:color="000000"/>
              <w:right w:val="single" w:sz="4" w:space="0" w:color="000000"/>
            </w:tcBorders>
            <w:shd w:val="clear" w:color="auto" w:fill="D2D2D2"/>
          </w:tcPr>
          <w:p>
            <w:pPr/>
          </w:p>
        </w:tc>
        <w:tc>
          <w:tcPr>
            <w:tcW w:w="17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16" w:type="dxa"/>
            <w:vMerge/>
            <w:tcBorders>
              <w:left w:val="single" w:sz="4" w:space="0" w:color="000000"/>
              <w:bottom w:val="single" w:sz="4" w:space="0" w:color="000000"/>
              <w:right w:val="single" w:sz="4" w:space="0" w:color="000000"/>
            </w:tcBorders>
            <w:shd w:val="clear" w:color="auto" w:fill="D2D2D2"/>
          </w:tcPr>
          <w:p>
            <w:pPr/>
          </w:p>
        </w:tc>
        <w:tc>
          <w:tcPr>
            <w:tcW w:w="1716"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97"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7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1,719.04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1,719.04</w:t>
            </w:r>
          </w:p>
        </w:tc>
      </w:tr>
      <w:tr>
        <w:trPr>
          <w:trHeight w:val="402"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7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1,719.04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1,719.04</w:t>
            </w:r>
          </w:p>
        </w:tc>
      </w:tr>
      <w:tr>
        <w:trPr>
          <w:trHeight w:val="714"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持续以公允价值计量的资 产总额</w:t>
            </w:r>
          </w:p>
        </w:tc>
        <w:tc>
          <w:tcPr>
            <w:tcW w:w="17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1,719.04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1,719.04</w:t>
            </w:r>
          </w:p>
        </w:tc>
      </w:tr>
      <w:tr>
        <w:trPr>
          <w:trHeight w:val="403" w:hRule="exact"/>
        </w:trPr>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9"/>
                <w:sz w:val="18"/>
                <w:szCs w:val="18"/>
              </w:rPr>
              <w:t>、</w:t>
            </w:r>
            <w:r>
              <w:rPr>
                <w:rFonts w:ascii="宋体" w:hAnsi="宋体" w:cs="宋体" w:eastAsia="宋体" w:hint="default"/>
                <w:sz w:val="18"/>
                <w:szCs w:val="18"/>
              </w:rPr>
              <w:t>非持续的公允价值计量</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97"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91"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590" w:lineRule="auto" w:before="44"/>
        <w:ind w:left="514" w:right="4632" w:hanging="360"/>
        <w:jc w:val="left"/>
      </w:pPr>
      <w:bookmarkStart w:name="2、持续和非持续第一层次公允价值计量项目市价的确定依据" w:id="419"/>
      <w:bookmarkEnd w:id="419"/>
      <w:r>
        <w:rPr/>
      </w:r>
      <w:r>
        <w:rPr>
          <w:rFonts w:ascii="Times New Roman" w:hAnsi="Times New Roman" w:cs="Times New Roman" w:eastAsia="Times New Roman" w:hint="default"/>
        </w:rPr>
        <w:t>2</w:t>
      </w:r>
      <w:r>
        <w:rPr/>
        <w:t>、持续和非持续第一层次公允价值计量项目市价的确定依据 公司以期末股票收盘价作为第一层次公允价值计量项目市价的确定依据。</w:t>
      </w:r>
    </w:p>
    <w:p>
      <w:pPr>
        <w:pStyle w:val="BodyText"/>
        <w:spacing w:line="602" w:lineRule="auto" w:before="115"/>
        <w:ind w:right="3463"/>
        <w:jc w:val="left"/>
      </w:pPr>
      <w:bookmarkStart w:name="3、持续和非持续第二层次公允价值计量项目，采用的估值技术和重要参数的定性及定量信" w:id="420"/>
      <w:bookmarkEnd w:id="420"/>
      <w:r>
        <w:rPr/>
      </w:r>
      <w:r>
        <w:rPr>
          <w:rFonts w:ascii="Times New Roman" w:hAnsi="Times New Roman" w:cs="Times New Roman" w:eastAsia="Times New Roman" w:hint="default"/>
        </w:rPr>
        <w:t>3</w:t>
      </w:r>
      <w:r>
        <w:rPr/>
        <w:t>、持续和非持续第二层次公允价值计量项目，采用的估值技术和重要参数的定性及定量信息 无。 </w:t>
      </w:r>
      <w:bookmarkStart w:name="4、持续和非持续第三层次公允价值计量项目，采用的估值技术和重要参数的定性及定量信" w:id="421"/>
      <w:bookmarkEnd w:id="421"/>
      <w:r>
        <w:rPr/>
      </w:r>
      <w:r>
        <w:rPr>
          <w:rFonts w:ascii="Times New Roman" w:hAnsi="Times New Roman" w:cs="Times New Roman" w:eastAsia="Times New Roman" w:hint="default"/>
        </w:rPr>
        <w:t>4</w:t>
      </w:r>
      <w:r>
        <w:rPr/>
        <w:t>、持续和非持续第三层次公允价值计量项目，采用的估值技术和重要参数的定性及定量信息 无。</w:t>
      </w:r>
    </w:p>
    <w:p>
      <w:pPr>
        <w:pStyle w:val="BodyText"/>
        <w:spacing w:line="590" w:lineRule="auto" w:before="104"/>
        <w:ind w:right="2743"/>
        <w:jc w:val="left"/>
      </w:pPr>
      <w:bookmarkStart w:name="5、持续的第三层次公允价值计量项目，期初与期末账面价值间的调节信息及不可观察参数" w:id="422"/>
      <w:bookmarkEnd w:id="422"/>
      <w:r>
        <w:rPr/>
      </w:r>
      <w:r>
        <w:rPr>
          <w:rFonts w:ascii="Times New Roman" w:hAnsi="Times New Roman" w:cs="Times New Roman" w:eastAsia="Times New Roman" w:hint="default"/>
        </w:rPr>
        <w:t>5</w:t>
      </w:r>
      <w:r>
        <w:rPr/>
        <w:t>、持续的第三层次公允价值计量项目，期初与期末账面价值间的调节信息及不可观察参数敏感性分析 无。</w:t>
      </w:r>
    </w:p>
    <w:p>
      <w:pPr>
        <w:pStyle w:val="BodyText"/>
        <w:spacing w:line="590" w:lineRule="auto" w:before="113"/>
        <w:ind w:right="3103"/>
        <w:jc w:val="left"/>
      </w:pPr>
      <w:bookmarkStart w:name="6、持续的公允价值计量项目，本期内发生各层级之间转换的，转换的原因及确定转换时点" w:id="423"/>
      <w:bookmarkEnd w:id="423"/>
      <w:r>
        <w:rPr/>
      </w:r>
      <w:r>
        <w:rPr>
          <w:rFonts w:ascii="Times New Roman" w:hAnsi="Times New Roman" w:cs="Times New Roman" w:eastAsia="Times New Roman" w:hint="default"/>
        </w:rPr>
        <w:t>6</w:t>
      </w:r>
      <w:r>
        <w:rPr/>
        <w:t>、持续的公允价值计量项目，本期内发生各层级之间转换的，转换的原因及确定转换时点的政策 无。</w:t>
      </w:r>
    </w:p>
    <w:p>
      <w:pPr>
        <w:pStyle w:val="BodyText"/>
        <w:spacing w:line="590" w:lineRule="auto" w:before="113"/>
        <w:ind w:left="154" w:right="7422"/>
        <w:jc w:val="left"/>
      </w:pPr>
      <w:bookmarkStart w:name="7、本期内发生的估值技术变更及变更原因" w:id="424"/>
      <w:bookmarkEnd w:id="424"/>
      <w:r>
        <w:rPr/>
      </w:r>
      <w:r>
        <w:rPr>
          <w:rFonts w:ascii="Times New Roman" w:hAnsi="Times New Roman" w:cs="Times New Roman" w:eastAsia="Times New Roman" w:hint="default"/>
        </w:rPr>
        <w:t>7</w:t>
      </w:r>
      <w:r>
        <w:rPr/>
        <w:t>、本期内发生的估值技术变更及变更原因 无。</w:t>
      </w:r>
    </w:p>
    <w:p>
      <w:pPr>
        <w:pStyle w:val="BodyText"/>
        <w:spacing w:line="592" w:lineRule="auto" w:before="114"/>
        <w:ind w:left="154" w:right="5982"/>
        <w:jc w:val="left"/>
      </w:pPr>
      <w:bookmarkStart w:name="8、不以公允价值计量的金融资产和金融负债的公允价值情况" w:id="425"/>
      <w:bookmarkEnd w:id="425"/>
      <w:r>
        <w:rPr/>
      </w:r>
      <w:r>
        <w:rPr>
          <w:rFonts w:ascii="Times New Roman" w:hAnsi="Times New Roman" w:cs="Times New Roman" w:eastAsia="Times New Roman" w:hint="default"/>
        </w:rPr>
        <w:t>8</w:t>
      </w:r>
      <w:r>
        <w:rPr/>
        <w:t>、不以公允价值计量的金融资产和金融负债的公允价值情况 无。</w:t>
      </w:r>
    </w:p>
    <w:p>
      <w:pPr>
        <w:pStyle w:val="BodyText"/>
        <w:spacing w:line="240" w:lineRule="auto" w:before="110"/>
        <w:ind w:left="154" w:right="0"/>
        <w:jc w:val="left"/>
      </w:pPr>
      <w:bookmarkStart w:name="9、其他" w:id="426"/>
      <w:bookmarkEnd w:id="426"/>
      <w:r>
        <w:rPr/>
      </w:r>
      <w:r>
        <w:rPr>
          <w:rFonts w:ascii="Times New Roman" w:hAnsi="Times New Roman" w:cs="Times New Roman" w:eastAsia="Times New Roman" w:hint="default"/>
        </w:rPr>
        <w:t>9</w:t>
      </w:r>
      <w:r>
        <w:rPr/>
        <w:t>、其他</w:t>
      </w:r>
    </w:p>
    <w:p>
      <w:pPr>
        <w:spacing w:line="240" w:lineRule="auto" w:before="3"/>
        <w:rPr>
          <w:rFonts w:ascii="宋体" w:hAnsi="宋体" w:cs="宋体" w:eastAsia="宋体" w:hint="default"/>
          <w:sz w:val="24"/>
          <w:szCs w:val="24"/>
        </w:rPr>
      </w:pPr>
    </w:p>
    <w:p>
      <w:pPr>
        <w:pStyle w:val="Heading2"/>
        <w:spacing w:line="240" w:lineRule="auto"/>
        <w:ind w:left="154" w:right="0"/>
        <w:jc w:val="left"/>
        <w:rPr>
          <w:b w:val="0"/>
          <w:bCs w:val="0"/>
        </w:rPr>
      </w:pPr>
      <w:bookmarkStart w:name="十二、关联方及关联交易" w:id="427"/>
      <w:bookmarkEnd w:id="427"/>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428"/>
      <w:bookmarkEnd w:id="42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北京东华诚信电脑 科技发展有限公司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20.26%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20.26%</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本企业的子公司情况" w:id="429"/>
      <w:bookmarkEnd w:id="42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本企业子公司的情况详见附注八</w:t>
      </w:r>
      <w:r>
        <w:rPr>
          <w:spacing w:val="-90"/>
        </w:rPr>
        <w:t>、</w:t>
      </w:r>
      <w:r>
        <w:rPr/>
        <w:t>（一</w:t>
      </w:r>
      <w:r>
        <w:rPr>
          <w:spacing w:val="-90"/>
        </w:rPr>
        <w:t>）</w:t>
      </w:r>
      <w:r>
        <w:rPr/>
        <w:t>。</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4"/>
        <w:spacing w:line="240" w:lineRule="auto" w:before="38"/>
        <w:ind w:right="0"/>
        <w:jc w:val="left"/>
        <w:rPr>
          <w:b w:val="0"/>
          <w:bCs w:val="0"/>
        </w:rPr>
      </w:pPr>
      <w:bookmarkStart w:name="3、本企业合营和联营企业情况" w:id="430"/>
      <w:bookmarkEnd w:id="430"/>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31"/>
      <w:bookmarkEnd w:id="43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北京东华诚信投资管理中心（有限合伙）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北京合创电商投资顾问中心（有限合伙）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深圳市贝尔加数据信息有限公司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  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本公司董事、总经理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  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李建国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夏金崇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本公司董事、副总经理</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5、关联交易情况" w:id="432"/>
      <w:bookmarkEnd w:id="43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left="154" w:right="0"/>
        <w:jc w:val="left"/>
      </w:pPr>
      <w:bookmarkStart w:name="（1）购销商品、提供和接受劳务的关联交易" w:id="433"/>
      <w:bookmarkEnd w:id="433"/>
      <w:r>
        <w:rPr/>
      </w:r>
      <w:r>
        <w:rPr/>
        <w:t>（</w:t>
      </w:r>
      <w:r>
        <w:rPr>
          <w:rFonts w:ascii="Times New Roman" w:hAnsi="Times New Roman" w:cs="Times New Roman" w:eastAsia="Times New Roman" w:hint="default"/>
        </w:rPr>
        <w:t>1</w:t>
      </w:r>
      <w:r>
        <w:rPr/>
        <w:t>）购销商品、提供和接受劳务的关联交易</w:t>
      </w:r>
    </w:p>
    <w:p>
      <w:pPr>
        <w:spacing w:line="240" w:lineRule="auto" w:before="13"/>
        <w:rPr>
          <w:rFonts w:ascii="宋体" w:hAnsi="宋体" w:cs="宋体" w:eastAsia="宋体" w:hint="default"/>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left"/>
      </w:pPr>
      <w:bookmarkStart w:name="（2）关联受托管理/承包及委托管理/出包情况" w:id="434"/>
      <w:bookmarkEnd w:id="434"/>
      <w:r>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p>
    <w:p>
      <w:pPr>
        <w:spacing w:line="240" w:lineRule="auto" w:before="12"/>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left"/>
      </w:pPr>
      <w:bookmarkStart w:name="（3）关联租赁情况" w:id="435"/>
      <w:bookmarkEnd w:id="435"/>
      <w:r>
        <w:rPr/>
      </w:r>
      <w:r>
        <w:rPr/>
        <w:t>（</w:t>
      </w:r>
      <w:r>
        <w:rPr>
          <w:rFonts w:ascii="Times New Roman" w:hAnsi="Times New Roman" w:cs="Times New Roman" w:eastAsia="Times New Roman" w:hint="default"/>
        </w:rPr>
        <w:t>3</w:t>
      </w:r>
      <w:r>
        <w:rPr/>
        <w:t>）关联租赁情况</w:t>
      </w:r>
    </w:p>
    <w:p>
      <w:pPr>
        <w:spacing w:line="240" w:lineRule="auto" w:before="12"/>
        <w:rPr>
          <w:rFonts w:ascii="宋体" w:hAnsi="宋体" w:cs="宋体" w:eastAsia="宋体" w:hint="default"/>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5"/>
        <w:spacing w:line="240" w:lineRule="auto"/>
        <w:ind w:right="0"/>
        <w:jc w:val="left"/>
      </w:pPr>
      <w:bookmarkStart w:name="（4）关联担保情况" w:id="436"/>
      <w:bookmarkEnd w:id="436"/>
      <w:r>
        <w:rPr/>
      </w:r>
      <w:r>
        <w:rPr/>
        <w:t>（</w:t>
      </w:r>
      <w:r>
        <w:rPr>
          <w:rFonts w:ascii="Times New Roman" w:hAnsi="Times New Roman" w:cs="Times New Roman" w:eastAsia="Times New Roman" w:hint="default"/>
        </w:rPr>
        <w:t>4</w:t>
      </w:r>
      <w:r>
        <w:rPr/>
        <w:t>）关联担保情况</w:t>
      </w:r>
    </w:p>
    <w:p>
      <w:pPr>
        <w:spacing w:line="240" w:lineRule="auto" w:before="8"/>
        <w:rPr>
          <w:rFonts w:ascii="宋体" w:hAnsi="宋体" w:cs="宋体" w:eastAsia="宋体" w:hint="default"/>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1419"/>
        <w:gridCol w:w="1842"/>
        <w:gridCol w:w="1419"/>
        <w:gridCol w:w="1914"/>
      </w:tblGrid>
      <w:tr>
        <w:trPr>
          <w:trHeight w:val="401" w:hRule="exact"/>
        </w:trPr>
        <w:tc>
          <w:tcPr>
            <w:tcW w:w="297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5"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京威锐达测控系统有限公司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8"/>
        <w:gridCol w:w="1419"/>
        <w:gridCol w:w="1842"/>
        <w:gridCol w:w="1419"/>
        <w:gridCol w:w="1914"/>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北京联银通科技有限公司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北京东华合创科技有限公司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北京神州新桥科技有限公司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深圳市至高通信技术发展有限公司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both"/>
      </w:pPr>
      <w:r>
        <w:rPr/>
        <w:t>关联担保情况说明</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rFonts w:ascii="Times New Roman" w:hAnsi="Times New Roman" w:cs="Times New Roman" w:eastAsia="Times New Roman" w:hint="default"/>
          <w:spacing w:val="8"/>
        </w:rPr>
        <w:t>1</w:t>
      </w:r>
      <w:r>
        <w:rPr>
          <w:spacing w:val="8"/>
        </w:rPr>
        <w:t>、</w:t>
      </w:r>
      <w:r>
        <w:rPr>
          <w:rFonts w:ascii="Times New Roman" w:hAnsi="Times New Roman" w:cs="Times New Roman" w:eastAsia="Times New Roman" w:hint="default"/>
          <w:spacing w:val="8"/>
        </w:rPr>
        <w:t>2017</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06</w:t>
      </w:r>
      <w:r>
        <w:rPr>
          <w:spacing w:val="8"/>
        </w:rPr>
        <w:t>号，公司与中国民生银行股份有限公司北京分行签订的《最高额保证合同》（编号</w:t>
      </w:r>
      <w:r>
        <w:rPr>
          <w:rFonts w:ascii="Times New Roman" w:hAnsi="Times New Roman" w:cs="Times New Roman" w:eastAsia="Times New Roman" w:hint="default"/>
          <w:spacing w:val="8"/>
        </w:rPr>
        <w:t>“</w:t>
      </w:r>
      <w:r>
        <w:rPr>
          <w:spacing w:val="8"/>
        </w:rPr>
        <w:t>公高保字第</w:t>
      </w:r>
    </w:p>
    <w:p>
      <w:pPr>
        <w:pStyle w:val="BodyText"/>
        <w:spacing w:line="302" w:lineRule="auto" w:before="63"/>
        <w:ind w:right="1129"/>
        <w:jc w:val="both"/>
      </w:pPr>
      <w:r>
        <w:rPr>
          <w:rFonts w:ascii="Times New Roman" w:hAnsi="Times New Roman" w:cs="Times New Roman" w:eastAsia="Times New Roman" w:hint="default"/>
          <w:spacing w:val="-1"/>
        </w:rPr>
        <w:t>1700000140028</w:t>
      </w:r>
      <w:r>
        <w:rPr>
          <w:spacing w:val="-1"/>
        </w:rPr>
        <w:t>号</w:t>
      </w:r>
      <w:r>
        <w:rPr>
          <w:rFonts w:ascii="Times New Roman" w:hAnsi="Times New Roman" w:cs="Times New Roman" w:eastAsia="Times New Roman" w:hint="default"/>
          <w:spacing w:val="-1"/>
        </w:rPr>
        <w:t>”</w:t>
      </w:r>
      <w:r>
        <w:rPr>
          <w:spacing w:val="-1"/>
        </w:rPr>
        <w:t>），为公司与该行签订的编号为</w:t>
      </w:r>
      <w:r>
        <w:rPr>
          <w:rFonts w:ascii="Times New Roman" w:hAnsi="Times New Roman" w:cs="Times New Roman" w:eastAsia="Times New Roman" w:hint="default"/>
          <w:spacing w:val="-1"/>
        </w:rPr>
        <w:t>“</w:t>
      </w:r>
      <w:r>
        <w:rPr>
          <w:spacing w:val="-1"/>
        </w:rPr>
        <w:t>公授信字第</w:t>
      </w:r>
      <w:r>
        <w:rPr>
          <w:rFonts w:ascii="Times New Roman" w:hAnsi="Times New Roman" w:cs="Times New Roman" w:eastAsia="Times New Roman" w:hint="default"/>
          <w:spacing w:val="-1"/>
        </w:rPr>
        <w:t>1700000140028</w:t>
      </w:r>
      <w:r>
        <w:rPr>
          <w:spacing w:val="-1"/>
        </w:rPr>
        <w:t>号</w:t>
      </w:r>
      <w:r>
        <w:rPr>
          <w:rFonts w:ascii="Times New Roman" w:hAnsi="Times New Roman" w:cs="Times New Roman" w:eastAsia="Times New Roman" w:hint="default"/>
          <w:spacing w:val="-1"/>
        </w:rPr>
        <w:t>”</w:t>
      </w:r>
      <w:r>
        <w:rPr>
          <w:spacing w:val="-1"/>
        </w:rPr>
        <w:t>《综合授信合同》项下公司所属子公司</w:t>
      </w:r>
      <w:r>
        <w:rPr>
          <w:rFonts w:ascii="Times New Roman" w:hAnsi="Times New Roman" w:cs="Times New Roman" w:eastAsia="Times New Roman" w:hint="default"/>
          <w:spacing w:val="-1"/>
        </w:rPr>
        <w:t>-</w:t>
      </w:r>
      <w:r>
        <w:rPr>
          <w:spacing w:val="-1"/>
        </w:rPr>
        <w:t>北</w:t>
      </w:r>
      <w:r>
        <w:rPr>
          <w:spacing w:val="-44"/>
        </w:rPr>
        <w:t> </w:t>
      </w:r>
      <w:r>
        <w:rPr>
          <w:spacing w:val="-2"/>
        </w:rPr>
        <w:t>京东华合创科技有限公司、北京银联通科技有限公司、北京神州新桥科技有限公司、北京威锐达测控系统有限公司在该行的</w:t>
      </w:r>
      <w:r>
        <w:rPr>
          <w:spacing w:val="-66"/>
        </w:rPr>
        <w:t> </w:t>
      </w:r>
      <w:r>
        <w:rPr>
          <w:spacing w:val="-66"/>
        </w:rPr>
      </w:r>
      <w:r>
        <w:rPr/>
        <w:t>全部债务提供最高额保证，保证期限为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05</w:t>
      </w:r>
      <w:r>
        <w:rPr/>
        <w:t>日，北京东华合创科技有限公司最高限额为</w:t>
      </w:r>
      <w:r>
        <w:rPr>
          <w:rFonts w:ascii="Times New Roman" w:hAnsi="Times New Roman" w:cs="Times New Roman" w:eastAsia="Times New Roman" w:hint="default"/>
        </w:rPr>
        <w:t>5,000</w:t>
      </w:r>
      <w:r>
        <w:rPr/>
        <w:t>万</w:t>
      </w:r>
      <w:r>
        <w:rPr>
          <w:spacing w:val="-44"/>
        </w:rPr>
        <w:t> </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日，北京东华合创科技有限公司在该合同项下未结清的保函金额</w:t>
      </w:r>
      <w:r>
        <w:rPr>
          <w:rFonts w:ascii="Times New Roman" w:hAnsi="Times New Roman" w:cs="Times New Roman" w:eastAsia="Times New Roman" w:hint="default"/>
        </w:rPr>
        <w:t>8,813,061.58</w:t>
      </w:r>
      <w:r>
        <w:rPr/>
        <w:t>元，在该合同项下借款</w:t>
      </w:r>
      <w:r>
        <w:rPr>
          <w:spacing w:val="-49"/>
        </w:rPr>
        <w:t> </w:t>
      </w:r>
      <w:r>
        <w:rPr>
          <w:spacing w:val="-49"/>
        </w:rPr>
      </w:r>
      <w:r>
        <w:rPr>
          <w:spacing w:val="-1"/>
        </w:rPr>
        <w:t>余额为</w:t>
      </w:r>
      <w:r>
        <w:rPr>
          <w:rFonts w:ascii="Times New Roman" w:hAnsi="Times New Roman" w:cs="Times New Roman" w:eastAsia="Times New Roman" w:hint="default"/>
          <w:spacing w:val="-1"/>
        </w:rPr>
        <w:t>13,212,693.00</w:t>
      </w:r>
      <w:r>
        <w:rPr>
          <w:spacing w:val="-1"/>
        </w:rPr>
        <w:t>，未结清银行承兑汇票余额为</w:t>
      </w:r>
      <w:r>
        <w:rPr>
          <w:rFonts w:ascii="Times New Roman" w:hAnsi="Times New Roman" w:cs="Times New Roman" w:eastAsia="Times New Roman" w:hint="default"/>
          <w:spacing w:val="-1"/>
        </w:rPr>
        <w:t>19,818,725.62</w:t>
      </w:r>
      <w:r>
        <w:rPr>
          <w:spacing w:val="-1"/>
        </w:rPr>
        <w:t>；北京联银通科技有限公司最高限额为</w:t>
      </w:r>
      <w:r>
        <w:rPr>
          <w:rFonts w:ascii="Times New Roman" w:hAnsi="Times New Roman" w:cs="Times New Roman" w:eastAsia="Times New Roman" w:hint="default"/>
          <w:spacing w:val="-1"/>
        </w:rPr>
        <w:t>5,000</w:t>
      </w:r>
      <w:r>
        <w:rPr>
          <w:spacing w:val="-1"/>
        </w:rPr>
        <w:t>万元，截至</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日，北京联银通科技有限公司在该合同项下未结清的保函金额</w:t>
      </w:r>
      <w:r>
        <w:rPr>
          <w:rFonts w:ascii="Times New Roman" w:hAnsi="Times New Roman" w:cs="Times New Roman" w:eastAsia="Times New Roman" w:hint="default"/>
        </w:rPr>
        <w:t>176,250.00</w:t>
      </w:r>
      <w:r>
        <w:rPr/>
        <w:t>元；北京神州新桥科技有限公司最高限额</w:t>
      </w:r>
      <w:r>
        <w:rPr>
          <w:spacing w:val="-85"/>
        </w:rPr>
        <w:t> </w:t>
      </w:r>
      <w:r>
        <w:rPr>
          <w:spacing w:val="-85"/>
        </w:rPr>
      </w:r>
      <w:r>
        <w:rPr/>
        <w:t>为</w:t>
      </w:r>
      <w:r>
        <w:rPr>
          <w:rFonts w:ascii="Times New Roman" w:hAnsi="Times New Roman" w:cs="Times New Roman" w:eastAsia="Times New Roman" w:hint="default"/>
        </w:rPr>
        <w:t>15,000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日，北京神州新桥科技有限公司在该合同项下借款余额为</w:t>
      </w:r>
      <w:r>
        <w:rPr>
          <w:rFonts w:ascii="Times New Roman" w:hAnsi="Times New Roman" w:cs="Times New Roman" w:eastAsia="Times New Roman" w:hint="default"/>
        </w:rPr>
        <w:t>73,460,668.67</w:t>
      </w:r>
      <w:r>
        <w:rPr/>
        <w:t>元，未结清的保函</w:t>
      </w:r>
      <w:r>
        <w:rPr>
          <w:spacing w:val="-86"/>
        </w:rPr>
        <w:t> </w:t>
      </w:r>
      <w:r>
        <w:rPr/>
        <w:t>金额</w:t>
      </w:r>
      <w:r>
        <w:rPr>
          <w:rFonts w:ascii="Times New Roman" w:hAnsi="Times New Roman" w:cs="Times New Roman" w:eastAsia="Times New Roman" w:hint="default"/>
        </w:rPr>
        <w:t>313,039.60</w:t>
      </w:r>
      <w:r>
        <w:rPr/>
        <w:t>元。</w:t>
      </w:r>
    </w:p>
    <w:p>
      <w:pPr>
        <w:pStyle w:val="BodyText"/>
        <w:spacing w:line="300" w:lineRule="auto" w:before="131"/>
        <w:ind w:right="1129" w:firstLine="360"/>
        <w:jc w:val="both"/>
      </w:pPr>
      <w:r>
        <w:rPr>
          <w:rFonts w:ascii="Times New Roman" w:hAnsi="Times New Roman" w:cs="Times New Roman" w:eastAsia="Times New Roman" w:hint="default"/>
        </w:rPr>
        <w:t>2</w:t>
      </w:r>
      <w:r>
        <w:rPr/>
        <w:t>、</w:t>
      </w:r>
      <w:r>
        <w:rPr>
          <w:spacing w:val="-14"/>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28</w:t>
      </w:r>
      <w:r>
        <w:rPr/>
        <w:t>日，公司与广发银行股份有限公司北京奥运村支行签订的编号为</w:t>
      </w:r>
      <w:r>
        <w:rPr>
          <w:rFonts w:ascii="Times New Roman" w:hAnsi="Times New Roman" w:cs="Times New Roman" w:eastAsia="Times New Roman" w:hint="default"/>
        </w:rPr>
        <w:t>“2717CF001”</w:t>
      </w:r>
      <w:r>
        <w:rPr/>
        <w:t>的《授信额度合同》提 </w:t>
      </w:r>
      <w:r>
        <w:rPr>
          <w:spacing w:val="-1"/>
        </w:rPr>
        <w:t>供连带责任保证，保证期限为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03</w:t>
      </w:r>
      <w:r>
        <w:rPr>
          <w:spacing w:val="-1"/>
        </w:rPr>
        <w:t>月</w:t>
      </w:r>
      <w:r>
        <w:rPr>
          <w:rFonts w:ascii="Times New Roman" w:hAnsi="Times New Roman" w:cs="Times New Roman" w:eastAsia="Times New Roman" w:hint="default"/>
          <w:spacing w:val="-1"/>
        </w:rPr>
        <w:t>28</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03</w:t>
      </w:r>
      <w:r>
        <w:rPr>
          <w:spacing w:val="-1"/>
        </w:rPr>
        <w:t>月</w:t>
      </w:r>
      <w:r>
        <w:rPr>
          <w:rFonts w:ascii="Times New Roman" w:hAnsi="Times New Roman" w:cs="Times New Roman" w:eastAsia="Times New Roman" w:hint="default"/>
          <w:spacing w:val="-1"/>
        </w:rPr>
        <w:t>27</w:t>
      </w:r>
      <w:r>
        <w:rPr>
          <w:spacing w:val="-1"/>
        </w:rPr>
        <w:t>日，北京神州新桥科技有限公司最高限额为</w:t>
      </w:r>
      <w:r>
        <w:rPr>
          <w:rFonts w:ascii="Times New Roman" w:hAnsi="Times New Roman" w:cs="Times New Roman" w:eastAsia="Times New Roman" w:hint="default"/>
          <w:spacing w:val="-1"/>
        </w:rPr>
        <w:t>10,000</w:t>
      </w:r>
      <w:r>
        <w:rPr>
          <w:spacing w:val="-1"/>
        </w:rPr>
        <w:t>万元，北京</w:t>
      </w:r>
      <w:r>
        <w:rPr>
          <w:spacing w:val="-66"/>
        </w:rPr>
        <w:t> </w:t>
      </w:r>
      <w:r>
        <w:rPr>
          <w:spacing w:val="-66"/>
        </w:rPr>
      </w:r>
      <w:r>
        <w:rPr/>
        <w:t>东华合创科技有限公司和北京联银通科技有限公司最高限额均为</w:t>
      </w:r>
      <w:r>
        <w:rPr>
          <w:rFonts w:ascii="Times New Roman" w:hAnsi="Times New Roman" w:cs="Times New Roman" w:eastAsia="Times New Roman" w:hint="default"/>
        </w:rPr>
        <w:t>1,000</w:t>
      </w:r>
      <w:r>
        <w:rPr/>
        <w:t>万。截至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日，北京东华合创科技有限公</w:t>
      </w:r>
      <w:r>
        <w:rPr>
          <w:spacing w:val="-45"/>
        </w:rPr>
        <w:t> </w:t>
      </w:r>
      <w:r>
        <w:rPr>
          <w:spacing w:val="-45"/>
        </w:rPr>
      </w:r>
      <w:r>
        <w:rPr/>
        <w:t>司在该行未结清的保函余额为</w:t>
      </w:r>
      <w:r>
        <w:rPr>
          <w:rFonts w:ascii="Times New Roman" w:hAnsi="Times New Roman" w:cs="Times New Roman" w:eastAsia="Times New Roman" w:hint="default"/>
        </w:rPr>
        <w:t>6,000,697.05</w:t>
      </w:r>
      <w:r>
        <w:rPr/>
        <w:t>元，未结清银行承兑汇票余额为</w:t>
      </w:r>
      <w:r>
        <w:rPr>
          <w:rFonts w:ascii="Times New Roman" w:hAnsi="Times New Roman" w:cs="Times New Roman" w:eastAsia="Times New Roman" w:hint="default"/>
        </w:rPr>
        <w:t>2,303,560.00</w:t>
      </w:r>
      <w:r>
        <w:rPr/>
        <w:t>元；北京神州新桥科技有限公司在该</w:t>
      </w:r>
      <w:r>
        <w:rPr>
          <w:spacing w:val="-87"/>
        </w:rPr>
        <w:t> </w:t>
      </w:r>
      <w:r>
        <w:rPr>
          <w:spacing w:val="-87"/>
        </w:rPr>
      </w:r>
      <w:r>
        <w:rPr>
          <w:spacing w:val="-1"/>
        </w:rPr>
        <w:t>行未结清银行承兑汇票余额为</w:t>
      </w:r>
      <w:r>
        <w:rPr>
          <w:rFonts w:ascii="Times New Roman" w:hAnsi="Times New Roman" w:cs="Times New Roman" w:eastAsia="Times New Roman" w:hint="default"/>
          <w:spacing w:val="-1"/>
        </w:rPr>
        <w:t>37,997,661.11</w:t>
      </w:r>
      <w:r>
        <w:rPr>
          <w:spacing w:val="-1"/>
        </w:rPr>
        <w:t>元，未结清的保函余额为</w:t>
      </w:r>
      <w:r>
        <w:rPr>
          <w:rFonts w:ascii="Times New Roman" w:hAnsi="Times New Roman" w:cs="Times New Roman" w:eastAsia="Times New Roman" w:hint="default"/>
          <w:spacing w:val="-1"/>
        </w:rPr>
        <w:t>6,658,504.53</w:t>
      </w:r>
      <w:r>
        <w:rPr>
          <w:spacing w:val="-1"/>
        </w:rPr>
        <w:t>元，借款余额为</w:t>
      </w:r>
      <w:r>
        <w:rPr>
          <w:rFonts w:ascii="Times New Roman" w:hAnsi="Times New Roman" w:cs="Times New Roman" w:eastAsia="Times New Roman" w:hint="default"/>
          <w:spacing w:val="-1"/>
        </w:rPr>
        <w:t>49,992,001.42</w:t>
      </w:r>
      <w:r>
        <w:rPr>
          <w:spacing w:val="-1"/>
        </w:rPr>
        <w:t>元；北京联银</w:t>
      </w:r>
      <w:r>
        <w:rPr>
          <w:spacing w:val="-65"/>
        </w:rPr>
        <w:t> </w:t>
      </w:r>
      <w:r>
        <w:rPr>
          <w:spacing w:val="-65"/>
        </w:rPr>
      </w:r>
      <w:r>
        <w:rPr/>
        <w:t>通科技有限公司在该行未结清的保函余额为</w:t>
      </w:r>
      <w:r>
        <w:rPr>
          <w:rFonts w:ascii="Times New Roman" w:hAnsi="Times New Roman" w:cs="Times New Roman" w:eastAsia="Times New Roman" w:hint="default"/>
        </w:rPr>
        <w:t>1,335,200.00</w:t>
      </w:r>
      <w:r>
        <w:rPr/>
        <w:t>元。</w:t>
      </w:r>
    </w:p>
    <w:p>
      <w:pPr>
        <w:pStyle w:val="BodyText"/>
        <w:spacing w:line="300" w:lineRule="auto" w:before="133"/>
        <w:ind w:right="1132"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03</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spacing w:val="37"/>
        </w:rPr>
        <w:t>号，公司通过中国建设银行股份有限公司北京市分行的信用额度审批，批</w:t>
      </w:r>
      <w:r>
        <w:rPr>
          <w:spacing w:val="-48"/>
        </w:rPr>
        <w:t> </w:t>
      </w:r>
      <w:r>
        <w:rPr/>
        <w:t>复</w:t>
      </w:r>
      <w:r>
        <w:rPr>
          <w:spacing w:val="-48"/>
        </w:rPr>
        <w:t> </w:t>
      </w:r>
      <w:r>
        <w:rPr/>
        <w:t>编</w:t>
      </w:r>
      <w:r>
        <w:rPr>
          <w:spacing w:val="-48"/>
        </w:rPr>
        <w:t> </w:t>
      </w:r>
      <w:r>
        <w:rPr/>
        <w:t>号</w:t>
      </w:r>
      <w:r>
        <w:rPr/>
        <w:t> </w:t>
      </w:r>
      <w:r>
        <w:rPr>
          <w:rFonts w:ascii="Times New Roman" w:hAnsi="Times New Roman" w:cs="Times New Roman" w:eastAsia="Times New Roman" w:hint="default"/>
          <w:spacing w:val="-2"/>
        </w:rPr>
        <w:t>PIFU110000000N201704811</w:t>
      </w:r>
      <w:r>
        <w:rPr>
          <w:spacing w:val="-2"/>
        </w:rPr>
        <w:t>。同意给予公司所属子公司</w:t>
      </w:r>
      <w:r>
        <w:rPr>
          <w:rFonts w:ascii="Times New Roman" w:hAnsi="Times New Roman" w:cs="Times New Roman" w:eastAsia="Times New Roman" w:hint="default"/>
          <w:spacing w:val="-2"/>
        </w:rPr>
        <w:t>-</w:t>
      </w:r>
      <w:r>
        <w:rPr>
          <w:spacing w:val="-2"/>
        </w:rPr>
        <w:t>北京神州新桥科技有限公司信用额度</w:t>
      </w:r>
      <w:r>
        <w:rPr>
          <w:rFonts w:ascii="Times New Roman" w:hAnsi="Times New Roman" w:cs="Times New Roman" w:eastAsia="Times New Roman" w:hint="default"/>
          <w:spacing w:val="-2"/>
        </w:rPr>
        <w:t>14,800</w:t>
      </w:r>
      <w:r>
        <w:rPr>
          <w:spacing w:val="-2"/>
        </w:rPr>
        <w:t>万元，由母公司东华软件</w:t>
      </w:r>
      <w:r>
        <w:rPr>
          <w:spacing w:val="-35"/>
        </w:rPr>
        <w:t> </w:t>
      </w:r>
      <w:r>
        <w:rPr>
          <w:spacing w:val="-35"/>
        </w:rPr>
      </w:r>
      <w:r>
        <w:rPr>
          <w:spacing w:val="-2"/>
        </w:rPr>
        <w:t>股份公司提供最高额保证担保。期限为</w:t>
      </w:r>
      <w:r>
        <w:rPr>
          <w:rFonts w:ascii="Times New Roman" w:hAnsi="Times New Roman" w:cs="Times New Roman" w:eastAsia="Times New Roman" w:hint="default"/>
          <w:spacing w:val="-2"/>
        </w:rPr>
        <w:t>24</w:t>
      </w:r>
      <w:r>
        <w:rPr>
          <w:spacing w:val="-2"/>
        </w:rPr>
        <w:t>个月。截至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日，北京神州新桥科技有限公司在该授信额度下借款余额</w:t>
      </w:r>
      <w:r>
        <w:rPr>
          <w:spacing w:val="-57"/>
        </w:rPr>
        <w:t> </w:t>
      </w:r>
      <w:r>
        <w:rPr>
          <w:spacing w:val="-57"/>
        </w:rPr>
      </w:r>
      <w:r>
        <w:rPr/>
        <w:t>为</w:t>
      </w:r>
      <w:r>
        <w:rPr>
          <w:rFonts w:ascii="Times New Roman" w:hAnsi="Times New Roman" w:cs="Times New Roman" w:eastAsia="Times New Roman" w:hint="default"/>
        </w:rPr>
        <w:t>4,000</w:t>
      </w:r>
      <w:r>
        <w:rPr/>
        <w:t>万元，未结清的保函余额为</w:t>
      </w:r>
      <w:r>
        <w:rPr>
          <w:rFonts w:ascii="Times New Roman" w:hAnsi="Times New Roman" w:cs="Times New Roman" w:eastAsia="Times New Roman" w:hint="default"/>
        </w:rPr>
        <w:t>4,821,664.11</w:t>
      </w:r>
      <w:r>
        <w:rPr/>
        <w:t>元。</w:t>
      </w:r>
    </w:p>
    <w:p>
      <w:pPr>
        <w:pStyle w:val="BodyText"/>
        <w:spacing w:line="304" w:lineRule="auto" w:before="133"/>
        <w:ind w:right="0" w:firstLine="36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号，公司与招商银行股份有限公司北京万寿路支行签订了《授信协议》（编号：</w:t>
      </w:r>
      <w:r>
        <w:rPr>
          <w:rFonts w:ascii="Times New Roman" w:hAnsi="Times New Roman" w:cs="Times New Roman" w:eastAsia="Times New Roman" w:hint="default"/>
        </w:rPr>
        <w:t>2016</w:t>
      </w:r>
      <w:r>
        <w:rPr/>
        <w:t>年万授字第</w:t>
      </w:r>
      <w:r>
        <w:rPr>
          <w:rFonts w:ascii="Times New Roman" w:hAnsi="Times New Roman" w:cs="Times New Roman" w:eastAsia="Times New Roman" w:hint="default"/>
        </w:rPr>
        <w:t>027 </w:t>
      </w:r>
      <w:r>
        <w:rPr>
          <w:spacing w:val="-4"/>
        </w:rPr>
        <w:t>号），其中补充协议同意公司下属子公司占用母公司额度。子公司北京东华合创科技有限公司使用不超过人民币叁仟万元整，</w:t>
      </w:r>
      <w:r>
        <w:rPr>
          <w:spacing w:val="-43"/>
        </w:rPr>
        <w:t> </w:t>
      </w:r>
      <w:r>
        <w:rPr>
          <w:spacing w:val="-43"/>
        </w:rPr>
      </w:r>
      <w:r>
        <w:rPr/>
        <w:t>北京神州新桥科技有限公司使用不超过人民币伍仟万元整。授信期限</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日起到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日止。截至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7"/>
        </w:rPr>
        <w:t> </w:t>
      </w:r>
      <w:r>
        <w:rPr/>
        <w:t>月</w:t>
      </w:r>
      <w:r>
        <w:rPr>
          <w:rFonts w:ascii="Times New Roman" w:hAnsi="Times New Roman" w:cs="Times New Roman" w:eastAsia="Times New Roman" w:hint="default"/>
        </w:rPr>
        <w:t>31</w:t>
      </w:r>
      <w:r>
        <w:rPr/>
        <w:t>日，北京东华合创科技有限公司在该合同项下未结清保函金额</w:t>
      </w:r>
      <w:r>
        <w:rPr>
          <w:rFonts w:ascii="Times New Roman" w:hAnsi="Times New Roman" w:cs="Times New Roman" w:eastAsia="Times New Roman" w:hint="default"/>
        </w:rPr>
        <w:t>281,960.00</w:t>
      </w:r>
      <w:r>
        <w:rPr/>
        <w:t>元，北京神州新桥科技有限公司在该合同项下</w:t>
      </w:r>
      <w:r>
        <w:rPr>
          <w:spacing w:val="-84"/>
        </w:rPr>
        <w:t> </w:t>
      </w:r>
      <w:r>
        <w:rPr>
          <w:spacing w:val="-84"/>
        </w:rPr>
      </w:r>
      <w:r>
        <w:rPr/>
        <w:t>借款余额为</w:t>
      </w:r>
      <w:r>
        <w:rPr>
          <w:rFonts w:ascii="Times New Roman" w:hAnsi="Times New Roman" w:cs="Times New Roman" w:eastAsia="Times New Roman" w:hint="default"/>
        </w:rPr>
        <w:t>2,800</w:t>
      </w:r>
      <w:r>
        <w:rPr/>
        <w:t>万元，未结清保函金额为</w:t>
      </w:r>
      <w:r>
        <w:rPr>
          <w:rFonts w:ascii="Times New Roman" w:hAnsi="Times New Roman" w:cs="Times New Roman" w:eastAsia="Times New Roman" w:hint="default"/>
        </w:rPr>
        <w:t>31,877,675.00</w:t>
      </w:r>
      <w:r>
        <w:rPr/>
        <w:t>元。</w:t>
      </w:r>
    </w:p>
    <w:p>
      <w:pPr>
        <w:pStyle w:val="BodyText"/>
        <w:spacing w:line="300" w:lineRule="auto" w:before="129"/>
        <w:ind w:right="1130" w:firstLine="360"/>
        <w:jc w:val="both"/>
      </w:pPr>
      <w:r>
        <w:rPr>
          <w:rFonts w:ascii="宋体" w:hAnsi="宋体" w:cs="宋体" w:eastAsia="宋体" w:hint="default"/>
          <w:spacing w:val="-1"/>
        </w:rPr>
        <w:t>5</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17</w:t>
      </w:r>
      <w:r>
        <w:rPr>
          <w:spacing w:val="-1"/>
        </w:rPr>
        <w:t>日，公司与中国工商银行股份有限公司深圳上步支行签订编号为</w:t>
      </w:r>
      <w:r>
        <w:rPr>
          <w:rFonts w:ascii="Times New Roman" w:hAnsi="Times New Roman" w:cs="Times New Roman" w:eastAsia="Times New Roman" w:hint="default"/>
          <w:spacing w:val="-1"/>
        </w:rPr>
        <w:t>“0400000007</w:t>
      </w:r>
      <w:r>
        <w:rPr>
          <w:rFonts w:ascii="Times New Roman" w:hAnsi="Times New Roman" w:cs="Times New Roman" w:eastAsia="Times New Roman" w:hint="default"/>
          <w:spacing w:val="-1"/>
        </w:rPr>
        <w:t>-2017</w:t>
      </w:r>
      <w:r>
        <w:rPr>
          <w:spacing w:val="-1"/>
        </w:rPr>
        <w:t>年上步（保）字</w:t>
      </w:r>
      <w:r>
        <w:rPr>
          <w:rFonts w:ascii="Times New Roman" w:hAnsi="Times New Roman" w:cs="Times New Roman" w:eastAsia="Times New Roman" w:hint="default"/>
          <w:spacing w:val="-1"/>
        </w:rPr>
        <w:t>0001</w:t>
      </w:r>
      <w:r>
        <w:rPr>
          <w:rFonts w:ascii="Times New Roman" w:hAnsi="Times New Roman" w:cs="Times New Roman" w:eastAsia="Times New Roman" w:hint="default"/>
        </w:rPr>
        <w:t> </w:t>
      </w:r>
      <w:r>
        <w:rPr>
          <w:spacing w:val="9"/>
        </w:rPr>
        <w:t>号</w:t>
      </w:r>
      <w:r>
        <w:rPr>
          <w:rFonts w:ascii="Times New Roman" w:hAnsi="Times New Roman" w:cs="Times New Roman" w:eastAsia="Times New Roman" w:hint="default"/>
          <w:spacing w:val="9"/>
        </w:rPr>
        <w:t>”</w:t>
      </w:r>
      <w:r>
        <w:rPr>
          <w:spacing w:val="9"/>
        </w:rPr>
        <w:t>《最高额保证合同》，</w:t>
      </w:r>
      <w:r>
        <w:rPr>
          <w:rFonts w:ascii="Times New Roman" w:hAnsi="Times New Roman" w:cs="Times New Roman" w:eastAsia="Times New Roman" w:hint="default"/>
          <w:spacing w:val="9"/>
        </w:rPr>
        <w:t>2017</w:t>
      </w:r>
      <w:r>
        <w:rPr>
          <w:spacing w:val="9"/>
        </w:rPr>
        <w:t>年</w:t>
      </w:r>
      <w:r>
        <w:rPr>
          <w:rFonts w:ascii="Times New Roman" w:hAnsi="Times New Roman" w:cs="Times New Roman" w:eastAsia="Times New Roman" w:hint="default"/>
          <w:spacing w:val="9"/>
        </w:rPr>
        <w:t>10</w:t>
      </w:r>
      <w:r>
        <w:rPr>
          <w:spacing w:val="9"/>
        </w:rPr>
        <w:t>月</w:t>
      </w:r>
      <w:r>
        <w:rPr>
          <w:rFonts w:ascii="Times New Roman" w:hAnsi="Times New Roman" w:cs="Times New Roman" w:eastAsia="Times New Roman" w:hint="default"/>
          <w:spacing w:val="9"/>
        </w:rPr>
        <w:t>30</w:t>
      </w:r>
      <w:r>
        <w:rPr>
          <w:spacing w:val="9"/>
        </w:rPr>
        <w:t>日，公司股东章云芳与中国工商银行股份有限公司深圳上步支行签订编号为</w:t>
      </w:r>
      <w:r>
        <w:rPr>
          <w:spacing w:val="-68"/>
        </w:rPr>
        <w:t> </w:t>
      </w:r>
      <w:r>
        <w:rPr>
          <w:spacing w:val="-68"/>
        </w:rPr>
      </w:r>
      <w:r>
        <w:rPr>
          <w:rFonts w:ascii="Times New Roman" w:hAnsi="Times New Roman" w:cs="Times New Roman" w:eastAsia="Times New Roman" w:hint="default"/>
        </w:rPr>
        <w:t>“0400000007</w:t>
      </w:r>
      <w:r>
        <w:rPr>
          <w:rFonts w:ascii="Times New Roman" w:hAnsi="Times New Roman" w:cs="Times New Roman" w:eastAsia="Times New Roman" w:hint="default"/>
        </w:rPr>
        <w:t>-2017</w:t>
      </w:r>
      <w:r>
        <w:rPr/>
        <w:t>年上步（高保）字</w:t>
      </w:r>
      <w:r>
        <w:rPr>
          <w:rFonts w:ascii="Times New Roman" w:hAnsi="Times New Roman" w:cs="Times New Roman" w:eastAsia="Times New Roman" w:hint="default"/>
        </w:rPr>
        <w:t>00106</w:t>
      </w:r>
      <w:r>
        <w:rPr/>
        <w:t>号</w:t>
      </w:r>
      <w:r>
        <w:rPr>
          <w:rFonts w:ascii="Times New Roman" w:hAnsi="Times New Roman" w:cs="Times New Roman" w:eastAsia="Times New Roman" w:hint="default"/>
        </w:rPr>
        <w:t>”</w:t>
      </w:r>
      <w:r>
        <w:rPr/>
        <w:t>《最高额保证合同》，共同为公司所属子公司</w:t>
      </w:r>
      <w:r>
        <w:rPr>
          <w:rFonts w:ascii="Times New Roman" w:hAnsi="Times New Roman" w:cs="Times New Roman" w:eastAsia="Times New Roman" w:hint="default"/>
        </w:rPr>
        <w:t>-</w:t>
      </w:r>
      <w:r>
        <w:rPr/>
        <w:t>深圳市至高通信技术发展有限</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31"/>
        <w:jc w:val="both"/>
      </w:pPr>
      <w:r>
        <w:rPr>
          <w:spacing w:val="-1"/>
        </w:rPr>
        <w:t>公司与该行签订的编号为</w:t>
      </w:r>
      <w:r>
        <w:rPr>
          <w:rFonts w:ascii="Times New Roman" w:hAnsi="Times New Roman" w:cs="Times New Roman" w:eastAsia="Times New Roman" w:hint="default"/>
          <w:spacing w:val="-1"/>
        </w:rPr>
        <w:t>“0400000007</w:t>
      </w:r>
      <w:r>
        <w:rPr>
          <w:rFonts w:ascii="Times New Roman" w:hAnsi="Times New Roman" w:cs="Times New Roman" w:eastAsia="Times New Roman" w:hint="default"/>
          <w:spacing w:val="-1"/>
        </w:rPr>
        <w:t>-2017</w:t>
      </w:r>
      <w:r>
        <w:rPr>
          <w:spacing w:val="-1"/>
        </w:rPr>
        <w:t>年（上步）字</w:t>
      </w:r>
      <w:r>
        <w:rPr>
          <w:rFonts w:ascii="Times New Roman" w:hAnsi="Times New Roman" w:cs="Times New Roman" w:eastAsia="Times New Roman" w:hint="default"/>
          <w:spacing w:val="-1"/>
        </w:rPr>
        <w:t>00106</w:t>
      </w:r>
      <w:r>
        <w:rPr>
          <w:spacing w:val="-1"/>
        </w:rPr>
        <w:t>号</w:t>
      </w:r>
      <w:r>
        <w:rPr>
          <w:rFonts w:ascii="Times New Roman" w:hAnsi="Times New Roman" w:cs="Times New Roman" w:eastAsia="Times New Roman" w:hint="default"/>
          <w:spacing w:val="-1"/>
        </w:rPr>
        <w:t>”</w:t>
      </w:r>
      <w:r>
        <w:rPr>
          <w:spacing w:val="-1"/>
        </w:rPr>
        <w:t>《流动资金借款合同》提供连带责任保证。保证额度有效</w:t>
      </w:r>
      <w:r>
        <w:rPr>
          <w:spacing w:val="-59"/>
        </w:rPr>
        <w:t> </w:t>
      </w:r>
      <w:r>
        <w:rPr>
          <w:spacing w:val="-59"/>
        </w:rPr>
      </w:r>
      <w:r>
        <w:rPr/>
        <w:t>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日，最高担保额度是人民币</w:t>
      </w:r>
      <w:r>
        <w:rPr>
          <w:rFonts w:ascii="Times New Roman" w:hAnsi="Times New Roman" w:cs="Times New Roman" w:eastAsia="Times New Roman" w:hint="default"/>
        </w:rPr>
        <w:t>9,000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日，深圳市至高通信技术发</w:t>
      </w:r>
      <w:r>
        <w:rPr>
          <w:spacing w:val="-47"/>
        </w:rPr>
        <w:t> </w:t>
      </w:r>
      <w:r>
        <w:rPr>
          <w:spacing w:val="-47"/>
        </w:rPr>
      </w:r>
      <w:r>
        <w:rPr/>
        <w:t>展有限公司在上述合同项下的短期借款金额为人民币</w:t>
      </w:r>
      <w:r>
        <w:rPr>
          <w:rFonts w:ascii="Times New Roman" w:hAnsi="Times New Roman" w:cs="Times New Roman" w:eastAsia="Times New Roman" w:hint="default"/>
        </w:rPr>
        <w:t>3,000</w:t>
      </w:r>
      <w:r>
        <w:rPr/>
        <w:t>万元。</w:t>
      </w:r>
    </w:p>
    <w:p>
      <w:pPr>
        <w:pStyle w:val="BodyText"/>
        <w:spacing w:line="300" w:lineRule="auto" w:before="133"/>
        <w:ind w:right="1094" w:firstLine="36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25</w:t>
      </w:r>
      <w:r>
        <w:rPr/>
        <w:t>日，公司与中国工商银行股份有限公司北京南礼士路支行签订《最高额保证合同》（编号：</w:t>
      </w:r>
      <w:r>
        <w:rPr>
          <w:rFonts w:ascii="Times New Roman" w:hAnsi="Times New Roman" w:cs="Times New Roman" w:eastAsia="Times New Roman" w:hint="default"/>
        </w:rPr>
        <w:t>2017</w:t>
      </w:r>
      <w:r>
        <w:rPr/>
        <w:t>年礼 </w:t>
      </w:r>
      <w:r>
        <w:rPr>
          <w:spacing w:val="-1"/>
        </w:rPr>
        <w:t>士（保）字</w:t>
      </w:r>
      <w:r>
        <w:rPr>
          <w:rFonts w:ascii="Times New Roman" w:hAnsi="Times New Roman" w:cs="Times New Roman" w:eastAsia="Times New Roman" w:hint="default"/>
          <w:spacing w:val="-1"/>
        </w:rPr>
        <w:t>0024</w:t>
      </w:r>
      <w:r>
        <w:rPr>
          <w:spacing w:val="-1"/>
        </w:rPr>
        <w:t>号），最高额度</w:t>
      </w:r>
      <w:r>
        <w:rPr>
          <w:rFonts w:ascii="Times New Roman" w:hAnsi="Times New Roman" w:cs="Times New Roman" w:eastAsia="Times New Roman" w:hint="default"/>
          <w:spacing w:val="-1"/>
        </w:rPr>
        <w:t>12,000</w:t>
      </w:r>
      <w:r>
        <w:rPr>
          <w:spacing w:val="-1"/>
        </w:rPr>
        <w:t>万元，为公司所属子公司北京神州新桥科技有限公司承担连带责任保证。借款期限自</w:t>
      </w:r>
      <w:r>
        <w:rPr>
          <w:spacing w:val="-70"/>
        </w:rPr>
        <w:t> </w:t>
      </w:r>
      <w:r>
        <w:rPr>
          <w:spacing w:val="-70"/>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23</w:t>
      </w:r>
      <w:r>
        <w:rPr/>
        <w:t>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日，北京神州新桥科技有限公司在该合同项下借款余额</w:t>
      </w:r>
      <w:r>
        <w:rPr>
          <w:rFonts w:ascii="Times New Roman" w:hAnsi="Times New Roman" w:cs="Times New Roman" w:eastAsia="Times New Roman" w:hint="default"/>
        </w:rPr>
        <w:t>10,000</w:t>
      </w:r>
      <w:r>
        <w:rPr/>
        <w:t>万元。</w:t>
      </w:r>
    </w:p>
    <w:p>
      <w:pPr>
        <w:pStyle w:val="BodyText"/>
        <w:spacing w:line="300" w:lineRule="auto" w:before="133"/>
        <w:ind w:right="1130" w:firstLine="360"/>
        <w:jc w:val="both"/>
      </w:pPr>
      <w:r>
        <w:rPr>
          <w:rFonts w:ascii="Times New Roman" w:hAnsi="Times New Roman" w:cs="Times New Roman" w:eastAsia="Times New Roman" w:hint="default"/>
          <w:spacing w:val="-1"/>
        </w:rPr>
        <w:t>7</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17</w:t>
      </w:r>
      <w:r>
        <w:rPr>
          <w:spacing w:val="-1"/>
        </w:rPr>
        <w:t>日，公司与中国工商银行股份有限公司深圳上步支行签订编号为</w:t>
      </w:r>
      <w:r>
        <w:rPr>
          <w:rFonts w:ascii="Times New Roman" w:hAnsi="Times New Roman" w:cs="Times New Roman" w:eastAsia="Times New Roman" w:hint="default"/>
          <w:spacing w:val="-1"/>
        </w:rPr>
        <w:t>“0400000007</w:t>
      </w:r>
      <w:r>
        <w:rPr>
          <w:rFonts w:ascii="Times New Roman" w:hAnsi="Times New Roman" w:cs="Times New Roman" w:eastAsia="Times New Roman" w:hint="default"/>
          <w:spacing w:val="-1"/>
        </w:rPr>
        <w:t>-2017</w:t>
      </w:r>
      <w:r>
        <w:rPr>
          <w:spacing w:val="-1"/>
        </w:rPr>
        <w:t>年上步（保）字</w:t>
      </w:r>
      <w:r>
        <w:rPr>
          <w:rFonts w:ascii="Times New Roman" w:hAnsi="Times New Roman" w:cs="Times New Roman" w:eastAsia="Times New Roman" w:hint="default"/>
          <w:spacing w:val="-1"/>
        </w:rPr>
        <w:t>0001</w:t>
      </w:r>
      <w:r>
        <w:rPr>
          <w:rFonts w:ascii="Times New Roman" w:hAnsi="Times New Roman" w:cs="Times New Roman" w:eastAsia="Times New Roman" w:hint="default"/>
        </w:rPr>
        <w:t> </w:t>
      </w:r>
      <w:r>
        <w:rPr>
          <w:spacing w:val="-1"/>
        </w:rPr>
        <w:t>号</w:t>
      </w:r>
      <w:r>
        <w:rPr>
          <w:rFonts w:ascii="Times New Roman" w:hAnsi="Times New Roman" w:cs="Times New Roman" w:eastAsia="Times New Roman" w:hint="default"/>
          <w:spacing w:val="-1"/>
        </w:rPr>
        <w:t>”</w:t>
      </w:r>
      <w:r>
        <w:rPr>
          <w:spacing w:val="-1"/>
        </w:rPr>
        <w:t>《最高额保证合同》，为公司所属子公司</w:t>
      </w:r>
      <w:r>
        <w:rPr>
          <w:rFonts w:ascii="Times New Roman" w:hAnsi="Times New Roman" w:cs="Times New Roman" w:eastAsia="Times New Roman" w:hint="default"/>
          <w:spacing w:val="-1"/>
        </w:rPr>
        <w:t>-</w:t>
      </w:r>
      <w:r>
        <w:rPr>
          <w:spacing w:val="-1"/>
        </w:rPr>
        <w:t>深圳市至高通信技术发展有限公司在该行发生的债务提供连带责任保证，保证</w:t>
      </w:r>
      <w:r>
        <w:rPr>
          <w:spacing w:val="-78"/>
        </w:rPr>
        <w:t> </w:t>
      </w:r>
      <w:r>
        <w:rPr>
          <w:spacing w:val="-78"/>
        </w:rPr>
      </w:r>
      <w:r>
        <w:rPr>
          <w:spacing w:val="-1"/>
        </w:rPr>
        <w:t>额度有效期自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日，在人民币</w:t>
      </w:r>
      <w:r>
        <w:rPr>
          <w:rFonts w:ascii="Times New Roman" w:hAnsi="Times New Roman" w:cs="Times New Roman" w:eastAsia="Times New Roman" w:hint="default"/>
          <w:spacing w:val="-1"/>
        </w:rPr>
        <w:t>9,000</w:t>
      </w:r>
      <w:r>
        <w:rPr>
          <w:spacing w:val="-1"/>
        </w:rPr>
        <w:t>万元的最高余额内。截至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日，深圳市至高通信</w:t>
      </w:r>
      <w:r>
        <w:rPr>
          <w:spacing w:val="-63"/>
        </w:rPr>
        <w:t> </w:t>
      </w:r>
      <w:r>
        <w:rPr>
          <w:spacing w:val="-63"/>
        </w:rPr>
      </w:r>
      <w:r>
        <w:rPr/>
        <w:t>技术发展有限公司在上述合同项下的短期借款金额为人民币</w:t>
      </w:r>
      <w:r>
        <w:rPr>
          <w:rFonts w:ascii="Times New Roman" w:hAnsi="Times New Roman" w:cs="Times New Roman" w:eastAsia="Times New Roman" w:hint="default"/>
        </w:rPr>
        <w:t>6,500</w:t>
      </w:r>
      <w:r>
        <w:rPr/>
        <w:t>万元。</w:t>
      </w:r>
    </w:p>
    <w:p>
      <w:pPr>
        <w:pStyle w:val="BodyText"/>
        <w:spacing w:line="300" w:lineRule="auto" w:before="133"/>
        <w:ind w:right="1129" w:firstLine="360"/>
        <w:jc w:val="both"/>
      </w:pPr>
      <w:r>
        <w:rPr>
          <w:rFonts w:ascii="Times New Roman" w:hAnsi="Times New Roman" w:cs="Times New Roman" w:eastAsia="Times New Roman" w:hint="default"/>
          <w:spacing w:val="-1"/>
        </w:rPr>
        <w:t>8</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02</w:t>
      </w:r>
      <w:r>
        <w:rPr>
          <w:spacing w:val="-1"/>
        </w:rPr>
        <w:t>月</w:t>
      </w:r>
      <w:r>
        <w:rPr>
          <w:rFonts w:ascii="Times New Roman" w:hAnsi="Times New Roman" w:cs="Times New Roman" w:eastAsia="Times New Roman" w:hint="default"/>
          <w:spacing w:val="-1"/>
        </w:rPr>
        <w:t>13</w:t>
      </w:r>
      <w:r>
        <w:rPr>
          <w:spacing w:val="-1"/>
        </w:rPr>
        <w:t>日，公司与中国银行股份有限公司深圳中心区支行签订编号为</w:t>
      </w:r>
      <w:r>
        <w:rPr>
          <w:rFonts w:ascii="Times New Roman" w:hAnsi="Times New Roman" w:cs="Times New Roman" w:eastAsia="Times New Roman" w:hint="default"/>
          <w:spacing w:val="-1"/>
        </w:rPr>
        <w:t>“2017</w:t>
      </w:r>
      <w:r>
        <w:rPr>
          <w:spacing w:val="-1"/>
        </w:rPr>
        <w:t>圳中银中额保字第</w:t>
      </w:r>
      <w:r>
        <w:rPr>
          <w:rFonts w:ascii="Times New Roman" w:hAnsi="Times New Roman" w:cs="Times New Roman" w:eastAsia="Times New Roman" w:hint="default"/>
          <w:spacing w:val="-1"/>
        </w:rPr>
        <w:t>0000003</w:t>
      </w:r>
      <w:r>
        <w:rPr>
          <w:spacing w:val="-1"/>
        </w:rPr>
        <w:t>号</w:t>
      </w:r>
      <w:r>
        <w:rPr>
          <w:rFonts w:ascii="Times New Roman" w:hAnsi="Times New Roman" w:cs="Times New Roman" w:eastAsia="Times New Roman" w:hint="default"/>
          <w:spacing w:val="-1"/>
        </w:rPr>
        <w:t>”</w:t>
      </w:r>
      <w:r>
        <w:rPr>
          <w:spacing w:val="-1"/>
        </w:rPr>
        <w:t>《最</w:t>
      </w:r>
      <w:r>
        <w:rPr/>
        <w:t> </w:t>
      </w:r>
      <w:r>
        <w:rPr>
          <w:spacing w:val="-3"/>
        </w:rPr>
        <w:t>高额保证合同》，为公司所属子公司</w:t>
      </w:r>
      <w:r>
        <w:rPr>
          <w:rFonts w:ascii="Times New Roman" w:hAnsi="Times New Roman" w:cs="Times New Roman" w:eastAsia="Times New Roman" w:hint="default"/>
          <w:spacing w:val="-3"/>
        </w:rPr>
        <w:t>-</w:t>
      </w:r>
      <w:r>
        <w:rPr>
          <w:spacing w:val="-3"/>
        </w:rPr>
        <w:t>深圳市至高通信技术发展有限公司与该行签订的编号为</w:t>
      </w:r>
      <w:r>
        <w:rPr>
          <w:rFonts w:ascii="Times New Roman" w:hAnsi="Times New Roman" w:cs="Times New Roman" w:eastAsia="Times New Roman" w:hint="default"/>
          <w:spacing w:val="-3"/>
        </w:rPr>
        <w:t>“2017</w:t>
      </w:r>
      <w:r>
        <w:rPr>
          <w:spacing w:val="-3"/>
        </w:rPr>
        <w:t>圳中银中额协字第</w:t>
      </w:r>
      <w:r>
        <w:rPr>
          <w:rFonts w:ascii="Times New Roman" w:hAnsi="Times New Roman" w:cs="Times New Roman" w:eastAsia="Times New Roman" w:hint="default"/>
          <w:spacing w:val="-3"/>
        </w:rPr>
        <w:t>0000003</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《授信额度协议》（总合同）及其项下所有分合同提供连带责任保证，保证的最高本金限额为</w:t>
      </w:r>
      <w:r>
        <w:rPr>
          <w:rFonts w:ascii="Times New Roman" w:hAnsi="Times New Roman" w:cs="Times New Roman" w:eastAsia="Times New Roman" w:hint="default"/>
        </w:rPr>
        <w:t>10,000</w:t>
      </w:r>
      <w:r>
        <w:rPr/>
        <w:t>万元，保证期间为</w:t>
      </w:r>
      <w:r>
        <w:rPr>
          <w:spacing w:val="-38"/>
        </w:rPr>
        <w:t> </w:t>
      </w:r>
      <w:r>
        <w:rPr>
          <w:spacing w:val="-2"/>
        </w:rPr>
        <w:t>主合同债务人履行债务期限届满之日起两年。截至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日，深圳市至高通信技术发展有限公司在上述合同项下的短</w:t>
      </w:r>
      <w:r>
        <w:rPr>
          <w:spacing w:val="-56"/>
        </w:rPr>
        <w:t> </w:t>
      </w:r>
      <w:r>
        <w:rPr>
          <w:spacing w:val="-56"/>
        </w:rPr>
      </w:r>
      <w:r>
        <w:rPr/>
        <w:t>期借款金额为人民币</w:t>
      </w:r>
      <w:r>
        <w:rPr>
          <w:rFonts w:ascii="Times New Roman" w:hAnsi="Times New Roman" w:cs="Times New Roman" w:eastAsia="Times New Roman" w:hint="default"/>
        </w:rPr>
        <w:t>10,000</w:t>
      </w:r>
      <w:r>
        <w:rPr/>
        <w:t>万元。</w:t>
      </w:r>
    </w:p>
    <w:p>
      <w:pPr>
        <w:pStyle w:val="BodyText"/>
        <w:spacing w:line="300" w:lineRule="auto" w:before="133"/>
        <w:ind w:right="1130" w:firstLine="360"/>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09</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日</w:t>
      </w:r>
      <w:r>
        <w:rPr>
          <w:spacing w:val="-56"/>
        </w:rPr>
        <w:t> </w:t>
      </w:r>
      <w:r>
        <w:rPr/>
        <w:t>，</w:t>
      </w:r>
      <w:r>
        <w:rPr>
          <w:spacing w:val="-56"/>
        </w:rPr>
        <w:t> </w:t>
      </w:r>
      <w:r>
        <w:rPr/>
        <w:t>公</w:t>
      </w:r>
      <w:r>
        <w:rPr>
          <w:spacing w:val="-57"/>
        </w:rPr>
        <w:t> </w:t>
      </w:r>
      <w:r>
        <w:rPr/>
        <w:t>司</w:t>
      </w:r>
      <w:r>
        <w:rPr>
          <w:spacing w:val="-56"/>
        </w:rPr>
        <w:t> </w:t>
      </w:r>
      <w:r>
        <w:rPr/>
        <w:t>通</w:t>
      </w:r>
      <w:r>
        <w:rPr>
          <w:spacing w:val="-56"/>
        </w:rPr>
        <w:t> </w:t>
      </w:r>
      <w:r>
        <w:rPr/>
        <w:t>过</w:t>
      </w:r>
      <w:r>
        <w:rPr>
          <w:spacing w:val="-56"/>
        </w:rPr>
        <w:t> </w:t>
      </w:r>
      <w:r>
        <w:rPr/>
        <w:t>上</w:t>
      </w:r>
      <w:r>
        <w:rPr>
          <w:spacing w:val="-56"/>
        </w:rPr>
        <w:t> </w:t>
      </w:r>
      <w:r>
        <w:rPr/>
        <w:t>海</w:t>
      </w:r>
      <w:r>
        <w:rPr>
          <w:spacing w:val="-57"/>
        </w:rPr>
        <w:t> </w:t>
      </w:r>
      <w:r>
        <w:rPr/>
        <w:t>浦</w:t>
      </w:r>
      <w:r>
        <w:rPr>
          <w:spacing w:val="-56"/>
        </w:rPr>
        <w:t> </w:t>
      </w:r>
      <w:r>
        <w:rPr/>
        <w:t>东</w:t>
      </w:r>
      <w:r>
        <w:rPr>
          <w:spacing w:val="-56"/>
        </w:rPr>
        <w:t> </w:t>
      </w:r>
      <w:r>
        <w:rPr/>
        <w:t>发</w:t>
      </w:r>
      <w:r>
        <w:rPr>
          <w:spacing w:val="-56"/>
        </w:rPr>
        <w:t> </w:t>
      </w:r>
      <w:r>
        <w:rPr/>
        <w:t>展</w:t>
      </w:r>
      <w:r>
        <w:rPr>
          <w:spacing w:val="-56"/>
        </w:rPr>
        <w:t> </w:t>
      </w:r>
      <w:r>
        <w:rPr/>
        <w:t>银</w:t>
      </w:r>
      <w:r>
        <w:rPr>
          <w:spacing w:val="-57"/>
        </w:rPr>
        <w:t> </w:t>
      </w:r>
      <w:r>
        <w:rPr/>
        <w:t>行</w:t>
      </w:r>
      <w:r>
        <w:rPr>
          <w:spacing w:val="-56"/>
        </w:rPr>
        <w:t> </w:t>
      </w:r>
      <w:r>
        <w:rPr/>
        <w:t>股</w:t>
      </w:r>
      <w:r>
        <w:rPr>
          <w:spacing w:val="-56"/>
        </w:rPr>
        <w:t> </w:t>
      </w:r>
      <w:r>
        <w:rPr/>
        <w:t>份</w:t>
      </w:r>
      <w:r>
        <w:rPr>
          <w:spacing w:val="-56"/>
        </w:rPr>
        <w:t> </w:t>
      </w:r>
      <w:r>
        <w:rPr/>
        <w:t>有</w:t>
      </w:r>
      <w:r>
        <w:rPr>
          <w:spacing w:val="-56"/>
        </w:rPr>
        <w:t> </w:t>
      </w:r>
      <w:r>
        <w:rPr/>
        <w:t>限</w:t>
      </w:r>
      <w:r>
        <w:rPr>
          <w:spacing w:val="-57"/>
        </w:rPr>
        <w:t> </w:t>
      </w:r>
      <w:r>
        <w:rPr/>
        <w:t>公</w:t>
      </w:r>
      <w:r>
        <w:rPr>
          <w:spacing w:val="-56"/>
        </w:rPr>
        <w:t> </w:t>
      </w:r>
      <w:r>
        <w:rPr/>
        <w:t>司</w:t>
      </w:r>
      <w:r>
        <w:rPr>
          <w:spacing w:val="-56"/>
        </w:rPr>
        <w:t> </w:t>
      </w:r>
      <w:r>
        <w:rPr/>
        <w:t>北</w:t>
      </w:r>
      <w:r>
        <w:rPr>
          <w:spacing w:val="-56"/>
        </w:rPr>
        <w:t> </w:t>
      </w:r>
      <w:r>
        <w:rPr/>
        <w:t>京</w:t>
      </w:r>
      <w:r>
        <w:rPr>
          <w:spacing w:val="-56"/>
        </w:rPr>
        <w:t> </w:t>
      </w:r>
      <w:r>
        <w:rPr/>
        <w:t>分</w:t>
      </w:r>
      <w:r>
        <w:rPr>
          <w:spacing w:val="-57"/>
        </w:rPr>
        <w:t> </w:t>
      </w:r>
      <w:r>
        <w:rPr/>
        <w:t>行</w:t>
      </w:r>
      <w:r>
        <w:rPr>
          <w:spacing w:val="-56"/>
        </w:rPr>
        <w:t> </w:t>
      </w:r>
      <w:r>
        <w:rPr/>
        <w:t>的</w:t>
      </w:r>
      <w:r>
        <w:rPr>
          <w:spacing w:val="-56"/>
        </w:rPr>
        <w:t> </w:t>
      </w:r>
      <w:r>
        <w:rPr/>
        <w:t>信</w:t>
      </w:r>
      <w:r>
        <w:rPr>
          <w:spacing w:val="-56"/>
        </w:rPr>
        <w:t> </w:t>
      </w:r>
      <w:r>
        <w:rPr/>
        <w:t>用</w:t>
      </w:r>
      <w:r>
        <w:rPr>
          <w:spacing w:val="-56"/>
        </w:rPr>
        <w:t> </w:t>
      </w:r>
      <w:r>
        <w:rPr/>
        <w:t>额</w:t>
      </w:r>
      <w:r>
        <w:rPr>
          <w:spacing w:val="-57"/>
        </w:rPr>
        <w:t> </w:t>
      </w:r>
      <w:r>
        <w:rPr/>
        <w:t>度</w:t>
      </w:r>
      <w:r>
        <w:rPr>
          <w:spacing w:val="-56"/>
        </w:rPr>
        <w:t> </w:t>
      </w:r>
      <w:r>
        <w:rPr/>
        <w:t>审</w:t>
      </w:r>
      <w:r>
        <w:rPr>
          <w:spacing w:val="-56"/>
        </w:rPr>
        <w:t> </w:t>
      </w:r>
      <w:r>
        <w:rPr/>
        <w:t>批</w:t>
      </w:r>
      <w:r>
        <w:rPr>
          <w:spacing w:val="-56"/>
        </w:rPr>
        <w:t> </w:t>
      </w:r>
      <w:r>
        <w:rPr/>
        <w:t>，</w:t>
      </w:r>
      <w:r>
        <w:rPr>
          <w:spacing w:val="-56"/>
        </w:rPr>
        <w:t> </w:t>
      </w:r>
      <w:r>
        <w:rPr/>
        <w:t>批</w:t>
      </w:r>
      <w:r>
        <w:rPr>
          <w:spacing w:val="-57"/>
        </w:rPr>
        <w:t> </w:t>
      </w:r>
      <w:r>
        <w:rPr/>
        <w:t>复</w:t>
      </w:r>
      <w:r>
        <w:rPr>
          <w:spacing w:val="-56"/>
        </w:rPr>
        <w:t> </w:t>
      </w:r>
      <w:r>
        <w:rPr/>
        <w:t>编</w:t>
      </w:r>
      <w:r>
        <w:rPr>
          <w:spacing w:val="-57"/>
        </w:rPr>
        <w:t> </w:t>
      </w:r>
      <w:r>
        <w:rPr/>
        <w:t>号</w:t>
      </w:r>
      <w:r>
        <w:rPr/>
        <w:t> </w:t>
      </w:r>
      <w:r>
        <w:rPr>
          <w:rFonts w:ascii="Times New Roman" w:hAnsi="Times New Roman" w:cs="Times New Roman" w:eastAsia="Times New Roman" w:hint="default"/>
        </w:rPr>
        <w:t>BE2017091200001251</w:t>
      </w:r>
      <w:r>
        <w:rPr/>
        <w:t>。为公司所属子公司北京神州新桥科技有限公司在该行发生的债务承担连带责任保证，所担保的主债</w:t>
      </w:r>
      <w:r>
        <w:rPr>
          <w:spacing w:val="-55"/>
        </w:rPr>
        <w:t> </w:t>
      </w:r>
      <w:r>
        <w:rPr>
          <w:spacing w:val="-55"/>
        </w:rPr>
      </w:r>
      <w:r>
        <w:rPr>
          <w:spacing w:val="-1"/>
        </w:rPr>
        <w:t>权为自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09</w:t>
      </w:r>
      <w:r>
        <w:rPr>
          <w:spacing w:val="-1"/>
        </w:rPr>
        <w:t>月</w:t>
      </w:r>
      <w:r>
        <w:rPr>
          <w:rFonts w:ascii="Times New Roman" w:hAnsi="Times New Roman" w:cs="Times New Roman" w:eastAsia="Times New Roman" w:hint="default"/>
          <w:spacing w:val="-1"/>
        </w:rPr>
        <w:t>12</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09</w:t>
      </w:r>
      <w:r>
        <w:rPr>
          <w:spacing w:val="-1"/>
        </w:rPr>
        <w:t>月</w:t>
      </w:r>
      <w:r>
        <w:rPr>
          <w:rFonts w:ascii="Times New Roman" w:hAnsi="Times New Roman" w:cs="Times New Roman" w:eastAsia="Times New Roman" w:hint="default"/>
          <w:spacing w:val="-1"/>
        </w:rPr>
        <w:t>11</w:t>
      </w:r>
      <w:r>
        <w:rPr>
          <w:spacing w:val="-1"/>
        </w:rPr>
        <w:t>日期间，在人民币</w:t>
      </w:r>
      <w:r>
        <w:rPr>
          <w:rFonts w:ascii="Times New Roman" w:hAnsi="Times New Roman" w:cs="Times New Roman" w:eastAsia="Times New Roman" w:hint="default"/>
          <w:spacing w:val="-1"/>
        </w:rPr>
        <w:t>12,000</w:t>
      </w:r>
      <w:r>
        <w:rPr>
          <w:spacing w:val="-1"/>
        </w:rPr>
        <w:t>万元的最高余额内。截至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日，北京神州新桥科</w:t>
      </w:r>
      <w:r>
        <w:rPr>
          <w:spacing w:val="-62"/>
        </w:rPr>
        <w:t> </w:t>
      </w:r>
      <w:r>
        <w:rPr>
          <w:spacing w:val="-62"/>
        </w:rPr>
      </w:r>
      <w:r>
        <w:rPr/>
        <w:t>技有限公司在上述合同项下的短期借款金额为人民币</w:t>
      </w:r>
      <w:r>
        <w:rPr>
          <w:rFonts w:ascii="Times New Roman" w:hAnsi="Times New Roman" w:cs="Times New Roman" w:eastAsia="Times New Roman" w:hint="default"/>
        </w:rPr>
        <w:t>25,000,000.00</w:t>
      </w:r>
      <w:r>
        <w:rPr/>
        <w:t>元。</w:t>
      </w:r>
    </w:p>
    <w:p>
      <w:pPr>
        <w:pStyle w:val="BodyText"/>
        <w:spacing w:line="240" w:lineRule="auto" w:before="133"/>
        <w:ind w:left="0" w:right="1130"/>
        <w:jc w:val="right"/>
        <w:rPr>
          <w:rFonts w:ascii="Times New Roman" w:hAnsi="Times New Roman" w:cs="Times New Roman" w:eastAsia="Times New Roman" w:hint="default"/>
        </w:rPr>
      </w:pPr>
      <w:r>
        <w:rPr>
          <w:rFonts w:ascii="Times New Roman" w:hAnsi="Times New Roman" w:cs="Times New Roman" w:eastAsia="Times New Roman" w:hint="default"/>
          <w:spacing w:val="-4"/>
        </w:rPr>
        <w:t>10</w:t>
      </w:r>
      <w:r>
        <w:rPr>
          <w:spacing w:val="-4"/>
        </w:rPr>
        <w:t>、</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09</w:t>
      </w:r>
      <w:r>
        <w:rPr>
          <w:spacing w:val="-4"/>
        </w:rPr>
        <w:t>月</w:t>
      </w:r>
      <w:r>
        <w:rPr>
          <w:rFonts w:ascii="Times New Roman" w:hAnsi="Times New Roman" w:cs="Times New Roman" w:eastAsia="Times New Roman" w:hint="default"/>
          <w:spacing w:val="-4"/>
        </w:rPr>
        <w:t>13</w:t>
      </w:r>
      <w:r>
        <w:rPr>
          <w:spacing w:val="-4"/>
        </w:rPr>
        <w:t>日，公司与兴业银行股份有限公司深圳分行签订编号为</w:t>
      </w:r>
      <w:r>
        <w:rPr>
          <w:rFonts w:ascii="Times New Roman" w:hAnsi="Times New Roman" w:cs="Times New Roman" w:eastAsia="Times New Roman" w:hint="default"/>
          <w:spacing w:val="-4"/>
        </w:rPr>
        <w:t>“</w:t>
      </w:r>
      <w:r>
        <w:rPr>
          <w:spacing w:val="-4"/>
        </w:rPr>
        <w:t>兴银深软件园授信（保证）字（</w:t>
      </w:r>
      <w:r>
        <w:rPr>
          <w:rFonts w:ascii="Times New Roman" w:hAnsi="Times New Roman" w:cs="Times New Roman" w:eastAsia="Times New Roman" w:hint="default"/>
          <w:spacing w:val="-4"/>
        </w:rPr>
        <w:t>2016</w:t>
      </w:r>
      <w:r>
        <w:rPr>
          <w:spacing w:val="-4"/>
        </w:rPr>
        <w:t>）第</w:t>
      </w:r>
      <w:r>
        <w:rPr>
          <w:rFonts w:ascii="Times New Roman" w:hAnsi="Times New Roman" w:cs="Times New Roman" w:eastAsia="Times New Roman" w:hint="default"/>
          <w:spacing w:val="-4"/>
        </w:rPr>
        <w:t>042A</w:t>
      </w:r>
    </w:p>
    <w:p>
      <w:pPr>
        <w:pStyle w:val="BodyText"/>
        <w:spacing w:line="240" w:lineRule="auto" w:before="63"/>
        <w:ind w:left="154" w:right="0"/>
        <w:jc w:val="both"/>
      </w:pPr>
      <w:r>
        <w:rPr>
          <w:spacing w:val="4"/>
        </w:rPr>
        <w:t>号</w:t>
      </w:r>
      <w:r>
        <w:rPr>
          <w:rFonts w:ascii="Times New Roman" w:hAnsi="Times New Roman" w:cs="Times New Roman" w:eastAsia="Times New Roman" w:hint="default"/>
          <w:spacing w:val="4"/>
        </w:rPr>
        <w:t>”</w:t>
      </w:r>
      <w:r>
        <w:rPr>
          <w:spacing w:val="4"/>
        </w:rPr>
        <w:t>《最高额保证合同》</w:t>
      </w:r>
      <w:r>
        <w:rPr>
          <w:rFonts w:ascii="Times New Roman" w:hAnsi="Times New Roman" w:cs="Times New Roman" w:eastAsia="Times New Roman" w:hint="default"/>
          <w:spacing w:val="4"/>
        </w:rPr>
        <w:t>,</w:t>
      </w:r>
      <w:r>
        <w:rPr>
          <w:spacing w:val="4"/>
        </w:rPr>
        <w:t>为公司所属子公司</w:t>
      </w:r>
      <w:r>
        <w:rPr>
          <w:rFonts w:ascii="Times New Roman" w:hAnsi="Times New Roman" w:cs="Times New Roman" w:eastAsia="Times New Roman" w:hint="default"/>
          <w:spacing w:val="4"/>
        </w:rPr>
        <w:t>-</w:t>
      </w:r>
      <w:r>
        <w:rPr>
          <w:spacing w:val="4"/>
        </w:rPr>
        <w:t>深圳市至高通信技术发展有限公司与该行签订的编号为兴银深软件园授信字</w:t>
      </w:r>
    </w:p>
    <w:p>
      <w:pPr>
        <w:pStyle w:val="BodyText"/>
        <w:spacing w:line="300" w:lineRule="auto" w:before="63"/>
        <w:ind w:right="1130"/>
        <w:jc w:val="both"/>
      </w:pPr>
      <w:r>
        <w:rPr>
          <w:spacing w:val="-2"/>
        </w:rPr>
        <w:t>（</w:t>
      </w:r>
      <w:r>
        <w:rPr>
          <w:rFonts w:ascii="Times New Roman" w:hAnsi="Times New Roman" w:cs="Times New Roman" w:eastAsia="Times New Roman" w:hint="default"/>
          <w:spacing w:val="-2"/>
        </w:rPr>
        <w:t>2016</w:t>
      </w:r>
      <w:r>
        <w:rPr>
          <w:spacing w:val="-2"/>
        </w:rPr>
        <w:t>）第</w:t>
      </w:r>
      <w:r>
        <w:rPr>
          <w:rFonts w:ascii="Times New Roman" w:hAnsi="Times New Roman" w:cs="Times New Roman" w:eastAsia="Times New Roman" w:hint="default"/>
          <w:spacing w:val="-2"/>
        </w:rPr>
        <w:t>042</w:t>
      </w:r>
      <w:r>
        <w:rPr>
          <w:spacing w:val="-2"/>
        </w:rPr>
        <w:t>号</w:t>
      </w:r>
      <w:r>
        <w:rPr>
          <w:rFonts w:ascii="Times New Roman" w:hAnsi="Times New Roman" w:cs="Times New Roman" w:eastAsia="Times New Roman" w:hint="default"/>
          <w:spacing w:val="-2"/>
        </w:rPr>
        <w:t>”</w:t>
      </w:r>
      <w:r>
        <w:rPr>
          <w:spacing w:val="-2"/>
        </w:rPr>
        <w:t>《基本额度授信合同》提供连带责任保证。保证额度有效期自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09</w:t>
      </w:r>
      <w:r>
        <w:rPr>
          <w:spacing w:val="-2"/>
        </w:rPr>
        <w:t>月</w:t>
      </w:r>
      <w:r>
        <w:rPr>
          <w:rFonts w:ascii="Times New Roman" w:hAnsi="Times New Roman" w:cs="Times New Roman" w:eastAsia="Times New Roman" w:hint="default"/>
          <w:spacing w:val="-2"/>
        </w:rPr>
        <w:t>13</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09</w:t>
      </w:r>
      <w:r>
        <w:rPr>
          <w:spacing w:val="-2"/>
        </w:rPr>
        <w:t>月</w:t>
      </w:r>
      <w:r>
        <w:rPr>
          <w:rFonts w:ascii="Times New Roman" w:hAnsi="Times New Roman" w:cs="Times New Roman" w:eastAsia="Times New Roman" w:hint="default"/>
          <w:spacing w:val="-2"/>
        </w:rPr>
        <w:t>13</w:t>
      </w:r>
      <w:r>
        <w:rPr>
          <w:spacing w:val="-2"/>
        </w:rPr>
        <w:t>日，最高担</w:t>
      </w:r>
      <w:r>
        <w:rPr>
          <w:spacing w:val="-32"/>
        </w:rPr>
        <w:t> </w:t>
      </w:r>
      <w:r>
        <w:rPr>
          <w:spacing w:val="-32"/>
        </w:rPr>
      </w:r>
      <w:r>
        <w:rPr>
          <w:spacing w:val="-1"/>
        </w:rPr>
        <w:t>保额度是人民币</w:t>
      </w:r>
      <w:r>
        <w:rPr>
          <w:rFonts w:ascii="Times New Roman" w:hAnsi="Times New Roman" w:cs="Times New Roman" w:eastAsia="Times New Roman" w:hint="default"/>
          <w:spacing w:val="-1"/>
        </w:rPr>
        <w:t>20,000</w:t>
      </w:r>
      <w:r>
        <w:rPr>
          <w:spacing w:val="-1"/>
        </w:rPr>
        <w:t>万元。截至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日，深圳市至高通信技术发展有限公司在上述合同项下的未结清银行承兑汇</w:t>
      </w:r>
      <w:r>
        <w:rPr>
          <w:spacing w:val="-67"/>
        </w:rPr>
        <w:t> </w:t>
      </w:r>
      <w:r>
        <w:rPr>
          <w:spacing w:val="-67"/>
        </w:rPr>
      </w:r>
      <w:r>
        <w:rPr/>
        <w:t>票余额为人民币</w:t>
      </w:r>
      <w:r>
        <w:rPr>
          <w:rFonts w:ascii="Times New Roman" w:hAnsi="Times New Roman" w:cs="Times New Roman" w:eastAsia="Times New Roman" w:hint="default"/>
        </w:rPr>
        <w:t>10,000</w:t>
      </w:r>
      <w:r>
        <w:rPr/>
        <w:t>万元。</w:t>
      </w:r>
    </w:p>
    <w:p>
      <w:pPr>
        <w:spacing w:line="240" w:lineRule="auto" w:before="10"/>
        <w:rPr>
          <w:rFonts w:ascii="宋体" w:hAnsi="宋体" w:cs="宋体" w:eastAsia="宋体" w:hint="default"/>
          <w:sz w:val="22"/>
          <w:szCs w:val="22"/>
        </w:rPr>
      </w:pPr>
    </w:p>
    <w:p>
      <w:pPr>
        <w:pStyle w:val="Heading5"/>
        <w:spacing w:line="240" w:lineRule="auto"/>
        <w:ind w:left="154" w:right="0"/>
        <w:jc w:val="both"/>
      </w:pPr>
      <w:bookmarkStart w:name="（5）关联方资金拆借" w:id="437"/>
      <w:bookmarkEnd w:id="437"/>
      <w:r>
        <w:rPr/>
      </w:r>
      <w:r>
        <w:rPr/>
        <w:t>（</w:t>
      </w:r>
      <w:r>
        <w:rPr>
          <w:rFonts w:ascii="Times New Roman" w:hAnsi="Times New Roman" w:cs="Times New Roman" w:eastAsia="Times New Roman" w:hint="default"/>
        </w:rPr>
        <w:t>5</w:t>
      </w:r>
      <w:r>
        <w:rPr/>
        <w:t>）关联方资金拆借</w:t>
      </w:r>
    </w:p>
    <w:p>
      <w:pPr>
        <w:spacing w:line="240" w:lineRule="auto" w:before="12"/>
        <w:rPr>
          <w:rFonts w:ascii="宋体" w:hAnsi="宋体" w:cs="宋体" w:eastAsia="宋体" w:hint="default"/>
          <w:sz w:val="26"/>
          <w:szCs w:val="26"/>
        </w:rPr>
      </w:pPr>
    </w:p>
    <w:p>
      <w:pPr>
        <w:pStyle w:val="BodyText"/>
        <w:spacing w:line="240" w:lineRule="auto"/>
        <w:ind w:left="0" w:right="1130"/>
        <w:jc w:val="right"/>
      </w:pPr>
      <w:r>
        <w:rPr/>
        <w:pict>
          <v:group style="position:absolute;margin-left:212.899994pt;margin-top:57.16172pt;width:111.8pt;height:20.7pt;mso-position-horizontal-relative:page;mso-position-vertical-relative:paragraph;z-index:-1041160" coordorigin="4258,1143" coordsize="2236,414">
            <v:group style="position:absolute;left:4269;top:1155;width:2;height:392" coordorigin="4269,1155" coordsize="2,392">
              <v:shape style="position:absolute;left:4269;top:1155;width:2;height:392" coordorigin="4269,1155" coordsize="0,392" path="m4269,1155l4269,1546e" filled="false" stroked="true" strokeweight="1.140pt" strokecolor="#ffffff">
                <v:path arrowok="t"/>
              </v:shape>
            </v:group>
            <v:group style="position:absolute;left:4281;top:1155;width:2214;height:392" coordorigin="4281,1155" coordsize="2214,392">
              <v:shape style="position:absolute;left:4281;top:1155;width:2214;height:392" coordorigin="4281,1155" coordsize="2214,392" path="m4281,1546l6494,1546,6494,1155,4281,1155,4281,1546xe" filled="true" fillcolor="#ffffff" stroked="false">
                <v:path arrowok="t"/>
                <v:fill type="solid"/>
              </v:shape>
            </v:group>
            <w10:wrap type="none"/>
          </v:group>
        </w:pict>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2"/>
        <w:gridCol w:w="596"/>
        <w:gridCol w:w="1680"/>
        <w:gridCol w:w="1559"/>
        <w:gridCol w:w="1277"/>
        <w:gridCol w:w="1348"/>
      </w:tblGrid>
      <w:tr>
        <w:trPr>
          <w:trHeight w:val="402" w:hRule="exact"/>
        </w:trPr>
        <w:tc>
          <w:tcPr>
            <w:tcW w:w="3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拆借金额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8" w:hRule="exact"/>
        </w:trPr>
        <w:tc>
          <w:tcPr>
            <w:tcW w:w="3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82"/>
              <w:jc w:val="center"/>
              <w:rPr>
                <w:rFonts w:ascii="宋体" w:hAnsi="宋体" w:cs="宋体" w:eastAsia="宋体" w:hint="default"/>
                <w:sz w:val="18"/>
                <w:szCs w:val="18"/>
              </w:rPr>
            </w:pPr>
            <w:r>
              <w:rPr>
                <w:rFonts w:ascii="宋体" w:hAnsi="宋体" w:cs="宋体" w:eastAsia="宋体" w:hint="default"/>
                <w:sz w:val="18"/>
                <w:szCs w:val="18"/>
              </w:rPr>
              <w:t>北京东华诚信投资管理中</w:t>
            </w:r>
            <w:r>
              <w:rPr>
                <w:rFonts w:ascii="宋体" w:hAnsi="宋体" w:cs="宋体" w:eastAsia="宋体" w:hint="default"/>
                <w:spacing w:val="-87"/>
                <w:sz w:val="18"/>
                <w:szCs w:val="18"/>
              </w:rPr>
              <w:t>心</w:t>
            </w:r>
            <w:r>
              <w:rPr>
                <w:rFonts w:ascii="宋体" w:hAnsi="宋体" w:cs="宋体" w:eastAsia="宋体" w:hint="default"/>
                <w:spacing w:val="-2"/>
                <w:sz w:val="18"/>
                <w:szCs w:val="18"/>
              </w:rPr>
              <w:t>（</w:t>
            </w:r>
            <w:r>
              <w:rPr>
                <w:rFonts w:ascii="宋体" w:hAnsi="宋体" w:cs="宋体" w:eastAsia="宋体" w:hint="default"/>
                <w:sz w:val="18"/>
                <w:szCs w:val="18"/>
              </w:rPr>
              <w:t>有限合伙</w:t>
            </w:r>
          </w:p>
        </w:tc>
        <w:tc>
          <w:tcPr>
            <w:tcW w:w="596" w:type="dxa"/>
            <w:tcBorders>
              <w:top w:val="single" w:sz="4" w:space="0" w:color="000000"/>
              <w:left w:val="single" w:sz="9" w:space="0" w:color="D9D9D9"/>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695,066,000.00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957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3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82"/>
              <w:jc w:val="center"/>
              <w:rPr>
                <w:rFonts w:ascii="宋体" w:hAnsi="宋体" w:cs="宋体" w:eastAsia="宋体" w:hint="default"/>
                <w:sz w:val="18"/>
                <w:szCs w:val="18"/>
              </w:rPr>
            </w:pPr>
            <w:r>
              <w:rPr>
                <w:rFonts w:ascii="宋体" w:hAnsi="宋体" w:cs="宋体" w:eastAsia="宋体" w:hint="default"/>
                <w:sz w:val="18"/>
                <w:szCs w:val="18"/>
              </w:rPr>
              <w:t>北京东华诚信投资管理中</w:t>
            </w:r>
            <w:r>
              <w:rPr>
                <w:rFonts w:ascii="宋体" w:hAnsi="宋体" w:cs="宋体" w:eastAsia="宋体" w:hint="default"/>
                <w:spacing w:val="-87"/>
                <w:sz w:val="18"/>
                <w:szCs w:val="18"/>
              </w:rPr>
              <w:t>心</w:t>
            </w:r>
            <w:r>
              <w:rPr>
                <w:rFonts w:ascii="宋体" w:hAnsi="宋体" w:cs="宋体" w:eastAsia="宋体" w:hint="default"/>
                <w:spacing w:val="-2"/>
                <w:sz w:val="18"/>
                <w:szCs w:val="18"/>
              </w:rPr>
              <w:t>（</w:t>
            </w:r>
            <w:r>
              <w:rPr>
                <w:rFonts w:ascii="宋体" w:hAnsi="宋体" w:cs="宋体" w:eastAsia="宋体" w:hint="default"/>
                <w:sz w:val="18"/>
                <w:szCs w:val="18"/>
              </w:rPr>
              <w:t>有限合伙</w:t>
            </w:r>
          </w:p>
        </w:tc>
        <w:tc>
          <w:tcPr>
            <w:tcW w:w="596" w:type="dxa"/>
            <w:tcBorders>
              <w:top w:val="single" w:sz="4" w:space="0" w:color="000000"/>
              <w:left w:val="single" w:sz="9" w:space="0" w:color="D9D9D9"/>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314,590,000.00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82"/>
              <w:jc w:val="center"/>
              <w:rPr>
                <w:rFonts w:ascii="宋体" w:hAnsi="宋体" w:cs="宋体" w:eastAsia="宋体" w:hint="default"/>
                <w:sz w:val="18"/>
                <w:szCs w:val="18"/>
              </w:rPr>
            </w:pPr>
            <w:r>
              <w:rPr>
                <w:rFonts w:ascii="宋体" w:hAnsi="宋体" w:cs="宋体" w:eastAsia="宋体" w:hint="default"/>
                <w:sz w:val="18"/>
                <w:szCs w:val="18"/>
              </w:rPr>
              <w:t>北京合创电商投资顾问中</w:t>
            </w:r>
            <w:r>
              <w:rPr>
                <w:rFonts w:ascii="宋体" w:hAnsi="宋体" w:cs="宋体" w:eastAsia="宋体" w:hint="default"/>
                <w:spacing w:val="-87"/>
                <w:sz w:val="18"/>
                <w:szCs w:val="18"/>
              </w:rPr>
              <w:t>心</w:t>
            </w:r>
            <w:r>
              <w:rPr>
                <w:rFonts w:ascii="宋体" w:hAnsi="宋体" w:cs="宋体" w:eastAsia="宋体" w:hint="default"/>
                <w:spacing w:val="-2"/>
                <w:sz w:val="18"/>
                <w:szCs w:val="18"/>
              </w:rPr>
              <w:t>（</w:t>
            </w:r>
            <w:r>
              <w:rPr>
                <w:rFonts w:ascii="宋体" w:hAnsi="宋体" w:cs="宋体" w:eastAsia="宋体" w:hint="default"/>
                <w:sz w:val="18"/>
                <w:szCs w:val="18"/>
              </w:rPr>
              <w:t>有限合伙</w:t>
            </w:r>
          </w:p>
        </w:tc>
        <w:tc>
          <w:tcPr>
            <w:tcW w:w="596" w:type="dxa"/>
            <w:tcBorders>
              <w:top w:val="single" w:sz="4" w:space="0" w:color="000000"/>
              <w:left w:val="single" w:sz="9" w:space="0" w:color="D9D9D9"/>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r>
        <w:rPr/>
        <w:pict>
          <v:group style="position:absolute;margin-left:212.899994pt;margin-top:-53.650314pt;width:111.8pt;height:40.8pt;mso-position-horizontal-relative:page;mso-position-vertical-relative:paragraph;z-index:-1041136" coordorigin="4258,-1073" coordsize="2236,816">
            <v:group style="position:absolute;left:4269;top:-1062;width:2;height:392" coordorigin="4269,-1062" coordsize="2,392">
              <v:shape style="position:absolute;left:4269;top:-1062;width:2;height:392" coordorigin="4269,-1062" coordsize="0,392" path="m4269,-1062l4269,-670e" filled="false" stroked="true" strokeweight="1.140pt" strokecolor="#ffffff">
                <v:path arrowok="t"/>
              </v:shape>
            </v:group>
            <v:group style="position:absolute;left:4281;top:-1062;width:2214;height:392" coordorigin="4281,-1062" coordsize="2214,392">
              <v:shape style="position:absolute;left:4281;top:-1062;width:2214;height:392" coordorigin="4281,-1062" coordsize="2214,392" path="m4281,-670l6494,-670,6494,-1062,4281,-1062,4281,-670xe" filled="true" fillcolor="#ffffff" stroked="false">
                <v:path arrowok="t"/>
                <v:fill type="solid"/>
              </v:shape>
            </v:group>
            <v:group style="position:absolute;left:4269;top:-660;width:2;height:392" coordorigin="4269,-660" coordsize="2,392">
              <v:shape style="position:absolute;left:4269;top:-660;width:2;height:392" coordorigin="4269,-660" coordsize="0,392" path="m4269,-660l4269,-268e" filled="false" stroked="true" strokeweight="1.140pt" strokecolor="#ffffff">
                <v:path arrowok="t"/>
              </v:shape>
            </v:group>
            <v:group style="position:absolute;left:4281;top:-660;width:2214;height:392" coordorigin="4281,-660" coordsize="2214,392">
              <v:shape style="position:absolute;left:4281;top:-660;width:2214;height:392" coordorigin="4281,-660" coordsize="2214,392" path="m4281,-268l6494,-268,6494,-660,4281,-660,4281,-268xe" filled="true" fillcolor="#ffffff" stroked="false">
                <v:path arrowok="t"/>
                <v:fill type="solid"/>
              </v:shape>
            </v:group>
            <w10:wrap type="none"/>
          </v:group>
        </w:pict>
      </w:r>
      <w:bookmarkStart w:name="（6）关联方资产转让、债务重组情况" w:id="438"/>
      <w:bookmarkEnd w:id="438"/>
      <w:r>
        <w:rPr/>
      </w:r>
      <w:r>
        <w:rPr/>
        <w:t>（</w:t>
      </w:r>
      <w:r>
        <w:rPr>
          <w:rFonts w:ascii="Times New Roman" w:hAnsi="Times New Roman" w:cs="Times New Roman" w:eastAsia="Times New Roman" w:hint="default"/>
        </w:rPr>
        <w:t>6</w:t>
      </w:r>
      <w:r>
        <w:rPr/>
        <w:t>）关联方资产转让、债务重组情况</w:t>
      </w:r>
    </w:p>
    <w:p>
      <w:pPr>
        <w:spacing w:line="240" w:lineRule="auto" w:before="13"/>
        <w:rPr>
          <w:rFonts w:ascii="宋体" w:hAnsi="宋体" w:cs="宋体" w:eastAsia="宋体" w:hint="default"/>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40" w:lineRule="auto" w:before="38"/>
        <w:ind w:right="0"/>
        <w:jc w:val="left"/>
      </w:pPr>
      <w:bookmarkStart w:name="（7）关键管理人员报酬" w:id="439"/>
      <w:bookmarkEnd w:id="439"/>
      <w:r>
        <w:rPr/>
      </w:r>
      <w:r>
        <w:rPr/>
        <w:t>（</w:t>
      </w:r>
      <w:r>
        <w:rPr>
          <w:rFonts w:ascii="Times New Roman" w:hAnsi="Times New Roman" w:cs="Times New Roman" w:eastAsia="Times New Roman" w:hint="default"/>
        </w:rPr>
        <w:t>7</w:t>
      </w:r>
      <w:r>
        <w:rPr/>
        <w:t>）关键管理人员报酬</w:t>
      </w:r>
    </w:p>
    <w:p>
      <w:pPr>
        <w:spacing w:line="240" w:lineRule="auto" w:before="8"/>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7,597,000.00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7,755,200.00</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8）其他关联交易" w:id="440"/>
      <w:bookmarkEnd w:id="440"/>
      <w:r>
        <w:rPr/>
      </w:r>
      <w:r>
        <w:rPr/>
        <w:t>（</w:t>
      </w:r>
      <w:r>
        <w:rPr>
          <w:rFonts w:ascii="Times New Roman" w:hAnsi="Times New Roman" w:cs="Times New Roman" w:eastAsia="Times New Roman" w:hint="default"/>
        </w:rPr>
        <w:t>8</w:t>
      </w:r>
      <w:r>
        <w:rPr/>
        <w:t>）其他关联交易</w:t>
      </w:r>
    </w:p>
    <w:p>
      <w:pPr>
        <w:spacing w:line="240" w:lineRule="auto" w:before="12"/>
        <w:rPr>
          <w:rFonts w:ascii="宋体" w:hAnsi="宋体" w:cs="宋体" w:eastAsia="宋体" w:hint="default"/>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关联方应收应付款项" w:id="441"/>
      <w:bookmarkEnd w:id="44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right="0"/>
        <w:jc w:val="left"/>
      </w:pPr>
      <w:bookmarkStart w:name="（1）应收项目" w:id="442"/>
      <w:bookmarkEnd w:id="442"/>
      <w:r>
        <w:rPr/>
      </w:r>
      <w:r>
        <w:rPr/>
        <w:t>（</w:t>
      </w:r>
      <w:r>
        <w:rPr>
          <w:rFonts w:ascii="Times New Roman" w:hAnsi="Times New Roman" w:cs="Times New Roman" w:eastAsia="Times New Roman" w:hint="default"/>
        </w:rPr>
        <w:t>1</w:t>
      </w:r>
      <w:r>
        <w:rPr/>
        <w:t>）应收项目</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2658"/>
        <w:gridCol w:w="1134"/>
        <w:gridCol w:w="1559"/>
        <w:gridCol w:w="1277"/>
        <w:gridCol w:w="134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9D9D9"/>
          </w:tcPr>
          <w:p>
            <w:pPr/>
          </w:p>
        </w:tc>
        <w:tc>
          <w:tcPr>
            <w:tcW w:w="265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北京卓讯科信技术有限公司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28,551,413.35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0" w:right="0"/>
              <w:jc w:val="left"/>
              <w:rPr>
                <w:rFonts w:ascii="Times New Roman" w:hAnsi="Times New Roman" w:cs="Times New Roman" w:eastAsia="Times New Roman" w:hint="default"/>
                <w:sz w:val="18"/>
                <w:szCs w:val="18"/>
              </w:rPr>
            </w:pPr>
            <w:r>
              <w:rPr>
                <w:rFonts w:ascii="Times New Roman"/>
                <w:sz w:val="18"/>
              </w:rPr>
              <w:t>693,939.64</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深圳市贝尔加数据信息有限公司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26,619,303.40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5" w:right="0"/>
              <w:jc w:val="left"/>
              <w:rPr>
                <w:rFonts w:ascii="Times New Roman" w:hAnsi="Times New Roman" w:cs="Times New Roman" w:eastAsia="Times New Roman" w:hint="default"/>
                <w:sz w:val="18"/>
                <w:szCs w:val="18"/>
              </w:rPr>
            </w:pPr>
            <w:r>
              <w:rPr>
                <w:rFonts w:ascii="Times New Roman"/>
                <w:sz w:val="18"/>
              </w:rPr>
              <w:t>266,193.03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9"/>
          <w:szCs w:val="19"/>
        </w:rPr>
      </w:pPr>
    </w:p>
    <w:p>
      <w:pPr>
        <w:pStyle w:val="Heading5"/>
        <w:spacing w:line="240" w:lineRule="auto" w:before="38"/>
        <w:ind w:left="154" w:right="0"/>
        <w:jc w:val="left"/>
      </w:pPr>
      <w:bookmarkStart w:name="（2）应付项目" w:id="443"/>
      <w:bookmarkEnd w:id="443"/>
      <w:r>
        <w:rPr/>
      </w:r>
      <w:r>
        <w:rPr/>
        <w:t>（</w:t>
      </w:r>
      <w:r>
        <w:rPr>
          <w:rFonts w:ascii="Times New Roman" w:hAnsi="Times New Roman" w:cs="Times New Roman" w:eastAsia="Times New Roman" w:hint="default"/>
        </w:rPr>
        <w:t>2</w:t>
      </w:r>
      <w:r>
        <w:rPr/>
        <w:t>）应付项目</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1"/>
        <w:gridCol w:w="3261"/>
        <w:gridCol w:w="2214"/>
        <w:gridCol w:w="2392"/>
      </w:tblGrid>
      <w:tr>
        <w:trPr>
          <w:trHeight w:val="402" w:hRule="exact"/>
        </w:trPr>
        <w:tc>
          <w:tcPr>
            <w:tcW w:w="1701"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12"/>
              <w:jc w:val="center"/>
              <w:rPr>
                <w:rFonts w:ascii="宋体" w:hAnsi="宋体" w:cs="宋体" w:eastAsia="宋体" w:hint="default"/>
                <w:sz w:val="18"/>
                <w:szCs w:val="18"/>
              </w:rPr>
            </w:pPr>
            <w:r>
              <w:rPr>
                <w:rFonts w:ascii="宋体" w:hAnsi="宋体" w:cs="宋体" w:eastAsia="宋体" w:hint="default"/>
                <w:sz w:val="18"/>
                <w:szCs w:val="18"/>
              </w:rPr>
              <w:t>北京合创电商投资顾问中心（有限合伙）</w:t>
            </w:r>
          </w:p>
        </w:tc>
        <w:tc>
          <w:tcPr>
            <w:tcW w:w="221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12"/>
              <w:jc w:val="center"/>
              <w:rPr>
                <w:rFonts w:ascii="宋体" w:hAnsi="宋体" w:cs="宋体" w:eastAsia="宋体" w:hint="default"/>
                <w:sz w:val="18"/>
                <w:szCs w:val="18"/>
              </w:rPr>
            </w:pPr>
            <w:r>
              <w:rPr>
                <w:rFonts w:ascii="宋体" w:hAnsi="宋体" w:cs="宋体" w:eastAsia="宋体" w:hint="default"/>
                <w:sz w:val="18"/>
                <w:szCs w:val="18"/>
              </w:rPr>
              <w:t>北京东华诚信投资管理中心（有限合伙）</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0" w:right="0"/>
              <w:jc w:val="left"/>
              <w:rPr>
                <w:rFonts w:ascii="Times New Roman" w:hAnsi="Times New Roman" w:cs="Times New Roman" w:eastAsia="Times New Roman" w:hint="default"/>
                <w:sz w:val="18"/>
                <w:szCs w:val="18"/>
              </w:rPr>
            </w:pPr>
            <w:r>
              <w:rPr>
                <w:rFonts w:ascii="Times New Roman"/>
                <w:sz w:val="18"/>
              </w:rPr>
              <w:t>1,231,449,669.33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846,463,292.76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关联方承诺" w:id="444"/>
      <w:bookmarkEnd w:id="44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53" w:right="8751" w:firstLine="0"/>
        <w:jc w:val="left"/>
        <w:rPr>
          <w:rFonts w:ascii="宋体" w:hAnsi="宋体" w:cs="宋体" w:eastAsia="宋体" w:hint="default"/>
          <w:sz w:val="21"/>
          <w:szCs w:val="21"/>
        </w:rPr>
      </w:pPr>
      <w:bookmarkStart w:name="8、其他" w:id="445"/>
      <w:bookmarkEnd w:id="44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46"/>
      <w:bookmarkEnd w:id="446"/>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47"/>
      <w:bookmarkEnd w:id="44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448"/>
      <w:bookmarkEnd w:id="44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以现金结算的股份支付情况" w:id="449"/>
      <w:bookmarkEnd w:id="44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股份支付的修改、终止情况" w:id="450"/>
      <w:bookmarkEnd w:id="450"/>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3" w:right="8344" w:firstLine="0"/>
        <w:jc w:val="left"/>
        <w:rPr>
          <w:rFonts w:ascii="宋体" w:hAnsi="宋体" w:cs="宋体" w:eastAsia="宋体" w:hint="default"/>
          <w:sz w:val="21"/>
          <w:szCs w:val="21"/>
        </w:rPr>
      </w:pPr>
      <w:bookmarkStart w:name="5、其他" w:id="451"/>
      <w:bookmarkEnd w:id="45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52"/>
      <w:bookmarkEnd w:id="452"/>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53"/>
      <w:bookmarkEnd w:id="45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8"/>
        <w:ind w:left="154" w:right="8412"/>
        <w:jc w:val="left"/>
      </w:pPr>
      <w:r>
        <w:rPr/>
        <w:t>资产负债表日存在的重要承诺 无。</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或有事项" w:id="454"/>
      <w:bookmarkEnd w:id="45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6"/>
          <w:szCs w:val="26"/>
        </w:rPr>
      </w:pPr>
    </w:p>
    <w:p>
      <w:pPr>
        <w:pStyle w:val="BodyText"/>
        <w:spacing w:line="590" w:lineRule="auto"/>
        <w:ind w:left="154" w:right="7602"/>
        <w:jc w:val="left"/>
      </w:pPr>
      <w:bookmarkStart w:name="（1）资产负债表日存在的重要或有事项" w:id="455"/>
      <w:bookmarkEnd w:id="455"/>
      <w:r>
        <w:rPr/>
      </w:r>
      <w:r>
        <w:rPr/>
        <w:t>（</w:t>
      </w:r>
      <w:r>
        <w:rPr>
          <w:rFonts w:ascii="Times New Roman" w:hAnsi="Times New Roman" w:cs="Times New Roman" w:eastAsia="Times New Roman" w:hint="default"/>
        </w:rPr>
        <w:t>1</w:t>
      </w:r>
      <w:r>
        <w:rPr/>
        <w:t>）资产负债表日存在的重要或有事项 无。</w:t>
      </w:r>
    </w:p>
    <w:p>
      <w:pPr>
        <w:pStyle w:val="BodyText"/>
        <w:spacing w:line="592" w:lineRule="auto" w:before="113"/>
        <w:ind w:left="514" w:right="6342" w:hanging="360"/>
        <w:jc w:val="left"/>
      </w:pPr>
      <w:bookmarkStart w:name="（2）公司没有需要披露的重要或有事项，也应予以说明" w:id="456"/>
      <w:bookmarkEnd w:id="456"/>
      <w:r>
        <w:rPr/>
      </w:r>
      <w:r>
        <w:rPr/>
        <w:t>（</w:t>
      </w:r>
      <w:r>
        <w:rPr>
          <w:rFonts w:ascii="Times New Roman" w:hAnsi="Times New Roman" w:cs="Times New Roman" w:eastAsia="Times New Roman" w:hint="default"/>
        </w:rPr>
        <w:t>2</w:t>
      </w:r>
      <w:r>
        <w:rPr/>
        <w:t>）公司没有需要披露的重要或有事项，也应予以说明 公司不存在需要披露的重要或有事项。</w:t>
      </w:r>
    </w:p>
    <w:p>
      <w:pPr>
        <w:pStyle w:val="Heading3"/>
        <w:spacing w:line="240" w:lineRule="auto" w:before="85"/>
        <w:ind w:left="154" w:right="0"/>
        <w:jc w:val="left"/>
        <w:rPr>
          <w:b w:val="0"/>
          <w:bCs w:val="0"/>
        </w:rPr>
      </w:pPr>
      <w:bookmarkStart w:name="3、其他" w:id="457"/>
      <w:bookmarkEnd w:id="457"/>
      <w:r>
        <w:rPr>
          <w:b w:val="0"/>
          <w:bCs w:val="0"/>
        </w:rPr>
      </w:r>
      <w:r>
        <w:rPr>
          <w:rFonts w:ascii="Times New Roman" w:hAnsi="Times New Roman" w:cs="Times New Roman" w:eastAsia="Times New Roman" w:hint="default"/>
        </w:rPr>
        <w:t>3</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54" w:right="0"/>
        <w:jc w:val="left"/>
        <w:rPr>
          <w:b w:val="0"/>
          <w:bCs w:val="0"/>
        </w:rPr>
      </w:pPr>
      <w:bookmarkStart w:name="十五、资产负债表日后事项" w:id="458"/>
      <w:bookmarkEnd w:id="458"/>
      <w:r>
        <w:rPr>
          <w:b w:val="0"/>
          <w:bCs w:val="0"/>
        </w:rPr>
      </w:r>
      <w:r>
        <w:rPr/>
        <w:t>十五、资产负债表日后事项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六、其他重要事项" w:id="459"/>
      <w:bookmarkEnd w:id="459"/>
      <w:r>
        <w:rPr>
          <w:b w:val="0"/>
          <w:bCs w:val="0"/>
        </w:rPr>
      </w:r>
      <w:r>
        <w:rPr/>
        <w:t>十六、其他重要事项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七、母公司财务报表主要项目注释" w:id="460"/>
      <w:bookmarkEnd w:id="460"/>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461"/>
      <w:bookmarkEnd w:id="46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right="0"/>
        <w:jc w:val="left"/>
      </w:pPr>
      <w:bookmarkStart w:name="（1）应收账款分类披露" w:id="462"/>
      <w:bookmarkEnd w:id="462"/>
      <w:r>
        <w:rPr/>
      </w:r>
      <w:r>
        <w:rPr/>
        <w:t>（</w:t>
      </w:r>
      <w:r>
        <w:rPr>
          <w:rFonts w:ascii="Times New Roman" w:hAnsi="Times New Roman" w:cs="Times New Roman" w:eastAsia="Times New Roman" w:hint="default"/>
        </w:rPr>
        <w:t>1</w:t>
      </w:r>
      <w:r>
        <w:rPr/>
        <w:t>）应收账款分类披露</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3,493,36</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7,885.93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259,054,</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727.66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3,234,313</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,158.27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55,448.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175,667,2</w:t>
            </w:r>
          </w:p>
          <w:p>
            <w:pPr>
              <w:pStyle w:val="TableParagraph"/>
              <w:spacing w:line="240" w:lineRule="auto" w:before="106"/>
              <w:ind w:left="376" w:right="0"/>
              <w:jc w:val="left"/>
              <w:rPr>
                <w:rFonts w:ascii="Times New Roman" w:hAnsi="Times New Roman" w:cs="Times New Roman" w:eastAsia="Times New Roman" w:hint="default"/>
                <w:sz w:val="18"/>
                <w:szCs w:val="18"/>
              </w:rPr>
            </w:pPr>
            <w:r>
              <w:rPr>
                <w:rFonts w:ascii="Times New Roman"/>
                <w:sz w:val="18"/>
              </w:rPr>
              <w:t>07.71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3,038,688,2</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40.47</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3,493,36</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7,885.93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259,054,</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727.66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7.42%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3,234,313</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,158.27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55,448.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175,667,2</w:t>
            </w:r>
          </w:p>
          <w:p>
            <w:pPr>
              <w:pStyle w:val="TableParagraph"/>
              <w:spacing w:line="240" w:lineRule="auto" w:before="106"/>
              <w:ind w:left="376" w:right="0"/>
              <w:jc w:val="left"/>
              <w:rPr>
                <w:rFonts w:ascii="Times New Roman" w:hAnsi="Times New Roman" w:cs="Times New Roman" w:eastAsia="Times New Roman" w:hint="default"/>
                <w:sz w:val="18"/>
                <w:szCs w:val="18"/>
              </w:rPr>
            </w:pPr>
            <w:r>
              <w:rPr>
                <w:rFonts w:ascii="Times New Roman"/>
                <w:sz w:val="18"/>
              </w:rPr>
              <w:t>07.71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3,038,688,2</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40.47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1,754,274,720.46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17,542,747.16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762,197,533.71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38,109,876.69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474,698,419.16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47,469,841.92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403,907,683.08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121,172,304.93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90,756,532.23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27,226,959.67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7,532,997.29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7,532,997.29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3,493,367,885.93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259,054,727.66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7.42%</w:t>
            </w:r>
          </w:p>
        </w:tc>
      </w:tr>
    </w:tbl>
    <w:p>
      <w:pPr>
        <w:pStyle w:val="BodyText"/>
        <w:spacing w:line="240" w:lineRule="auto" w:before="51"/>
        <w:ind w:left="154" w:right="0"/>
        <w:jc w:val="left"/>
      </w:pPr>
      <w:r>
        <w:rPr/>
        <w:t>确定该组合依据的说明：</w:t>
      </w:r>
    </w:p>
    <w:p>
      <w:pPr>
        <w:spacing w:line="240" w:lineRule="auto" w:before="12"/>
        <w:rPr>
          <w:rFonts w:ascii="宋体" w:hAnsi="宋体" w:cs="宋体" w:eastAsia="宋体" w:hint="default"/>
          <w:sz w:val="14"/>
          <w:szCs w:val="14"/>
        </w:rPr>
      </w:pPr>
    </w:p>
    <w:p>
      <w:pPr>
        <w:pStyle w:val="BodyText"/>
        <w:spacing w:line="316" w:lineRule="auto"/>
        <w:ind w:right="0" w:firstLine="360"/>
        <w:jc w:val="left"/>
      </w:pPr>
      <w:r>
        <w:rPr>
          <w:spacing w:val="-2"/>
        </w:rPr>
        <w:t>已单独计提坏账准备的应收账款除外，公司根据以前年度与之相同或相类似的、按账龄段划分的具有类似信用风险特征</w:t>
      </w:r>
      <w:r>
        <w:rPr/>
        <w:t> 的应收账款组合的实际损失率为基础，结合现时情况确定本期坏账准备的计提比例。</w:t>
      </w:r>
    </w:p>
    <w:p>
      <w:pPr>
        <w:pStyle w:val="BodyText"/>
        <w:spacing w:line="240" w:lineRule="auto" w:before="140"/>
        <w:ind w:right="0"/>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2"/>
          <w:szCs w:val="22"/>
        </w:rPr>
      </w:pPr>
    </w:p>
    <w:p>
      <w:pPr>
        <w:pStyle w:val="BodyText"/>
        <w:spacing w:line="240" w:lineRule="auto"/>
        <w:ind w:right="0"/>
        <w:jc w:val="left"/>
      </w:pPr>
      <w:bookmarkStart w:name="（2）本期计提、收回或转回的坏账准备情况" w:id="463"/>
      <w:bookmarkEnd w:id="463"/>
      <w:r>
        <w:rPr/>
      </w:r>
      <w:r>
        <w:rPr/>
        <w:t>（</w:t>
      </w:r>
      <w:r>
        <w:rPr>
          <w:rFonts w:ascii="Times New Roman" w:hAnsi="Times New Roman" w:cs="Times New Roman" w:eastAsia="Times New Roman" w:hint="default"/>
        </w:rPr>
        <w:t>2</w:t>
      </w:r>
      <w:r>
        <w:rPr/>
        <w:t>）本期计提、收回或转回的坏账准备情况</w:t>
      </w:r>
    </w:p>
    <w:p>
      <w:pPr>
        <w:spacing w:line="240" w:lineRule="auto" w:before="0"/>
        <w:rPr>
          <w:rFonts w:ascii="宋体" w:hAnsi="宋体" w:cs="宋体" w:eastAsia="宋体" w:hint="default"/>
          <w:sz w:val="18"/>
          <w:szCs w:val="18"/>
        </w:rPr>
      </w:pPr>
    </w:p>
    <w:p>
      <w:pPr>
        <w:pStyle w:val="BodyText"/>
        <w:spacing w:line="240" w:lineRule="auto" w:before="130"/>
        <w:ind w:left="514" w:right="0"/>
        <w:jc w:val="left"/>
      </w:pPr>
      <w:r>
        <w:rPr/>
        <w:t>本期计提坏账准备金额</w:t>
      </w:r>
      <w:r>
        <w:rPr>
          <w:spacing w:val="-47"/>
        </w:rPr>
        <w:t> </w:t>
      </w:r>
      <w:r>
        <w:rPr>
          <w:rFonts w:ascii="Times New Roman" w:hAnsi="Times New Roman" w:cs="Times New Roman" w:eastAsia="Times New Roman" w:hint="default"/>
        </w:rPr>
        <w:t>83,436,215.95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bookmarkStart w:name="（3）本期实际核销的应收账款情况" w:id="464"/>
      <w:bookmarkEnd w:id="464"/>
      <w:r>
        <w:rPr/>
      </w:r>
      <w:r>
        <w:rPr/>
        <w:t>（</w:t>
      </w: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p>
    <w:p>
      <w:pPr>
        <w:pStyle w:val="BodyText"/>
        <w:spacing w:line="240" w:lineRule="auto" w:before="1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614" w:lineRule="exact" w:before="81"/>
        <w:ind w:left="514" w:right="0" w:hanging="360"/>
        <w:jc w:val="left"/>
      </w:pPr>
      <w:bookmarkStart w:name="（4）按欠款方归集的期末余额前五名的应收账款情况" w:id="465"/>
      <w:bookmarkEnd w:id="465"/>
      <w:r>
        <w:rPr/>
      </w:r>
      <w:r>
        <w:rPr/>
        <w:t>（</w:t>
      </w:r>
      <w:r>
        <w:rPr>
          <w:rFonts w:ascii="Times New Roman" w:hAnsi="Times New Roman" w:cs="Times New Roman" w:eastAsia="Times New Roman" w:hint="default"/>
        </w:rPr>
        <w:t>4</w:t>
      </w:r>
      <w:r>
        <w:rPr/>
        <w:t>）按欠款方归集的期末余额前五名的应收账款情况 </w:t>
      </w:r>
      <w:r>
        <w:rPr>
          <w:spacing w:val="6"/>
        </w:rPr>
        <w:t>本报告期按欠款方归集的期末余额前五名应收账款汇总金额</w:t>
      </w:r>
      <w:r>
        <w:rPr>
          <w:rFonts w:ascii="Times New Roman" w:hAnsi="Times New Roman" w:cs="Times New Roman" w:eastAsia="Times New Roman" w:hint="default"/>
          <w:spacing w:val="6"/>
        </w:rPr>
        <w:t>405,960,519.92</w:t>
      </w:r>
      <w:r>
        <w:rPr>
          <w:spacing w:val="6"/>
        </w:rPr>
        <w:t>元，占应收账款期末余额合计数的比例</w:t>
      </w:r>
    </w:p>
    <w:p>
      <w:pPr>
        <w:pStyle w:val="BodyText"/>
        <w:spacing w:line="228" w:lineRule="exact"/>
        <w:ind w:left="154" w:right="0"/>
        <w:jc w:val="left"/>
      </w:pPr>
      <w:r>
        <w:rPr>
          <w:rFonts w:ascii="Times New Roman" w:hAnsi="Times New Roman" w:cs="Times New Roman" w:eastAsia="Times New Roman" w:hint="default"/>
        </w:rPr>
        <w:t>11.62%</w:t>
      </w:r>
      <w:r>
        <w:rPr/>
        <w:t>，相应计提的坏账准备期末余额汇总金额</w:t>
      </w:r>
      <w:r>
        <w:rPr>
          <w:rFonts w:ascii="Times New Roman" w:hAnsi="Times New Roman" w:cs="Times New Roman" w:eastAsia="Times New Roman" w:hint="default"/>
        </w:rPr>
        <w:t>30,206,593.95</w:t>
      </w:r>
      <w:r>
        <w:rPr/>
        <w:t>元。</w:t>
      </w:r>
    </w:p>
    <w:p>
      <w:pPr>
        <w:spacing w:line="240" w:lineRule="auto" w:before="0"/>
        <w:rPr>
          <w:rFonts w:ascii="宋体" w:hAnsi="宋体" w:cs="宋体" w:eastAsia="宋体" w:hint="default"/>
          <w:sz w:val="18"/>
          <w:szCs w:val="18"/>
        </w:rPr>
      </w:pPr>
    </w:p>
    <w:p>
      <w:pPr>
        <w:pStyle w:val="BodyText"/>
        <w:spacing w:line="590" w:lineRule="auto" w:before="128"/>
        <w:ind w:left="154" w:right="7242"/>
        <w:jc w:val="left"/>
      </w:pPr>
      <w:bookmarkStart w:name="（5）因金融资产转移而终止确认的应收账款" w:id="466"/>
      <w:bookmarkEnd w:id="466"/>
      <w:r>
        <w:rPr/>
      </w:r>
      <w:r>
        <w:rPr/>
        <w:t>（</w:t>
      </w:r>
      <w:r>
        <w:rPr>
          <w:rFonts w:ascii="Times New Roman" w:hAnsi="Times New Roman" w:cs="Times New Roman" w:eastAsia="Times New Roman" w:hint="default"/>
        </w:rPr>
        <w:t>5</w:t>
      </w:r>
      <w:r>
        <w:rPr/>
        <w:t>）因金融资产转移而终止确认的应收账款 无。</w:t>
      </w:r>
    </w:p>
    <w:p>
      <w:pPr>
        <w:pStyle w:val="BodyText"/>
        <w:spacing w:line="590" w:lineRule="auto" w:before="113"/>
        <w:ind w:left="154" w:right="6522"/>
        <w:jc w:val="left"/>
      </w:pPr>
      <w:bookmarkStart w:name="（6）转移应收账款且继续涉入形成的资产、负债金额" w:id="467"/>
      <w:bookmarkEnd w:id="467"/>
      <w:r>
        <w:rPr/>
      </w:r>
      <w:r>
        <w:rPr/>
        <w:t>（</w:t>
      </w:r>
      <w:r>
        <w:rPr>
          <w:rFonts w:ascii="Times New Roman" w:hAnsi="Times New Roman" w:cs="Times New Roman" w:eastAsia="Times New Roman" w:hint="default"/>
        </w:rPr>
        <w:t>6</w:t>
      </w:r>
      <w:r>
        <w:rPr/>
        <w:t>）转移应收账款且继续涉入形成的资产、负债金额 无。</w:t>
      </w:r>
    </w:p>
    <w:p>
      <w:pPr>
        <w:pStyle w:val="Heading3"/>
        <w:spacing w:line="240" w:lineRule="auto" w:before="88"/>
        <w:ind w:left="154" w:right="0"/>
        <w:jc w:val="left"/>
        <w:rPr>
          <w:b w:val="0"/>
          <w:bCs w:val="0"/>
        </w:rPr>
      </w:pPr>
      <w:bookmarkStart w:name="2、其他应收款" w:id="468"/>
      <w:bookmarkEnd w:id="46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5"/>
        <w:rPr>
          <w:rFonts w:ascii="宋体" w:hAnsi="宋体" w:cs="宋体" w:eastAsia="宋体" w:hint="default"/>
          <w:b/>
          <w:bCs/>
          <w:sz w:val="25"/>
          <w:szCs w:val="25"/>
        </w:rPr>
      </w:pPr>
    </w:p>
    <w:p>
      <w:pPr>
        <w:pStyle w:val="Heading5"/>
        <w:spacing w:line="240" w:lineRule="auto"/>
        <w:ind w:left="154" w:right="0"/>
        <w:jc w:val="left"/>
      </w:pPr>
      <w:bookmarkStart w:name="（1）其他应收款分类披露" w:id="469"/>
      <w:bookmarkEnd w:id="469"/>
      <w:r>
        <w:rPr/>
      </w:r>
      <w:r>
        <w:rPr/>
        <w:t>（</w:t>
      </w:r>
      <w:r>
        <w:rPr>
          <w:rFonts w:ascii="Times New Roman" w:hAnsi="Times New Roman" w:cs="Times New Roman" w:eastAsia="Times New Roman" w:hint="default"/>
        </w:rPr>
        <w:t>1</w:t>
      </w:r>
      <w:r>
        <w:rPr/>
        <w:t>）其他应收款分类披露</w:t>
      </w:r>
    </w:p>
    <w:p>
      <w:pPr>
        <w:spacing w:line="240" w:lineRule="auto" w:before="12"/>
        <w:rPr>
          <w:rFonts w:ascii="宋体" w:hAnsi="宋体" w:cs="宋体" w:eastAsia="宋体" w:hint="default"/>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761,332,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819.86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76,422,6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684,910,1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63.57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510,236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,401.84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51,785,95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458,450,44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8.50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761,332,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819.86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76,422,6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56.29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10.04%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684,910,1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63.57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510,236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,401.84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51,785,95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3.34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458,450,44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8.50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0"/>
        <w:gridCol w:w="2390"/>
      </w:tblGrid>
      <w:tr>
        <w:trPr>
          <w:trHeight w:val="206"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533,566,332.28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5,335,663.32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67,588,602.75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3,379,430.14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56,683,577.05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5,668,357.71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33,657,021.51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10,097,106.45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25,564,553.72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7,669,366.12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44,272,732.55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44,272,732.55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761,332,819.86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76,422,656.29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w:t>
            </w:r>
          </w:p>
        </w:tc>
      </w:tr>
    </w:tbl>
    <w:p>
      <w:pPr>
        <w:pStyle w:val="BodyText"/>
        <w:spacing w:line="240" w:lineRule="auto" w:before="51"/>
        <w:ind w:left="154" w:right="0"/>
        <w:jc w:val="left"/>
      </w:pPr>
      <w:r>
        <w:rPr/>
        <w:t>确定该组合依据的说明：</w:t>
      </w:r>
    </w:p>
    <w:p>
      <w:pPr>
        <w:spacing w:line="240" w:lineRule="auto" w:before="10"/>
        <w:rPr>
          <w:rFonts w:ascii="宋体" w:hAnsi="宋体" w:cs="宋体" w:eastAsia="宋体" w:hint="default"/>
          <w:sz w:val="13"/>
          <w:szCs w:val="13"/>
        </w:rPr>
      </w:pPr>
    </w:p>
    <w:p>
      <w:pPr>
        <w:pStyle w:val="Heading5"/>
        <w:spacing w:line="285" w:lineRule="auto"/>
        <w:ind w:right="0" w:firstLine="399"/>
        <w:jc w:val="left"/>
      </w:pPr>
      <w:r>
        <w:rPr/>
        <w:t>已单独计提坏账准备的其他应收款除外，公司根据以前年度与之相同或相类似的、按账龄段划分的具有类</w:t>
      </w:r>
      <w:r>
        <w:rPr>
          <w:w w:val="100"/>
        </w:rPr>
        <w:t> </w:t>
      </w:r>
      <w:r>
        <w:rPr/>
        <w:t>似信用风险特征的其他应收款组合的实际损失率为基础，结合现时情况确定本期坏账准备的计提比例。</w:t>
      </w:r>
    </w:p>
    <w:p>
      <w:pPr>
        <w:pStyle w:val="BodyText"/>
        <w:spacing w:line="240" w:lineRule="auto" w:before="149"/>
        <w:ind w:right="0"/>
        <w:jc w:val="left"/>
      </w:pPr>
      <w:r>
        <w:rPr/>
        <w:t>组合中，采用余额百分比法计提坏账准备的其他应收款：</w:t>
      </w:r>
    </w:p>
    <w:p>
      <w:pPr>
        <w:pStyle w:val="BodyText"/>
        <w:spacing w:line="338"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240" w:lineRule="auto" w:before="126"/>
        <w:ind w:right="0"/>
        <w:jc w:val="left"/>
      </w:pPr>
      <w:bookmarkStart w:name="（2）本期计提、收回或转回的坏账准备情况" w:id="470"/>
      <w:bookmarkEnd w:id="470"/>
      <w:r>
        <w:rPr/>
      </w:r>
      <w:r>
        <w:rPr/>
        <w:t>（</w:t>
      </w:r>
      <w:r>
        <w:rPr>
          <w:rFonts w:ascii="Times New Roman" w:hAnsi="Times New Roman" w:cs="Times New Roman" w:eastAsia="Times New Roman" w:hint="default"/>
        </w:rPr>
        <w:t>2</w:t>
      </w:r>
      <w:r>
        <w:rPr/>
        <w:t>）本期计提、收回或转回的坏账准备情况</w:t>
      </w:r>
    </w:p>
    <w:p>
      <w:pPr>
        <w:spacing w:line="240" w:lineRule="auto" w:before="0"/>
        <w:rPr>
          <w:rFonts w:ascii="宋体" w:hAnsi="宋体" w:cs="宋体" w:eastAsia="宋体" w:hint="default"/>
          <w:sz w:val="18"/>
          <w:szCs w:val="18"/>
        </w:rPr>
      </w:pPr>
    </w:p>
    <w:p>
      <w:pPr>
        <w:pStyle w:val="BodyText"/>
        <w:spacing w:line="240" w:lineRule="auto" w:before="129"/>
        <w:ind w:left="514" w:right="0"/>
        <w:jc w:val="left"/>
      </w:pPr>
      <w:r>
        <w:rPr/>
        <w:t>本期计提坏账准备金额</w:t>
      </w:r>
      <w:r>
        <w:rPr>
          <w:spacing w:val="-47"/>
        </w:rPr>
        <w:t> </w:t>
      </w:r>
      <w:r>
        <w:rPr>
          <w:rFonts w:ascii="Times New Roman" w:hAnsi="Times New Roman" w:cs="Times New Roman" w:eastAsia="Times New Roman" w:hint="default"/>
        </w:rPr>
        <w:t>42,912,612.19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spacing w:line="240" w:lineRule="auto" w:before="126"/>
        <w:ind w:right="0"/>
        <w:jc w:val="left"/>
      </w:pPr>
      <w:bookmarkStart w:name="（3）本期实际核销的其他应收款情况" w:id="471"/>
      <w:bookmarkEnd w:id="471"/>
      <w:r>
        <w:rPr/>
      </w:r>
      <w:r>
        <w:rPr/>
        <w:t>（</w:t>
      </w: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p>
    <w:p>
      <w:pPr>
        <w:pStyle w:val="BodyText"/>
        <w:spacing w:line="240" w:lineRule="auto" w:before="129"/>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18,275,909.24</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4）其他应收款按款项性质分类情况" w:id="472"/>
      <w:bookmarkEnd w:id="472"/>
      <w:r>
        <w:rPr/>
      </w:r>
      <w:r>
        <w:rPr/>
        <w:t>（</w:t>
      </w:r>
      <w:r>
        <w:rPr>
          <w:rFonts w:ascii="Times New Roman" w:hAnsi="Times New Roman" w:cs="Times New Roman" w:eastAsia="Times New Roman" w:hint="default"/>
        </w:rPr>
        <w:t>4</w:t>
      </w:r>
      <w:r>
        <w:rPr/>
        <w:t>）其他应收款按款项性质分类情况</w:t>
      </w:r>
    </w:p>
    <w:p>
      <w:pPr>
        <w:spacing w:line="240" w:lineRule="auto" w:before="8"/>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87,383,438.33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92,785,445.62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114,550,533.12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95,320,558.86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115,839,131.34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106,456,152.50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377,844,431.52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154,202,973.37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外部往来款及其他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51,105,483.55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49,661,469.49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14,609,802.00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11,809,802.00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761,332,819.86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510,236,401.84</w:t>
            </w:r>
          </w:p>
        </w:tc>
      </w:tr>
    </w:tbl>
    <w:p>
      <w:pPr>
        <w:spacing w:line="240" w:lineRule="auto" w:before="9"/>
        <w:rPr>
          <w:rFonts w:ascii="宋体" w:hAnsi="宋体" w:cs="宋体" w:eastAsia="宋体" w:hint="default"/>
          <w:sz w:val="19"/>
          <w:szCs w:val="19"/>
        </w:rPr>
      </w:pPr>
    </w:p>
    <w:p>
      <w:pPr>
        <w:pStyle w:val="Heading5"/>
        <w:spacing w:line="240" w:lineRule="auto" w:before="38"/>
        <w:ind w:left="154" w:right="0"/>
        <w:jc w:val="left"/>
      </w:pPr>
      <w:bookmarkStart w:name="（5）按欠款方归集的期末余额前五名的其他应收款情况" w:id="473"/>
      <w:bookmarkEnd w:id="473"/>
      <w:r>
        <w:rPr/>
      </w:r>
      <w:r>
        <w:rPr/>
        <w:t>（</w:t>
      </w:r>
      <w:r>
        <w:rPr>
          <w:rFonts w:ascii="Times New Roman" w:hAnsi="Times New Roman" w:cs="Times New Roman" w:eastAsia="Times New Roman" w:hint="default"/>
        </w:rPr>
        <w:t>5</w:t>
      </w:r>
      <w:r>
        <w:rPr/>
        <w:t>）按欠款方归集的期末余额前五名的其他应收款情况</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东华博育云有限公司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91,524,749.00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915,247.49</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泰安东华合创软件有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54,095,411.61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540,954.12</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东华网络股份公司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40,385,288.54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403,852.89</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三亚东华云信数据服 务有限公司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37,396,600.00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373,966.00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北京东华易时科技有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35,819,658.37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358,196.58</w:t>
            </w:r>
          </w:p>
        </w:tc>
      </w:tr>
      <w:tr>
        <w:trPr>
          <w:trHeight w:val="402" w:hRule="exact"/>
        </w:trPr>
        <w:tc>
          <w:tcPr>
            <w:tcW w:w="16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259,221,707.52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2,592,217.08</w:t>
            </w:r>
          </w:p>
        </w:tc>
      </w:tr>
    </w:tbl>
    <w:p>
      <w:pPr>
        <w:spacing w:line="240" w:lineRule="auto" w:before="6"/>
        <w:rPr>
          <w:rFonts w:ascii="宋体" w:hAnsi="宋体" w:cs="宋体" w:eastAsia="宋体" w:hint="default"/>
          <w:sz w:val="20"/>
          <w:szCs w:val="20"/>
        </w:rPr>
      </w:pPr>
    </w:p>
    <w:p>
      <w:pPr>
        <w:pStyle w:val="BodyText"/>
        <w:spacing w:line="240" w:lineRule="auto" w:before="44"/>
        <w:ind w:left="154" w:right="0"/>
        <w:jc w:val="left"/>
      </w:pPr>
      <w:bookmarkStart w:name="（6）涉及政府补助的应收款项" w:id="474"/>
      <w:bookmarkEnd w:id="474"/>
      <w:r>
        <w:rPr/>
      </w:r>
      <w:r>
        <w:rPr/>
        <w:t>（</w:t>
      </w:r>
      <w:r>
        <w:rPr>
          <w:rFonts w:ascii="Times New Roman" w:hAnsi="Times New Roman" w:cs="Times New Roman" w:eastAsia="Times New Roman" w:hint="default"/>
        </w:rPr>
        <w:t>6</w:t>
      </w:r>
      <w:r>
        <w:rPr/>
        <w:t>）涉及政府补助的应收款项</w:t>
      </w:r>
    </w:p>
    <w:p>
      <w:pPr>
        <w:spacing w:line="240" w:lineRule="auto" w:before="0"/>
        <w:rPr>
          <w:rFonts w:ascii="宋体" w:hAnsi="宋体" w:cs="宋体" w:eastAsia="宋体" w:hint="default"/>
          <w:sz w:val="18"/>
          <w:szCs w:val="18"/>
        </w:rPr>
      </w:pPr>
    </w:p>
    <w:p>
      <w:pPr>
        <w:pStyle w:val="BodyText"/>
        <w:spacing w:line="240" w:lineRule="auto" w:before="128"/>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590" w:lineRule="auto" w:before="127"/>
        <w:ind w:left="154" w:right="7062"/>
        <w:jc w:val="left"/>
      </w:pPr>
      <w:bookmarkStart w:name="（7）因金融资产转移而终止确认的其他应收款" w:id="475"/>
      <w:bookmarkEnd w:id="475"/>
      <w:r>
        <w:rPr/>
      </w:r>
      <w:r>
        <w:rPr/>
        <w:t>（</w:t>
      </w:r>
      <w:r>
        <w:rPr>
          <w:rFonts w:ascii="Times New Roman" w:hAnsi="Times New Roman" w:cs="Times New Roman" w:eastAsia="Times New Roman" w:hint="default"/>
        </w:rPr>
        <w:t>7</w:t>
      </w:r>
      <w:r>
        <w:rPr/>
        <w:t>）因金融资产转移而终止确认的其他应收款 无。</w:t>
      </w:r>
    </w:p>
    <w:p>
      <w:pPr>
        <w:pStyle w:val="BodyText"/>
        <w:spacing w:line="592" w:lineRule="auto" w:before="114"/>
        <w:ind w:left="154" w:right="6342"/>
        <w:jc w:val="left"/>
      </w:pPr>
      <w:bookmarkStart w:name="（8）转移其他应收款且继续涉入形成的资产、负债金额" w:id="476"/>
      <w:bookmarkEnd w:id="476"/>
      <w:r>
        <w:rPr/>
      </w:r>
      <w:r>
        <w:rPr/>
        <w:t>（</w:t>
      </w:r>
      <w:r>
        <w:rPr>
          <w:rFonts w:ascii="Times New Roman" w:hAnsi="Times New Roman" w:cs="Times New Roman" w:eastAsia="Times New Roman" w:hint="default"/>
        </w:rPr>
        <w:t>8</w:t>
      </w:r>
      <w:r>
        <w:rPr/>
        <w:t>）转移其他应收款且继续涉入形成的资产、负债金额 无。</w:t>
      </w:r>
    </w:p>
    <w:p>
      <w:pPr>
        <w:pStyle w:val="Heading3"/>
        <w:spacing w:line="240" w:lineRule="auto" w:before="85"/>
        <w:ind w:left="154" w:right="0"/>
        <w:jc w:val="left"/>
        <w:rPr>
          <w:b w:val="0"/>
          <w:bCs w:val="0"/>
        </w:rPr>
      </w:pPr>
      <w:bookmarkStart w:name="3、长期股权投资" w:id="477"/>
      <w:bookmarkEnd w:id="47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3,537,252,208.60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3,339,292,208.60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3,443,282,282.04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3,443,282,282.04</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7,176,900.22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7,176,900.22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294,520.57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294,520.57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3,544,429,108.82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3,346,469,108.82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3,443,576,802.61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3,443,576,802.61</w:t>
            </w: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1）对子公司投资" w:id="478"/>
      <w:bookmarkEnd w:id="478"/>
      <w:r>
        <w:rPr/>
      </w:r>
      <w:r>
        <w:rPr/>
        <w:t>（</w:t>
      </w:r>
      <w:r>
        <w:rPr>
          <w:rFonts w:ascii="Times New Roman" w:hAnsi="Times New Roman" w:cs="Times New Roman" w:eastAsia="Times New Roman" w:hint="default"/>
        </w:rPr>
        <w:t>1</w:t>
      </w:r>
      <w:r>
        <w:rPr/>
        <w:t>）对子公司投资</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1277"/>
        <w:gridCol w:w="1559"/>
        <w:gridCol w:w="1276"/>
        <w:gridCol w:w="1202"/>
      </w:tblGrid>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5" w:right="55"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广州东华合创数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4" w:right="0"/>
              <w:jc w:val="left"/>
              <w:rPr>
                <w:rFonts w:ascii="Times New Roman" w:hAnsi="Times New Roman" w:cs="Times New Roman" w:eastAsia="Times New Roman" w:hint="default"/>
                <w:sz w:val="18"/>
                <w:szCs w:val="18"/>
              </w:rPr>
            </w:pPr>
            <w:r>
              <w:rPr>
                <w:rFonts w:ascii="Times New Roman"/>
                <w:sz w:val="18"/>
              </w:rPr>
              <w:t>872,155.63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4" w:right="0"/>
              <w:jc w:val="left"/>
              <w:rPr>
                <w:rFonts w:ascii="Times New Roman" w:hAnsi="Times New Roman" w:cs="Times New Roman" w:eastAsia="Times New Roman" w:hint="default"/>
                <w:sz w:val="18"/>
                <w:szCs w:val="18"/>
              </w:rPr>
            </w:pPr>
            <w:r>
              <w:rPr>
                <w:rFonts w:ascii="Times New Roman"/>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972,155.63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07"/>
        <w:gridCol w:w="1429"/>
        <w:gridCol w:w="1418"/>
        <w:gridCol w:w="1277"/>
        <w:gridCol w:w="1559"/>
        <w:gridCol w:w="1276"/>
        <w:gridCol w:w="1202"/>
      </w:tblGrid>
      <w:tr>
        <w:trPr>
          <w:trHeight w:val="362"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码科技有限公司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北京东华合创科 技有限公司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泰安东华合创软 件有限公司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27,998,593.90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27,998,593.90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北京联银通科技 有限公司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292,675,400.00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292,675,400.00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北京东华合创香 港有限公司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88,699.51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88,699.51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北京厚盾科技有 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东华软件工程有 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109,890,000.00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109,890,000.00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哈尔滨东华软件 有限公司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东华合创软件有 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东华软件技术有 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北京东华厚盾软 件有限公司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北京东华易时科 技有限公司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东华合创科技有 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沈阳普林科技有 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西安东华软件有 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北京神州新桥科 技有限公司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南昌东华软件有 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山西东华软件有 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北京东华信息技 术有限公司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北京卓讯科信技 术有限公司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27.879997pt;margin-top:393.799988pt;width:70.350pt;height:28.05pt;mso-position-horizontal-relative:page;mso-position-vertical-relative:page;z-index:-1041112" coordorigin="2558,7876" coordsize="1407,561">
            <v:group style="position:absolute;left:2558;top:7876;width:1407;height:156" coordorigin="2558,7876" coordsize="1407,156">
              <v:shape style="position:absolute;left:2558;top:7876;width:1407;height:156" coordorigin="2558,7876" coordsize="1407,156" path="m2558,8032l3964,8032,3964,7876,2558,7876,2558,8032xe" filled="true" fillcolor="#ffffff" stroked="false">
                <v:path arrowok="t"/>
                <v:fill type="solid"/>
              </v:shape>
            </v:group>
            <v:group style="position:absolute;left:2569;top:8032;width:2;height:393" coordorigin="2569,8032" coordsize="2,393">
              <v:shape style="position:absolute;left:2569;top:8032;width:2;height:393" coordorigin="2569,8032" coordsize="0,393" path="m2569,8032l2569,8425e" filled="false" stroked="true" strokeweight="1.140pt" strokecolor="#ffffff">
                <v:path arrowok="t"/>
              </v:shape>
            </v:group>
            <v:group style="position:absolute;left:2580;top:8032;width:1361;height:393" coordorigin="2580,8032" coordsize="1361,393">
              <v:shape style="position:absolute;left:2580;top:8032;width:1361;height:393" coordorigin="2580,8032" coordsize="1361,393" path="m2580,8425l3941,8425,3941,8032,2580,8032,2580,842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07"/>
        <w:gridCol w:w="258"/>
        <w:gridCol w:w="1171"/>
        <w:gridCol w:w="1418"/>
        <w:gridCol w:w="1277"/>
        <w:gridCol w:w="1559"/>
        <w:gridCol w:w="1276"/>
        <w:gridCol w:w="1202"/>
      </w:tblGrid>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东华软件开发有 限公司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9,900,000.00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天津东华博雅软 件股份有限公司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26,000,000.00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东华星联科技有 限公司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198,000,000.00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东华云计算有限 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94,499,500.00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北京光明数据信 息技术有限公司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300,000.00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健康乐软件有限 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85,220,000.00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85,220,000.00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东华智慧城市股 份有限公司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18,030,000.00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18,450,000.00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北京威锐达测控 系统有限公司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583,000,000.00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19,910,000.00</w:t>
            </w: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兰州东华软件有 限公司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5,000,000.00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合力东华（北京 科技有限公司</w:t>
            </w:r>
          </w:p>
        </w:tc>
        <w:tc>
          <w:tcPr>
            <w:tcW w:w="258" w:type="dxa"/>
            <w:tcBorders>
              <w:top w:val="single" w:sz="4" w:space="0" w:color="000000"/>
              <w:left w:val="single" w:sz="13" w:space="0" w:color="D9D9D9"/>
              <w:bottom w:val="single" w:sz="4" w:space="0" w:color="000000"/>
              <w:right w:val="nil" w:sz="6" w:space="0" w:color="auto"/>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1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5,000,000.00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东华互联宜家数 据服务有限公司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102,000,000.00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东华博育云有限 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42,781,500.00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56,218,500.00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苏州东华软件科 技有限公司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46,133,433.00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53,866,567.00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内蒙古东华软件 有限公司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6,918,500.00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5,955,162.84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12,873,662.84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海南东华软件有 限公司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79,760,000.00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19,240,000.00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东华网络股份公 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24,790,500.00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深圳市至高通信 技术发展有限公 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800,000,000.00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96,500,000.00</w:t>
            </w: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北京东华万兴软 件有限公司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153,000,000.00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81,550,000.00</w:t>
            </w: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东华智中能源互 联网有限公司</w:t>
            </w:r>
          </w:p>
        </w:tc>
        <w:tc>
          <w:tcPr>
            <w:tcW w:w="1429"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2,550,000.00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07"/>
        <w:gridCol w:w="1429"/>
        <w:gridCol w:w="1418"/>
        <w:gridCol w:w="1277"/>
        <w:gridCol w:w="1559"/>
        <w:gridCol w:w="1276"/>
        <w:gridCol w:w="1202"/>
      </w:tblGrid>
      <w:tr>
        <w:trPr>
          <w:trHeight w:val="1026"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吉林省东华软件 信息工程有限公 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华金在线股份公 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北京东华福蝉信 息技术有限公司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贵州东华云数据 科技有限责任公 司</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11,897,000.00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12,281,000.00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东华金云网络股 份公司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5,101,000.00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5,101,000.00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东华软件威海有 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3,641,696.72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3,641,696.72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河北东华冀通软 件有限公司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南京东华科创信 息技术有限公司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郑州东华诚信软 件有限公司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三亚东华云信数 据服务有限公司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云南东合数据信 息技术有限公司</w:t>
            </w:r>
          </w:p>
        </w:tc>
        <w:tc>
          <w:tcPr>
            <w:tcW w:w="1429" w:type="dxa"/>
            <w:tcBorders>
              <w:top w:val="single" w:sz="4" w:space="0" w:color="000000"/>
              <w:left w:val="single" w:sz="13" w:space="0" w:color="D9D9D9"/>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3,443,282,282.04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292,019,926.56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198,050,000.00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3,537,252,208.60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197,960,000.00</w:t>
            </w:r>
          </w:p>
        </w:tc>
      </w:tr>
    </w:tbl>
    <w:p>
      <w:pPr>
        <w:spacing w:line="240" w:lineRule="auto" w:before="4"/>
        <w:rPr>
          <w:rFonts w:ascii="Times New Roman" w:hAnsi="Times New Roman" w:cs="Times New Roman" w:eastAsia="Times New Roman" w:hint="default"/>
          <w:sz w:val="22"/>
          <w:szCs w:val="22"/>
        </w:rPr>
      </w:pPr>
    </w:p>
    <w:p>
      <w:pPr>
        <w:pStyle w:val="Heading5"/>
        <w:spacing w:line="240" w:lineRule="auto" w:before="38"/>
        <w:ind w:left="154" w:right="0"/>
        <w:jc w:val="left"/>
      </w:pPr>
      <w:bookmarkStart w:name="（2）对联营、合营企业投资" w:id="479"/>
      <w:bookmarkEnd w:id="479"/>
      <w:r>
        <w:rPr/>
      </w:r>
      <w:r>
        <w:rPr/>
        <w:t>（</w:t>
      </w:r>
      <w:r>
        <w:rPr>
          <w:rFonts w:ascii="Times New Roman" w:hAnsi="Times New Roman" w:cs="Times New Roman" w:eastAsia="Times New Roman" w:hint="default"/>
        </w:rPr>
        <w:t>2</w:t>
      </w:r>
      <w:r>
        <w:rPr/>
        <w:t>）对联营、合营企业投资</w:t>
      </w:r>
    </w:p>
    <w:p>
      <w:pPr>
        <w:spacing w:line="240" w:lineRule="auto" w:before="7"/>
        <w:rPr>
          <w:rFonts w:ascii="宋体" w:hAnsi="宋体" w:cs="宋体" w:eastAsia="宋体" w:hint="default"/>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1"/>
        <w:gridCol w:w="803"/>
        <w:gridCol w:w="797"/>
        <w:gridCol w:w="798"/>
        <w:gridCol w:w="798"/>
        <w:gridCol w:w="798"/>
        <w:gridCol w:w="798"/>
        <w:gridCol w:w="798"/>
        <w:gridCol w:w="798"/>
        <w:gridCol w:w="798"/>
        <w:gridCol w:w="798"/>
        <w:gridCol w:w="798"/>
      </w:tblGrid>
      <w:tr>
        <w:trPr>
          <w:trHeight w:val="402" w:hRule="exact"/>
        </w:trPr>
        <w:tc>
          <w:tcPr>
            <w:tcW w:w="791" w:type="dxa"/>
            <w:vMerge w:val="restart"/>
            <w:tcBorders>
              <w:top w:val="single" w:sz="4" w:space="0" w:color="000000"/>
              <w:left w:val="single" w:sz="4" w:space="0" w:color="000000"/>
              <w:right w:val="single" w:sz="4" w:space="0" w:color="000000"/>
            </w:tcBorders>
            <w:shd w:val="clear" w:color="auto" w:fill="D9D9D9"/>
          </w:tcPr>
          <w:p>
            <w:pPr/>
          </w:p>
        </w:tc>
        <w:tc>
          <w:tcPr>
            <w:tcW w:w="803" w:type="dxa"/>
            <w:vMerge w:val="restart"/>
            <w:tcBorders>
              <w:top w:val="single" w:sz="4" w:space="0" w:color="000000"/>
              <w:left w:val="single" w:sz="9" w:space="0" w:color="D9D9D9"/>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16" w:hRule="exact"/>
        </w:trPr>
        <w:tc>
          <w:tcPr>
            <w:tcW w:w="791" w:type="dxa"/>
            <w:vMerge/>
            <w:tcBorders>
              <w:left w:val="single" w:sz="4" w:space="0" w:color="000000"/>
              <w:bottom w:val="nil" w:sz="6" w:space="0" w:color="auto"/>
              <w:right w:val="single" w:sz="4" w:space="0" w:color="000000"/>
            </w:tcBorders>
            <w:shd w:val="clear" w:color="auto" w:fill="D9D9D9"/>
          </w:tcPr>
          <w:p>
            <w:pPr/>
          </w:p>
        </w:tc>
        <w:tc>
          <w:tcPr>
            <w:tcW w:w="803" w:type="dxa"/>
            <w:vMerge/>
            <w:tcBorders>
              <w:left w:val="single" w:sz="9" w:space="0" w:color="D9D9D9"/>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r>
      <w:tr>
        <w:trPr>
          <w:trHeight w:val="391" w:hRule="exact"/>
        </w:trPr>
        <w:tc>
          <w:tcPr>
            <w:tcW w:w="791"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803" w:type="dxa"/>
            <w:vMerge/>
            <w:tcBorders>
              <w:left w:val="single" w:sz="9" w:space="0" w:color="D9D9D9"/>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r>
      <w:tr>
        <w:trPr>
          <w:trHeight w:val="518" w:hRule="exact"/>
        </w:trPr>
        <w:tc>
          <w:tcPr>
            <w:tcW w:w="791" w:type="dxa"/>
            <w:tcBorders>
              <w:top w:val="nil" w:sz="6" w:space="0" w:color="auto"/>
              <w:left w:val="single" w:sz="4" w:space="0" w:color="000000"/>
              <w:bottom w:val="single" w:sz="4" w:space="0" w:color="000000"/>
              <w:right w:val="single" w:sz="4" w:space="0" w:color="000000"/>
            </w:tcBorders>
            <w:shd w:val="clear" w:color="auto" w:fill="D9D9D9"/>
          </w:tcPr>
          <w:p>
            <w:pPr/>
          </w:p>
        </w:tc>
        <w:tc>
          <w:tcPr>
            <w:tcW w:w="803" w:type="dxa"/>
            <w:vMerge/>
            <w:tcBorders>
              <w:left w:val="single" w:sz="9" w:space="0" w:color="D9D9D9"/>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瑞客东华 转化医学 研究中心 有限公司</w:t>
            </w:r>
          </w:p>
        </w:tc>
        <w:tc>
          <w:tcPr>
            <w:tcW w:w="803"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100,344.2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-100,344.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北京卓讯 科信技术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194,176.3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3,046,470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1,140,318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1,295,935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5,676,900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北京中能 博泰科技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294,520.5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4,546,470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1,039,974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1,295,935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7,176,900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294,520.5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4,546,470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1,039,974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1,295,935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7,176,900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5"/>
        <w:spacing w:line="240" w:lineRule="auto" w:before="38"/>
        <w:ind w:left="154" w:right="0"/>
        <w:jc w:val="left"/>
      </w:pPr>
      <w:bookmarkStart w:name="（3）其他说明" w:id="480"/>
      <w:bookmarkEnd w:id="480"/>
      <w:r>
        <w:rPr/>
      </w:r>
      <w:r>
        <w:rPr/>
        <w:t>（</w:t>
      </w:r>
      <w:r>
        <w:rPr>
          <w:rFonts w:ascii="Times New Roman" w:hAnsi="Times New Roman" w:cs="Times New Roman" w:eastAsia="Times New Roman" w:hint="default"/>
        </w:rPr>
        <w:t>3</w:t>
      </w:r>
      <w:r>
        <w:rPr/>
        <w:t>）其他说明</w:t>
      </w:r>
    </w:p>
    <w:p>
      <w:pPr>
        <w:spacing w:line="240" w:lineRule="auto" w:before="13"/>
        <w:rPr>
          <w:rFonts w:ascii="宋体" w:hAnsi="宋体" w:cs="宋体" w:eastAsia="宋体" w:hint="default"/>
          <w:sz w:val="24"/>
          <w:szCs w:val="24"/>
        </w:rPr>
      </w:pPr>
    </w:p>
    <w:p>
      <w:pPr>
        <w:pStyle w:val="Heading3"/>
        <w:spacing w:line="240" w:lineRule="auto"/>
        <w:ind w:left="154" w:right="0"/>
        <w:jc w:val="left"/>
        <w:rPr>
          <w:b w:val="0"/>
          <w:bCs w:val="0"/>
        </w:rPr>
      </w:pPr>
      <w:bookmarkStart w:name="4、营业收入和营业成本" w:id="481"/>
      <w:bookmarkEnd w:id="48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3,191,568,377.26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1,900,607,046.36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3,055,260,575.75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1,799,976,382.55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937,568.04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937,568.04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3,191,568,377.26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1,901,544,614.40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3,055,260,575.75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1,800,913,950.59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投资收益" w:id="482"/>
      <w:bookmarkEnd w:id="48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39,448,700.00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31,894,018.70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1,039,974.01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-313,923.85</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12,385,202.00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831,771.00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359,319,234.85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100,718,452.00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-685,393.26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393,022,515.60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145,515,519.85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其他" w:id="483"/>
      <w:bookmarkEnd w:id="48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484"/>
      <w:bookmarkEnd w:id="484"/>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85"/>
      <w:bookmarkEnd w:id="48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12,383,097.54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32,516,542.21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359,319,234.85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-5,866,114.44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-685,393.26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37,659,465.95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1,012,681.06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358,995,219.89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86"/>
      <w:bookmarkEnd w:id="48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0.2114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0.2114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3、境内外会计准则下会计数据差异" w:id="487"/>
      <w:bookmarkEnd w:id="48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88"/>
      <w:bookmarkEnd w:id="48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89"/>
      <w:bookmarkEnd w:id="48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490"/>
      <w:bookmarkEnd w:id="49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491"/>
      <w:bookmarkEnd w:id="49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492"/>
      <w:bookmarkStart w:name="第十二节 备查文件目录" w:id="493"/>
      <w:r>
        <w:rPr>
          <w:b w:val="0"/>
          <w:bCs w:val="0"/>
        </w:rPr>
      </w:r>
      <w:r>
        <w:rPr/>
        <w:t>第十二节</w:t>
      </w:r>
      <w:r>
        <w:rPr>
          <w:spacing w:val="-8"/>
        </w:rPr>
        <w:t> </w:t>
      </w:r>
      <w:r>
        <w:rPr/>
        <w:t>备查文件目录</w:t>
      </w:r>
      <w:bookmarkEnd w:id="492"/>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5"/>
        <w:ind w:right="0"/>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2017</w:t>
      </w:r>
      <w:r>
        <w:rPr/>
        <w:t>年年度报告文本原件。</w:t>
      </w:r>
    </w:p>
    <w:p>
      <w:pPr>
        <w:spacing w:line="240" w:lineRule="auto" w:before="9"/>
        <w:rPr>
          <w:rFonts w:ascii="宋体" w:hAnsi="宋体" w:cs="宋体" w:eastAsia="宋体" w:hint="default"/>
          <w:sz w:val="16"/>
          <w:szCs w:val="16"/>
        </w:rPr>
      </w:pPr>
    </w:p>
    <w:p>
      <w:pPr>
        <w:pStyle w:val="BodyText"/>
        <w:spacing w:line="240" w:lineRule="auto"/>
        <w:ind w:left="154" w:right="0"/>
        <w:jc w:val="left"/>
      </w:pPr>
      <w:r>
        <w:rPr>
          <w:rFonts w:ascii="Times New Roman" w:hAnsi="Times New Roman" w:cs="Times New Roman" w:eastAsia="Times New Roman" w:hint="default"/>
        </w:rPr>
        <w:t>2</w:t>
      </w:r>
      <w:r>
        <w:rPr/>
        <w:t>、载有公司法定代表人、主管会计工作负责人及会计机构负责人签名并盖章的会计报表。</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3</w:t>
      </w:r>
      <w:r>
        <w:rPr/>
        <w:t>、载有会计师事务所盖章、注册会计师签名并盖章的审计报告原件。</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4</w:t>
      </w:r>
      <w:r>
        <w:rPr/>
        <w:t>、报告期内在中国证监会指定报纸上公开披露过的所有公司文件的正本及公告的原稿。</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5</w:t>
      </w:r>
      <w:r>
        <w:rPr/>
        <w:t>、其他备查文件。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3"/>
        <w:spacing w:line="398" w:lineRule="auto" w:before="35"/>
        <w:ind w:left="6994" w:right="1550" w:firstLine="620"/>
        <w:jc w:val="right"/>
        <w:rPr>
          <w:b w:val="0"/>
          <w:bCs w:val="0"/>
        </w:rPr>
      </w:pPr>
      <w:r>
        <w:rPr>
          <w:w w:val="95"/>
        </w:rPr>
        <w:t>法定代表人</w:t>
      </w:r>
      <w:r>
        <w:rPr>
          <w:rFonts w:ascii="Times New Roman" w:hAnsi="Times New Roman" w:cs="Times New Roman" w:eastAsia="Times New Roman" w:hint="default"/>
          <w:w w:val="95"/>
        </w:rPr>
        <w:t>:</w:t>
      </w:r>
      <w:r>
        <w:rPr>
          <w:w w:val="95"/>
        </w:rPr>
        <w:t>薛向东</w:t>
      </w:r>
      <w:r>
        <w:rPr>
          <w:spacing w:val="1"/>
          <w:w w:val="99"/>
        </w:rPr>
        <w:t> </w:t>
      </w:r>
      <w:r>
        <w:rPr>
          <w:w w:val="95"/>
        </w:rPr>
        <w:t>东华软件股份公司</w:t>
      </w:r>
      <w:r>
        <w:rPr>
          <w:w w:val="99"/>
        </w:rPr>
        <w:t> </w:t>
      </w:r>
      <w:r>
        <w:rPr>
          <w:w w:val="95"/>
        </w:rPr>
        <w:t>二零一八年四月二十四日</w:t>
      </w:r>
      <w:r>
        <w:rPr>
          <w:b w:val="0"/>
          <w:bCs w:val="0"/>
        </w:rPr>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1880" type="#_x0000_t75" stroked="false">
          <v:imagedata r:id="rId1" o:title=""/>
        </v:shape>
      </w:pict>
    </w:r>
    <w:r>
      <w:rPr/>
      <w:pict>
        <v:shape style="position:absolute;margin-left:533.179993pt;margin-top:795.517944pt;width:6.5pt;height:11pt;mso-position-horizontal-relative:page;mso-position-vertical-relative:page;z-index:-10418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1832" type="#_x0000_t75" stroked="false">
          <v:imagedata r:id="rId1" o:title=""/>
        </v:shape>
      </w:pict>
    </w:r>
    <w:r>
      <w:rPr/>
      <w:pict>
        <v:shape style="position:absolute;margin-left:527.679993pt;margin-top:781.957947pt;width:13pt;height:11pt;mso-position-horizontal-relative:page;mso-position-vertical-relative:page;z-index:-1041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1784" type="#_x0000_t75" stroked="false">
          <v:imagedata r:id="rId1" o:title=""/>
        </v:shape>
      </w:pict>
    </w:r>
    <w:r>
      <w:rPr/>
      <w:pict>
        <v:shape style="position:absolute;margin-left:524.179993pt;margin-top:781.957947pt;width:15.5pt;height:11pt;mso-position-horizontal-relative:page;mso-position-vertical-relative:page;z-index:-10417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1736" type="#_x0000_t75" stroked="false">
          <v:imagedata r:id="rId1" o:title=""/>
        </v:shape>
      </w:pict>
    </w:r>
    <w:r>
      <w:rPr/>
      <w:pict>
        <v:shape style="position:absolute;margin-left:523.179993pt;margin-top:781.957947pt;width:17.5pt;height:11pt;mso-position-horizontal-relative:page;mso-position-vertical-relative:page;z-index:-1041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1041904" type="#_x0000_t202" filled="false" stroked="false">
          <v:textbox inset="0,0,0,0">
            <w:txbxContent>
              <w:p>
                <w:pPr>
                  <w:pStyle w:val="BodyText"/>
                  <w:spacing w:line="214" w:lineRule="exact"/>
                  <w:ind w:left="20" w:right="0"/>
                  <w:jc w:val="left"/>
                </w:pPr>
                <w:r>
                  <w:rPr/>
                  <w:t>东华软件股份公司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b/>
      <w:bCs/>
      <w:sz w:val="20"/>
      <w:szCs w:val="20"/>
    </w:rPr>
  </w:style>
  <w:style w:styleId="Heading5" w:type="paragraph">
    <w:name w:val="Heading 5"/>
    <w:basedOn w:val="Normal"/>
    <w:uiPriority w:val="1"/>
    <w:qFormat/>
    <w:pPr>
      <w:ind w:left="153"/>
      <w:outlineLvl w:val="5"/>
    </w:pPr>
    <w:rPr>
      <w:rFonts w:ascii="宋体" w:hAnsi="宋体" w:eastAsia="宋体"/>
      <w:sz w:val="20"/>
      <w:szCs w:val="20"/>
    </w:rPr>
  </w:style>
  <w:style w:styleId="Heading6" w:type="paragraph">
    <w:name w:val="Heading 6"/>
    <w:basedOn w:val="Normal"/>
    <w:uiPriority w:val="1"/>
    <w:qFormat/>
    <w:pPr>
      <w:ind w:left="63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dhcc.com.cn/" TargetMode="External"/><Relationship Id="rId10" Type="http://schemas.openxmlformats.org/officeDocument/2006/relationships/hyperlink" Target="mailto:strongyang@dhcc.com.cn" TargetMode="External"/><Relationship Id="rId11" Type="http://schemas.openxmlformats.org/officeDocument/2006/relationships/hyperlink" Target="mailto:zhangwen_cw@dhcc.com.cn" TargetMode="External"/><Relationship Id="rId12" Type="http://schemas.openxmlformats.org/officeDocument/2006/relationships/hyperlink" Target="http://cninfo.com.cn/" TargetMode="External"/><Relationship Id="rId13" Type="http://schemas.openxmlformats.org/officeDocument/2006/relationships/hyperlink" Target="http://jingzhi.funds.hexun.com/510610.shtml" TargetMode="External"/><Relationship Id="rId14" Type="http://schemas.openxmlformats.org/officeDocument/2006/relationships/hyperlink" Target="http://healthcare.dhcc.com.cn/" TargetMode="External"/><Relationship Id="rId15" Type="http://schemas.openxmlformats.org/officeDocument/2006/relationships/hyperlink" Target="http://www.dhcc.com.cn/main-c1-35-c2-38-c3-76.html" TargetMode="External"/><Relationship Id="rId16" Type="http://schemas.openxmlformats.org/officeDocument/2006/relationships/hyperlink" Target="http://www.cninfo.com.cn/" TargetMode="External"/><Relationship Id="rId17" Type="http://schemas.openxmlformats.org/officeDocument/2006/relationships/image" Target="media/image3.png"/><Relationship Id="rId18" Type="http://schemas.openxmlformats.org/officeDocument/2006/relationships/hyperlink" Target="http://www.cninfo.com.cn/)%E4%B8%8A%E7%9A%84" TargetMode="External"/><Relationship Id="rId19" Type="http://schemas.openxmlformats.org/officeDocument/2006/relationships/footer" Target="footer3.xml"/><Relationship Id="rId20"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东华软件股份公司</dc:creator>
  <dc:title>东华软件股份公司2017年年度报告全文</dc:title>
  <dcterms:created xsi:type="dcterms:W3CDTF">2020-05-02T21:10:03Z</dcterms:created>
  <dcterms:modified xsi:type="dcterms:W3CDTF">2020-05-02T21:10:03Z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