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34" w:right="1113" w:firstLine="0"/>
        <w:jc w:val="center"/>
        <w:rPr>
          <w:rFonts w:ascii="宋体" w:hAnsi="宋体" w:cs="宋体" w:eastAsia="宋体" w:hint="default"/>
          <w:sz w:val="36"/>
          <w:szCs w:val="36"/>
        </w:rPr>
      </w:pPr>
      <w:r>
        <w:rPr/>
        <w:pict>
          <v:group style="position:absolute;margin-left:55.200001pt;margin-top:-84.896591pt;width:484.8pt;height:.1pt;mso-position-horizontal-relative:page;mso-position-vertical-relative:paragraph;z-index:0" coordorigin="1104,-1698" coordsize="9696,2">
            <v:shape style="position:absolute;left:1104;top:-1698;width:9696;height:2" coordorigin="1104,-1698" coordsize="9696,0" path="m1104,-1698l10800,-1698e" filled="false" stroked="true" strokeweight=".72pt" strokecolor="#000000">
              <v:path arrowok="t"/>
            </v:shape>
            <w10:wrap type="none"/>
          </v:group>
        </w:pict>
      </w:r>
      <w:r>
        <w:rPr>
          <w:rFonts w:ascii="宋体" w:hAnsi="宋体" w:cs="宋体" w:eastAsia="宋体" w:hint="default"/>
          <w:b/>
          <w:bCs/>
          <w:sz w:val="36"/>
          <w:szCs w:val="36"/>
        </w:rPr>
        <w:t>东华软件股份公司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134" w:right="11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line="3014" w:lineRule="exact"/>
        <w:ind w:left="325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182076" cy="19141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82076" cy="1914144"/>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0"/>
        <w:rPr>
          <w:rFonts w:ascii="宋体" w:hAnsi="宋体" w:cs="宋体" w:eastAsia="宋体" w:hint="default"/>
          <w:b/>
          <w:bCs/>
          <w:sz w:val="38"/>
          <w:szCs w:val="38"/>
        </w:rPr>
      </w:pPr>
    </w:p>
    <w:p>
      <w:pPr>
        <w:spacing w:before="0"/>
        <w:ind w:left="134"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7"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2" w:right="986"/>
        <w:jc w:val="left"/>
        <w:rPr>
          <w:b w:val="0"/>
          <w:bCs w:val="0"/>
        </w:rPr>
      </w:pPr>
      <w:bookmarkStart w:name="第一节 重要提示、目录和释义"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127" w:firstLine="561"/>
        <w:jc w:val="both"/>
        <w:rPr>
          <w:b w:val="0"/>
          <w:bCs w:val="0"/>
        </w:rPr>
      </w:pPr>
      <w:r>
        <w:rPr>
          <w:spacing w:val="2"/>
        </w:rPr>
        <w:t>公司董事会、监事会及董事、监事、高级管理人员保证年度报告内容的真</w:t>
      </w:r>
      <w:r>
        <w:rPr>
          <w:spacing w:val="2"/>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ind w:right="1133" w:firstLine="561"/>
        <w:jc w:val="both"/>
        <w:rPr>
          <w:b w:val="0"/>
          <w:bCs w:val="0"/>
        </w:rPr>
      </w:pPr>
      <w:r>
        <w:rPr>
          <w:w w:val="95"/>
        </w:rPr>
        <w:t>公司负责人薛向东、主管会计工作负责人叶莉及会计机构负责人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初美伶声明：保证年度报告中财务报告的真实、准确、完整。</w:t>
      </w:r>
      <w:r>
        <w:rPr>
          <w:b w:val="0"/>
          <w:bCs w:val="0"/>
        </w:rPr>
      </w:r>
    </w:p>
    <w:p>
      <w:pPr>
        <w:pStyle w:val="Heading2"/>
        <w:spacing w:line="472" w:lineRule="auto" w:before="148"/>
        <w:ind w:left="714" w:right="986"/>
        <w:jc w:val="left"/>
        <w:rPr>
          <w:b w:val="0"/>
          <w:bCs w:val="0"/>
        </w:rPr>
      </w:pPr>
      <w:r>
        <w:rPr/>
        <w:t>所有董事均已出席了审议本报告的董事会会议。</w:t>
      </w:r>
      <w:r>
        <w:rPr>
          <w:w w:val="99"/>
        </w:rPr>
        <w:t> </w:t>
      </w:r>
      <w:r>
        <w:rPr>
          <w:spacing w:val="2"/>
        </w:rPr>
        <w:t>本报告中所涉及未来的经营计划和经营目标，并不代表公司的盈利预测，</w:t>
      </w:r>
      <w:r>
        <w:rPr>
          <w:b w:val="0"/>
          <w:bCs w:val="0"/>
          <w:spacing w:val="2"/>
        </w:rPr>
      </w:r>
    </w:p>
    <w:p>
      <w:pPr>
        <w:pStyle w:val="Heading2"/>
        <w:spacing w:line="408" w:lineRule="auto" w:before="0"/>
        <w:ind w:right="986"/>
        <w:jc w:val="left"/>
        <w:rPr>
          <w:b w:val="0"/>
          <w:bCs w:val="0"/>
        </w:rPr>
      </w:pPr>
      <w:r>
        <w:rPr>
          <w:spacing w:val="-2"/>
        </w:rPr>
        <w:t>也不构成公司对投资者的实质承诺，能否实现取决于市场状况变化等多种因素，</w:t>
      </w:r>
      <w:r>
        <w:rPr>
          <w:spacing w:val="-132"/>
        </w:rPr>
        <w:t> </w:t>
      </w:r>
      <w:r>
        <w:rPr>
          <w:spacing w:val="-132"/>
        </w:rPr>
      </w:r>
      <w:r>
        <w:rPr/>
        <w:t>存在不确定性，请投资者注意投资风险。</w:t>
      </w:r>
      <w:r>
        <w:rPr>
          <w:b w:val="0"/>
          <w:bCs w:val="0"/>
        </w:rPr>
      </w:r>
    </w:p>
    <w:p>
      <w:pPr>
        <w:pStyle w:val="Heading2"/>
        <w:spacing w:line="386" w:lineRule="auto"/>
        <w:ind w:right="1133" w:firstLine="561"/>
        <w:jc w:val="both"/>
        <w:rPr>
          <w:b w:val="0"/>
          <w:bCs w:val="0"/>
        </w:rPr>
      </w:pPr>
      <w:r>
        <w:rPr>
          <w:spacing w:val="10"/>
        </w:rPr>
        <w:t>公司在本报告第四节</w:t>
      </w:r>
      <w:r>
        <w:rPr>
          <w:rFonts w:ascii="Times New Roman" w:hAnsi="Times New Roman" w:cs="Times New Roman" w:eastAsia="Times New Roman" w:hint="default"/>
          <w:spacing w:val="10"/>
        </w:rPr>
        <w:t>“</w:t>
      </w:r>
      <w:r>
        <w:rPr>
          <w:spacing w:val="10"/>
        </w:rPr>
        <w:t>经营情况讨论与分析</w:t>
      </w:r>
      <w:r>
        <w:rPr>
          <w:rFonts w:ascii="Times New Roman" w:hAnsi="Times New Roman" w:cs="Times New Roman" w:eastAsia="Times New Roman" w:hint="default"/>
          <w:spacing w:val="10"/>
        </w:rPr>
        <w:t>”</w:t>
      </w:r>
      <w:r>
        <w:rPr>
          <w:spacing w:val="10"/>
        </w:rPr>
        <w:t>中</w:t>
      </w:r>
      <w:r>
        <w:rPr>
          <w:rFonts w:ascii="Times New Roman" w:hAnsi="Times New Roman" w:cs="Times New Roman" w:eastAsia="Times New Roman" w:hint="default"/>
          <w:spacing w:val="10"/>
        </w:rPr>
        <w:t>“</w:t>
      </w:r>
      <w:r>
        <w:rPr>
          <w:spacing w:val="10"/>
        </w:rPr>
        <w:t>公司未来发展的展望</w:t>
      </w:r>
      <w:r>
        <w:rPr>
          <w:rFonts w:ascii="Times New Roman" w:hAnsi="Times New Roman" w:cs="Times New Roman" w:eastAsia="Times New Roman" w:hint="default"/>
          <w:spacing w:val="10"/>
        </w:rPr>
        <w:t>”</w:t>
      </w:r>
      <w:r>
        <w:rPr>
          <w:spacing w:val="10"/>
        </w:rPr>
        <w:t>部</w:t>
      </w:r>
      <w:r>
        <w:rPr>
          <w:w w:val="99"/>
        </w:rPr>
        <w:t> </w:t>
      </w:r>
      <w:r>
        <w:rPr/>
        <w:t>分，描述了公司未来经营中可能面临的风险以及</w:t>
      </w:r>
      <w:r>
        <w:rPr>
          <w:spacing w:val="-8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3"/>
        </w:rPr>
        <w:t>年度经营计划，敬请广大</w:t>
      </w:r>
      <w:r>
        <w:rPr>
          <w:w w:val="99"/>
        </w:rPr>
        <w:t> </w:t>
      </w:r>
      <w:r>
        <w:rPr/>
        <w:t>投资者注意查阅。</w:t>
      </w:r>
      <w:r>
        <w:rPr>
          <w:b w:val="0"/>
          <w:bCs w:val="0"/>
        </w:rPr>
      </w:r>
    </w:p>
    <w:p>
      <w:pPr>
        <w:pStyle w:val="Heading2"/>
        <w:spacing w:line="240" w:lineRule="auto" w:before="187"/>
        <w:ind w:left="714" w:right="986"/>
        <w:jc w:val="left"/>
        <w:rPr>
          <w:b w:val="0"/>
          <w:bCs w:val="0"/>
        </w:rPr>
      </w:pPr>
      <w:r>
        <w:rPr/>
        <w:t>公司经本次董事会审议通过的利润分配预案为：以</w:t>
      </w:r>
      <w:r>
        <w:rPr>
          <w:spacing w:val="-67"/>
        </w:rPr>
        <w:t> </w:t>
      </w:r>
      <w:r>
        <w:rPr>
          <w:rFonts w:ascii="Times New Roman" w:hAnsi="Times New Roman" w:cs="Times New Roman" w:eastAsia="Times New Roman" w:hint="default"/>
        </w:rPr>
        <w:t>3,115,482,375</w:t>
      </w:r>
      <w:r>
        <w:rPr>
          <w:rFonts w:ascii="Times New Roman" w:hAnsi="Times New Roman" w:cs="Times New Roman" w:eastAsia="Times New Roman" w:hint="default"/>
          <w:spacing w:val="5"/>
        </w:rPr>
        <w:t> </w:t>
      </w:r>
      <w:r>
        <w:rPr/>
        <w:t>为基数，</w:t>
      </w:r>
      <w:r>
        <w:rPr>
          <w:b w:val="0"/>
          <w:bCs w:val="0"/>
        </w:rPr>
      </w:r>
    </w:p>
    <w:p>
      <w:pPr>
        <w:pStyle w:val="Heading2"/>
        <w:spacing w:line="386" w:lineRule="auto" w:before="236"/>
        <w:ind w:right="1125"/>
        <w:jc w:val="left"/>
        <w:rPr>
          <w:b w:val="0"/>
          <w:bCs w:val="0"/>
        </w:rPr>
      </w:pPr>
      <w:r>
        <w:rPr>
          <w:w w:val="99"/>
        </w:rPr>
        <w:t>向全体股东每</w:t>
      </w:r>
      <w:r>
        <w:rPr>
          <w:spacing w:val="-70"/>
          <w:w w:val="99"/>
        </w:rPr>
        <w:t> </w:t>
      </w:r>
      <w:r>
        <w:rPr>
          <w:rFonts w:ascii="Times New Roman" w:hAnsi="Times New Roman" w:cs="Times New Roman" w:eastAsia="Times New Roman" w:hint="default"/>
          <w:w w:val="100"/>
        </w:rPr>
        <w:t>10 </w:t>
      </w:r>
      <w:r>
        <w:rPr>
          <w:w w:val="99"/>
        </w:rPr>
        <w:t>股派发现金红利</w:t>
      </w:r>
      <w:r>
        <w:rPr>
          <w:spacing w:val="-70"/>
          <w:w w:val="99"/>
        </w:rPr>
        <w:t> </w:t>
      </w:r>
      <w:r>
        <w:rPr>
          <w:rFonts w:ascii="Times New Roman" w:hAnsi="Times New Roman" w:cs="Times New Roman" w:eastAsia="Times New Roman" w:hint="default"/>
          <w:w w:val="100"/>
        </w:rPr>
        <w:t>1.00 </w:t>
      </w:r>
      <w:r>
        <w:rPr>
          <w:spacing w:val="-23"/>
          <w:w w:val="99"/>
        </w:rPr>
        <w:t>元（含税），送红股</w:t>
      </w:r>
      <w:r>
        <w:rPr>
          <w:spacing w:val="-70"/>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 </w:t>
      </w:r>
      <w:r>
        <w:rPr>
          <w:spacing w:val="-23"/>
          <w:w w:val="99"/>
        </w:rPr>
        <w:t>股（含税），不以公</w:t>
      </w:r>
      <w:r>
        <w:rPr>
          <w:w w:val="99"/>
        </w:rPr>
        <w:t> </w:t>
      </w:r>
      <w:r>
        <w:rPr/>
        <w:t>积金转增股本。</w:t>
      </w:r>
      <w:r>
        <w:rPr>
          <w:b w:val="0"/>
          <w:bCs w:val="0"/>
        </w:rPr>
      </w:r>
    </w:p>
    <w:p>
      <w:pPr>
        <w:spacing w:after="0" w:line="386" w:lineRule="auto"/>
        <w:jc w:val="left"/>
        <w:sectPr>
          <w:footerReference w:type="default" r:id="rId8"/>
          <w:pgSz w:w="11910" w:h="16840"/>
          <w:pgMar w:footer="977"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134" w:right="111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8"/>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9"/>
              </w:rPr>
              <w:t> </w:t>
            </w:r>
            <w:r>
              <w:rPr/>
              <w:t>备查文件目录</w:t>
            </w:r>
            <w:r>
              <w:rPr>
                <w:rFonts w:ascii="Times New Roman" w:hAnsi="Times New Roman" w:cs="Times New Roman" w:eastAsia="Times New Roman" w:hint="default"/>
              </w:rPr>
              <w:tab/>
              <w:t>186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8" w:footer="977" w:top="1060" w:bottom="1160" w:left="980" w:right="0"/>
        </w:sectPr>
      </w:pPr>
    </w:p>
    <w:p>
      <w:pPr>
        <w:spacing w:before="942"/>
        <w:ind w:left="134" w:right="111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w:t>
            </w:r>
            <w:r>
              <w:rPr>
                <w:rFonts w:ascii="Times New Roman" w:hAnsi="Times New Roman" w:cs="Times New Roman" w:eastAsia="Times New Roman" w:hint="default"/>
                <w:sz w:val="18"/>
                <w:szCs w:val="18"/>
              </w:rPr>
              <w:t>/</w:t>
            </w: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公司会计师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诚信电脑</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诚信投资</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合创电商</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北京合创电商投资顾问中心（有限合伙）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万兴软件</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东华医为</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北京东华医为科技有限公司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东华软件股份公司章程</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中登</w:t>
            </w:r>
            <w:r>
              <w:rPr>
                <w:rFonts w:ascii="Times New Roman" w:hAnsi="Times New Roman" w:cs="Times New Roman" w:eastAsia="Times New Roman" w:hint="default"/>
                <w:sz w:val="18"/>
                <w:szCs w:val="18"/>
              </w:rPr>
              <w:t>/</w:t>
            </w:r>
            <w:r>
              <w:rPr>
                <w:rFonts w:ascii="宋体" w:hAnsi="宋体" w:cs="宋体" w:eastAsia="宋体" w:hint="default"/>
                <w:sz w:val="18"/>
                <w:szCs w:val="18"/>
              </w:rPr>
              <w:t>中登深证分公司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宋体" w:hAnsi="宋体" w:cs="宋体" w:eastAsia="宋体" w:hint="default"/>
          <w:b/>
          <w:bCs/>
          <w:sz w:val="20"/>
          <w:szCs w:val="20"/>
        </w:rPr>
      </w:pPr>
      <w:r>
        <w:rPr/>
        <w:pict>
          <v:shape style="position:absolute;margin-left:138pt;margin-top:272.759979pt;width:396.85pt;height:19.6pt;mso-position-horizontal-relative:page;mso-position-vertical-relative:page;z-index:-943960"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1" w:right="986"/>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bookmarkStart w:name="一、公司信息" w:id="4"/>
      <w:bookmarkEnd w:id="4"/>
      <w:r>
        <w:rPr>
          <w:b w:val="0"/>
          <w:bCs w:val="0"/>
        </w:rPr>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5"/>
        <w:gridCol w:w="2953"/>
        <w:gridCol w:w="2154"/>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21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002065</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DHC Software</w:t>
            </w:r>
            <w:r>
              <w:rPr>
                <w:rFonts w:ascii="Times New Roman"/>
                <w:spacing w:val="-9"/>
                <w:sz w:val="18"/>
              </w:rPr>
              <w:t> </w:t>
            </w:r>
            <w:r>
              <w:rPr>
                <w:rFonts w:ascii="Times New Roman"/>
                <w:sz w:val="18"/>
              </w:rPr>
              <w:t>Co.,Ltd.</w:t>
            </w:r>
          </w:p>
        </w:tc>
      </w:tr>
      <w:tr>
        <w:trPr>
          <w:trHeight w:val="401" w:hRule="exact"/>
        </w:trPr>
        <w:tc>
          <w:tcPr>
            <w:tcW w:w="2285"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4" w:type="dxa"/>
            <w:gridSpan w:val="3"/>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DHCC</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薛向东</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100190</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100190</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9">
              <w:r>
                <w:rPr>
                  <w:rFonts w:ascii="Times New Roman"/>
                  <w:sz w:val="18"/>
                </w:rPr>
                <w:t>http://www.dhcc.com.cn</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张雯</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010-62662188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010-62662188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010-62662299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010-62662299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zhangwen_cw@dhcc.com.cn</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http://cninfo.com.cn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层公司证券部</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986"/>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bookmarkStart w:name="五、其他有关资料" w:id="8"/>
      <w:bookmarkEnd w:id="8"/>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2211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肖丽娟、邢博晖</w:t>
            </w:r>
          </w:p>
        </w:tc>
      </w:tr>
    </w:tbl>
    <w:p>
      <w:pPr>
        <w:pStyle w:val="BodyText"/>
        <w:spacing w:line="240" w:lineRule="auto" w:before="51"/>
        <w:ind w:right="986"/>
        <w:jc w:val="left"/>
      </w:pPr>
      <w:r>
        <w:rPr/>
        <w:t>公司聘请的报告期内履行持续督导职责的保荐机构</w:t>
      </w:r>
    </w:p>
    <w:p>
      <w:pPr>
        <w:pStyle w:val="BodyText"/>
        <w:spacing w:line="340" w:lineRule="auto" w:before="115"/>
        <w:ind w:right="67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公司是否需追溯调整或重述以前年度会计数据</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8,470,591,084.10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7,290,128,453.42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6,476,747,733.49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806,409,576.38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663,799,645.53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899,647,231.24</w:t>
            </w:r>
            <w:r>
              <w:rPr>
                <w:rFonts w:ascii="Times New Roman"/>
                <w:sz w:val="18"/>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474,453,656.89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304,804,425.64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733,256,861.71</w:t>
            </w:r>
            <w:r>
              <w:rPr>
                <w:rFonts w:ascii="Times New Roman"/>
                <w:sz w:val="18"/>
              </w:rPr>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351,460,807.64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167,677,716.04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-501,109,930.09</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0.2575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0.2114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0.2865</w:t>
            </w:r>
            <w:r>
              <w:rPr>
                <w:rFonts w:ascii="Times New Roman"/>
                <w:sz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0.2575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0.2114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0.2865</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10.13%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16,005,650,937.10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14,154,048,899.04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12,428,188,875.83</w:t>
            </w:r>
            <w:r>
              <w:rPr>
                <w:rFonts w:ascii="Times New Roman"/>
                <w:sz w:val="18"/>
              </w:rPr>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9,175,030,210.24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8,894,807,143.21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8,782,567,390.96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4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986"/>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1,400,070,934.32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1,723,962,640.02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1,890,159,232.26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3,456,398,277.50</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134,535,330.82</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199,156,016.27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320,660,069.22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152,058,160.07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130,788,560.50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191,485,746.85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299,388,398.64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-147,209,049.10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-724,780,144.55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-400,248,083.79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66,223,854.85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1,410,265,181.13</w:t>
            </w:r>
          </w:p>
        </w:tc>
      </w:tr>
    </w:tbl>
    <w:p>
      <w:pPr>
        <w:pStyle w:val="BodyText"/>
        <w:spacing w:line="240" w:lineRule="auto" w:before="51"/>
        <w:ind w:right="986"/>
        <w:jc w:val="left"/>
      </w:pPr>
      <w:r>
        <w:rPr/>
        <w:t>上述财务指标或其加总数是否与公司已披露季度报告、半年度报告相关财务指标存在重大差异</w:t>
      </w:r>
    </w:p>
    <w:p>
      <w:pPr>
        <w:pStyle w:val="BodyText"/>
        <w:spacing w:line="240" w:lineRule="auto" w:before="115"/>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5,735,320.90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12,383,097.54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23,601,895.73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38,052,964.50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32,516,542.21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55,037,999.04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205,416.67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-17,947.40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359,319,234.85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100,718,452.00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302,722,431.51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-5,866,114.44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2,101,649.14</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业绩补偿款等</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-685,393.26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4,304,314.80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14,169,543.94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37,659,465.95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17,408,151.03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367,306.08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1,012,681.06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2,171,206.82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331,955,919.49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358,995,219.89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166,390,369.53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2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5" w:right="986"/>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参照披露</w:t>
      </w:r>
    </w:p>
    <w:p>
      <w:pPr>
        <w:pStyle w:val="BodyText"/>
        <w:spacing w:line="240" w:lineRule="auto" w:before="25"/>
        <w:ind w:right="986"/>
        <w:jc w:val="left"/>
      </w:pPr>
      <w:r>
        <w:rPr/>
        <w:t>软件与信息技术服务业</w:t>
      </w:r>
    </w:p>
    <w:p>
      <w:pPr>
        <w:pStyle w:val="BodyText"/>
        <w:spacing w:line="240" w:lineRule="auto" w:before="117"/>
        <w:ind w:right="98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466" w:lineRule="exact" w:before="58"/>
        <w:ind w:left="572" w:right="986" w:firstLine="0"/>
        <w:jc w:val="left"/>
        <w:rPr>
          <w:rFonts w:ascii="宋体" w:hAnsi="宋体" w:cs="宋体" w:eastAsia="宋体" w:hint="default"/>
          <w:sz w:val="18"/>
          <w:szCs w:val="18"/>
        </w:rPr>
      </w:pPr>
      <w:r>
        <w:rPr>
          <w:rFonts w:ascii="宋体" w:hAnsi="宋体" w:cs="宋体" w:eastAsia="宋体" w:hint="default"/>
          <w:b/>
          <w:bCs/>
          <w:sz w:val="18"/>
          <w:szCs w:val="18"/>
        </w:rPr>
        <w:t>（一）公司从事的主要业务</w:t>
      </w:r>
      <w:r>
        <w:rPr>
          <w:rFonts w:ascii="宋体" w:hAnsi="宋体" w:cs="宋体" w:eastAsia="宋体" w:hint="default"/>
          <w:b/>
          <w:bCs/>
          <w:w w:val="99"/>
          <w:sz w:val="18"/>
          <w:szCs w:val="18"/>
        </w:rPr>
        <w:t> </w:t>
      </w:r>
      <w:r>
        <w:rPr>
          <w:rFonts w:ascii="宋体" w:hAnsi="宋体" w:cs="宋体" w:eastAsia="宋体" w:hint="default"/>
          <w:sz w:val="18"/>
          <w:szCs w:val="18"/>
        </w:rPr>
        <w:t>公司自成立以来，长期专注于综合性行业应用软件开发、计算机信息系统集成和信息技术服务，致力于为客户持续提</w:t>
      </w:r>
    </w:p>
    <w:p>
      <w:pPr>
        <w:pStyle w:val="BodyText"/>
        <w:spacing w:line="316" w:lineRule="auto" w:before="8"/>
        <w:ind w:right="1130"/>
        <w:jc w:val="both"/>
      </w:pPr>
      <w:r>
        <w:rPr>
          <w:spacing w:val="-2"/>
        </w:rPr>
        <w:t>供行业整体解决方案和信息化服务。经过多年业务积累，公司的应用软件、行业解决方案及技术服务已广泛应用于医疗、金</w:t>
      </w:r>
      <w:r>
        <w:rPr>
          <w:spacing w:val="-66"/>
        </w:rPr>
        <w:t> </w:t>
      </w:r>
      <w:r>
        <w:rPr>
          <w:spacing w:val="-66"/>
        </w:rPr>
      </w:r>
      <w:r>
        <w:rPr>
          <w:spacing w:val="-2"/>
        </w:rPr>
        <w:t>融、智慧城市、电力、政府、通讯、运输物流等行业，积累了丰富的技术与优质的客户资源，赢得了良好的业界口碑。公司</w:t>
      </w:r>
      <w:r>
        <w:rPr>
          <w:spacing w:val="-64"/>
        </w:rPr>
        <w:t> </w:t>
      </w:r>
      <w:r>
        <w:rPr>
          <w:spacing w:val="-64"/>
        </w:rPr>
      </w:r>
      <w:r>
        <w:rPr/>
        <w:t>的主要产品及服务包括：</w:t>
      </w:r>
    </w:p>
    <w:p>
      <w:pPr>
        <w:pStyle w:val="BodyText"/>
        <w:spacing w:line="300" w:lineRule="auto" w:before="19"/>
        <w:ind w:left="572" w:right="986"/>
        <w:jc w:val="left"/>
      </w:pPr>
      <w:r>
        <w:rPr>
          <w:rFonts w:ascii="Times New Roman" w:hAnsi="Times New Roman" w:cs="Times New Roman" w:eastAsia="Times New Roman" w:hint="default"/>
          <w:b/>
          <w:bCs/>
        </w:rPr>
        <w:t>1</w:t>
      </w:r>
      <w:r>
        <w:rPr>
          <w:rFonts w:ascii="宋体" w:hAnsi="宋体" w:cs="宋体" w:eastAsia="宋体" w:hint="default"/>
          <w:b/>
          <w:bCs/>
        </w:rPr>
        <w:t>、应用软件开发</w:t>
      </w:r>
      <w:r>
        <w:rPr>
          <w:rFonts w:ascii="宋体" w:hAnsi="宋体" w:cs="宋体" w:eastAsia="宋体" w:hint="default"/>
          <w:b/>
          <w:bCs/>
          <w:w w:val="99"/>
        </w:rPr>
        <w:t> </w:t>
      </w:r>
      <w:r>
        <w:rPr/>
        <w:t>应用软件开发业务主要是公司基于成熟的软件开发管理体系，根据对不同行业客户的深度理解开发出不同行业的系列</w:t>
      </w:r>
    </w:p>
    <w:p>
      <w:pPr>
        <w:pStyle w:val="BodyText"/>
        <w:spacing w:line="316" w:lineRule="auto" w:before="31"/>
        <w:ind w:right="1130"/>
        <w:jc w:val="both"/>
        <w:rPr>
          <w:rFonts w:ascii="宋体" w:hAnsi="宋体" w:cs="宋体" w:eastAsia="宋体" w:hint="default"/>
        </w:rPr>
      </w:pPr>
      <w:r>
        <w:rPr>
          <w:spacing w:val="-2"/>
        </w:rPr>
        <w:t>软件，每种系列软件产品又包含若干细分软件产品，其开发模式包括自主软件开发和定制软件开发。公司应用软件开发业务</w:t>
      </w:r>
      <w:r>
        <w:rPr>
          <w:spacing w:val="-63"/>
        </w:rPr>
        <w:t> </w:t>
      </w:r>
      <w:r>
        <w:rPr>
          <w:spacing w:val="-63"/>
        </w:rPr>
      </w:r>
      <w:r>
        <w:rPr>
          <w:spacing w:val="-2"/>
        </w:rPr>
        <w:t>的主要产品及服务包括：医院信息平台、</w:t>
      </w:r>
      <w:r>
        <w:rPr>
          <w:rFonts w:ascii="宋体" w:hAnsi="宋体" w:cs="宋体" w:eastAsia="宋体" w:hint="default"/>
          <w:spacing w:val="-2"/>
        </w:rPr>
        <w:t>DRGs</w:t>
      </w:r>
      <w:r>
        <w:rPr>
          <w:spacing w:val="-2"/>
        </w:rPr>
        <w:t>医保支付系统、商业银行业务集成平台、东华智慧城市超级大脑、东华智慧教</w:t>
      </w:r>
      <w:r>
        <w:rPr>
          <w:spacing w:val="-65"/>
        </w:rPr>
        <w:t> </w:t>
      </w:r>
      <w:r>
        <w:rPr>
          <w:spacing w:val="-65"/>
        </w:rPr>
      </w:r>
      <w:r>
        <w:rPr/>
        <w:t>育服务平台、智能物流系统、流量管理系统、桌面安全管理系统、厚盾全面预算管理平台等。</w:t>
      </w:r>
      <w:r>
        <w:rPr>
          <w:rFonts w:ascii="宋体" w:hAnsi="宋体" w:cs="宋体" w:eastAsia="宋体" w:hint="default"/>
        </w:rPr>
        <w:t> </w:t>
      </w:r>
    </w:p>
    <w:p>
      <w:pPr>
        <w:pStyle w:val="BodyText"/>
        <w:spacing w:line="300" w:lineRule="auto" w:before="19"/>
        <w:ind w:left="572" w:right="986"/>
        <w:jc w:val="left"/>
      </w:pPr>
      <w:r>
        <w:rPr>
          <w:rFonts w:ascii="Times New Roman" w:hAnsi="Times New Roman" w:cs="Times New Roman" w:eastAsia="Times New Roman" w:hint="default"/>
          <w:b/>
          <w:bCs/>
        </w:rPr>
        <w:t>2</w:t>
      </w:r>
      <w:r>
        <w:rPr>
          <w:rFonts w:ascii="宋体" w:hAnsi="宋体" w:cs="宋体" w:eastAsia="宋体" w:hint="default"/>
          <w:b/>
          <w:bCs/>
        </w:rPr>
        <w:t>、信息技术服务</w:t>
      </w:r>
      <w:r>
        <w:rPr>
          <w:rFonts w:ascii="宋体" w:hAnsi="宋体" w:cs="宋体" w:eastAsia="宋体" w:hint="default"/>
          <w:b/>
          <w:bCs/>
          <w:w w:val="99"/>
        </w:rPr>
        <w:t> </w:t>
      </w:r>
      <w:r>
        <w:rPr/>
        <w:t>信息技术服务业务主要是为客户提供系统解决方案及相关产品后，为客户提供长期的系统维护。公司拥有科学的服务</w:t>
      </w:r>
    </w:p>
    <w:p>
      <w:pPr>
        <w:pStyle w:val="BodyText"/>
        <w:spacing w:line="309" w:lineRule="auto" w:before="31"/>
        <w:ind w:right="986"/>
        <w:jc w:val="left"/>
      </w:pPr>
      <w:r>
        <w:rPr>
          <w:spacing w:val="-2"/>
        </w:rPr>
        <w:t>质量保证和交付管理体系，通过客户热线、定期巡检、远程诊断、现场支持、常驻外派、预约值守等各种方式，保证客户系</w:t>
      </w:r>
      <w:r>
        <w:rPr>
          <w:spacing w:val="-66"/>
        </w:rPr>
        <w:t> </w:t>
      </w:r>
      <w:r>
        <w:rPr>
          <w:spacing w:val="-66"/>
        </w:rPr>
      </w:r>
      <w:r>
        <w:rPr>
          <w:spacing w:val="-3"/>
        </w:rPr>
        <w:t>统的稳定运行。公司信息技术服务业务的主要产品及服务包括：</w:t>
      </w:r>
      <w:r>
        <w:rPr>
          <w:rFonts w:ascii="Times New Roman" w:hAnsi="Times New Roman" w:cs="Times New Roman" w:eastAsia="Times New Roman" w:hint="default"/>
          <w:spacing w:val="-3"/>
        </w:rPr>
        <w:t>IT</w:t>
      </w:r>
      <w:r>
        <w:rPr>
          <w:spacing w:val="-3"/>
        </w:rPr>
        <w:t>咨询规划、</w:t>
      </w:r>
      <w:r>
        <w:rPr>
          <w:rFonts w:ascii="Times New Roman" w:hAnsi="Times New Roman" w:cs="Times New Roman" w:eastAsia="Times New Roman" w:hint="default"/>
          <w:spacing w:val="-3"/>
        </w:rPr>
        <w:t>IT</w:t>
      </w:r>
      <w:r>
        <w:rPr>
          <w:spacing w:val="-3"/>
        </w:rPr>
        <w:t>运维管理、</w:t>
      </w:r>
      <w:r>
        <w:rPr>
          <w:rFonts w:ascii="Times New Roman" w:hAnsi="Times New Roman" w:cs="Times New Roman" w:eastAsia="Times New Roman" w:hint="default"/>
          <w:spacing w:val="-3"/>
        </w:rPr>
        <w:t>IT</w:t>
      </w:r>
      <w:r>
        <w:rPr>
          <w:spacing w:val="-3"/>
        </w:rPr>
        <w:t>业务外包、大型软件定制实施、</w:t>
      </w:r>
      <w:r>
        <w:rPr>
          <w:spacing w:val="-61"/>
        </w:rPr>
        <w:t> </w:t>
      </w:r>
      <w:r>
        <w:rPr>
          <w:spacing w:val="-61"/>
        </w:rPr>
      </w:r>
      <w:r>
        <w:rPr/>
        <w:t>系统数据移植、云托管等。</w:t>
      </w:r>
    </w:p>
    <w:p>
      <w:pPr>
        <w:pStyle w:val="BodyText"/>
        <w:spacing w:line="307" w:lineRule="auto" w:before="24"/>
        <w:ind w:right="1131" w:firstLine="420"/>
        <w:jc w:val="both"/>
      </w:pPr>
      <w:r>
        <w:rPr>
          <w:spacing w:val="-1"/>
        </w:rPr>
        <w:t>在做大做强传统业务的基础上，公司在技术、产品、业务模式等方面不断创新，逐步实现</w:t>
      </w:r>
      <w:r>
        <w:rPr>
          <w:rFonts w:ascii="Times New Roman" w:hAnsi="Times New Roman" w:cs="Times New Roman" w:eastAsia="Times New Roman" w:hint="default"/>
          <w:spacing w:val="-1"/>
        </w:rPr>
        <w:t>“</w:t>
      </w:r>
      <w:r>
        <w:rPr>
          <w:spacing w:val="-1"/>
        </w:rPr>
        <w:t>东华</w:t>
      </w:r>
      <w:r>
        <w:rPr>
          <w:rFonts w:ascii="Times New Roman" w:hAnsi="Times New Roman" w:cs="Times New Roman" w:eastAsia="Times New Roman" w:hint="default"/>
          <w:spacing w:val="-1"/>
        </w:rPr>
        <w:t>+”</w:t>
      </w:r>
      <w:r>
        <w:rPr>
          <w:spacing w:val="-1"/>
        </w:rPr>
        <w:t>的战略计划。在业务</w:t>
      </w:r>
      <w:r>
        <w:rPr/>
        <w:t> </w:t>
      </w:r>
      <w:r>
        <w:rPr>
          <w:spacing w:val="-2"/>
        </w:rPr>
        <w:t>层面上，公司不断调整传统项目型经营模式，通过与腾讯在智慧金融、智慧医疗、智慧城市等领域的战略合作，加强公司平</w:t>
      </w:r>
      <w:r>
        <w:rPr>
          <w:spacing w:val="-67"/>
        </w:rPr>
        <w:t> </w:t>
      </w:r>
      <w:r>
        <w:rPr>
          <w:spacing w:val="-67"/>
        </w:rPr>
      </w:r>
      <w:r>
        <w:rPr/>
        <w:t>台型产品的竞争力，加速</w:t>
      </w:r>
      <w:r>
        <w:rPr>
          <w:rFonts w:ascii="Times New Roman" w:hAnsi="Times New Roman" w:cs="Times New Roman" w:eastAsia="Times New Roman" w:hint="default"/>
        </w:rPr>
        <w:t>B2C</w:t>
      </w:r>
      <w:r>
        <w:rPr/>
        <w:t>产品线的研发与推广，逐步向下游延伸增值服务及产品，并在</w:t>
      </w:r>
      <w:r>
        <w:rPr>
          <w:rFonts w:ascii="Times New Roman" w:hAnsi="Times New Roman" w:cs="Times New Roman" w:eastAsia="Times New Roman" w:hint="default"/>
        </w:rPr>
        <w:t>C</w:t>
      </w:r>
      <w:r>
        <w:rPr/>
        <w:t>端客户中形成网络效应。在技</w:t>
      </w:r>
      <w:r>
        <w:rPr>
          <w:spacing w:val="-84"/>
        </w:rPr>
        <w:t> </w:t>
      </w:r>
      <w:r>
        <w:rPr>
          <w:spacing w:val="-84"/>
        </w:rPr>
      </w:r>
      <w:r>
        <w:rPr>
          <w:spacing w:val="-2"/>
        </w:rPr>
        <w:t>术层面上，公司积极关注、拥抱新技术，在云计算、物联网、人工智能、大数据、工业互联网、区块链等技术研发和行业应</w:t>
      </w:r>
      <w:r>
        <w:rPr>
          <w:spacing w:val="-65"/>
        </w:rPr>
        <w:t> </w:t>
      </w:r>
      <w:r>
        <w:rPr>
          <w:spacing w:val="-65"/>
        </w:rPr>
      </w:r>
      <w:r>
        <w:rPr/>
        <w:t>用方面都有所突破。通过深入实施</w:t>
      </w:r>
      <w:r>
        <w:rPr>
          <w:rFonts w:ascii="Times New Roman" w:hAnsi="Times New Roman" w:cs="Times New Roman" w:eastAsia="Times New Roman" w:hint="default"/>
        </w:rPr>
        <w:t>“</w:t>
      </w:r>
      <w:r>
        <w:rPr/>
        <w:t>东华</w:t>
      </w:r>
      <w:r>
        <w:rPr>
          <w:rFonts w:ascii="Times New Roman" w:hAnsi="Times New Roman" w:cs="Times New Roman" w:eastAsia="Times New Roman" w:hint="default"/>
        </w:rPr>
        <w:t>+”</w:t>
      </w:r>
      <w:r>
        <w:rPr/>
        <w:t>的战略计划，逐步展现出公司的新布局、新状态、新技术、新风采，为公司带来</w:t>
      </w:r>
      <w:r>
        <w:rPr>
          <w:spacing w:val="-76"/>
        </w:rPr>
        <w:t> </w:t>
      </w:r>
      <w:r>
        <w:rPr>
          <w:spacing w:val="-76"/>
        </w:rPr>
      </w:r>
      <w:r>
        <w:rPr/>
        <w:t>新的发展动力与机会。</w:t>
      </w:r>
    </w:p>
    <w:p>
      <w:pPr>
        <w:pStyle w:val="BodyText"/>
        <w:spacing w:line="300" w:lineRule="auto" w:before="26"/>
        <w:ind w:left="572" w:right="986"/>
        <w:jc w:val="left"/>
      </w:pPr>
      <w:r>
        <w:rPr>
          <w:rFonts w:ascii="Times New Roman" w:hAnsi="Times New Roman" w:cs="Times New Roman" w:eastAsia="Times New Roman" w:hint="default"/>
          <w:b/>
          <w:bCs/>
        </w:rPr>
        <w:t>3</w:t>
      </w:r>
      <w:r>
        <w:rPr>
          <w:rFonts w:ascii="宋体" w:hAnsi="宋体" w:cs="宋体" w:eastAsia="宋体" w:hint="default"/>
          <w:b/>
          <w:bCs/>
        </w:rPr>
        <w:t>、计算机信息系统集成</w:t>
      </w:r>
      <w:r>
        <w:rPr>
          <w:rFonts w:ascii="宋体" w:hAnsi="宋体" w:cs="宋体" w:eastAsia="宋体" w:hint="default"/>
          <w:b/>
          <w:bCs/>
          <w:w w:val="99"/>
        </w:rPr>
        <w:t> </w:t>
      </w:r>
      <w:r>
        <w:rPr/>
        <w:t>计算机信息系统集成业务主要是公司根据客户需求，为其产品设计和升级提供咨询规划、</w:t>
      </w:r>
      <w:r>
        <w:rPr>
          <w:rFonts w:ascii="Times New Roman" w:hAnsi="Times New Roman" w:cs="Times New Roman" w:eastAsia="Times New Roman" w:hint="default"/>
        </w:rPr>
        <w:t>IT</w:t>
      </w:r>
      <w:r>
        <w:rPr/>
        <w:t>系统架构、软硬件选型与</w:t>
      </w:r>
    </w:p>
    <w:p>
      <w:pPr>
        <w:pStyle w:val="BodyText"/>
        <w:spacing w:line="300" w:lineRule="auto" w:before="13"/>
        <w:ind w:right="1092"/>
        <w:jc w:val="left"/>
      </w:pPr>
      <w:r>
        <w:rPr/>
        <w:t>集成，将相关的软硬件有机地结合在一起。公司的计算机系统集成业务主要产品及服务包括</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网络工程、数据储存与容灾、 信息安全、智能建筑、远程会议、安防系统等。</w:t>
      </w:r>
    </w:p>
    <w:p>
      <w:pPr>
        <w:spacing w:line="468" w:lineRule="exact" w:before="23"/>
        <w:ind w:left="572" w:right="1154" w:firstLine="0"/>
        <w:jc w:val="left"/>
        <w:rPr>
          <w:rFonts w:ascii="宋体" w:hAnsi="宋体" w:cs="宋体" w:eastAsia="宋体" w:hint="default"/>
          <w:sz w:val="18"/>
          <w:szCs w:val="18"/>
        </w:rPr>
      </w:pPr>
      <w:r>
        <w:rPr>
          <w:rFonts w:ascii="宋体" w:hAnsi="宋体" w:cs="宋体" w:eastAsia="宋体" w:hint="default"/>
          <w:b/>
          <w:bCs/>
          <w:sz w:val="18"/>
          <w:szCs w:val="18"/>
        </w:rPr>
        <w:t>（二）公司所处行业发展情况</w:t>
      </w:r>
      <w:r>
        <w:rPr>
          <w:rFonts w:ascii="宋体" w:hAnsi="宋体" w:cs="宋体" w:eastAsia="宋体" w:hint="default"/>
          <w:b/>
          <w:bCs/>
          <w:w w:val="99"/>
          <w:sz w:val="18"/>
          <w:szCs w:val="18"/>
        </w:rPr>
        <w:t> </w:t>
      </w:r>
      <w:r>
        <w:rPr>
          <w:rFonts w:ascii="宋体" w:hAnsi="宋体" w:cs="宋体" w:eastAsia="宋体" w:hint="default"/>
          <w:sz w:val="18"/>
          <w:szCs w:val="18"/>
        </w:rPr>
        <w:t>根据工业和信息化部公布的数据，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年我国软件和信息技术服务业继续呈现平稳增长的态势。全国软件和信息技术</w:t>
      </w:r>
    </w:p>
    <w:p>
      <w:pPr>
        <w:pStyle w:val="BodyText"/>
        <w:spacing w:line="307" w:lineRule="auto" w:before="8"/>
        <w:ind w:right="1113"/>
        <w:jc w:val="left"/>
      </w:pPr>
      <w:r>
        <w:rPr/>
        <w:t>服务业完成软件业务收入</w:t>
      </w:r>
      <w:r>
        <w:rPr>
          <w:rFonts w:ascii="Times New Roman" w:hAnsi="Times New Roman" w:cs="Times New Roman" w:eastAsia="Times New Roman" w:hint="default"/>
        </w:rPr>
        <w:t>6.3</w:t>
      </w:r>
      <w:r>
        <w:rPr/>
        <w:t>万亿元，比上年同期增长</w:t>
      </w:r>
      <w:r>
        <w:rPr>
          <w:rFonts w:ascii="Times New Roman" w:hAnsi="Times New Roman" w:cs="Times New Roman" w:eastAsia="Times New Roman" w:hint="default"/>
        </w:rPr>
        <w:t>14.2%</w:t>
      </w:r>
      <w:r>
        <w:rPr/>
        <w:t>，产业规模进一步扩大；实现利润总额</w:t>
      </w:r>
      <w:r>
        <w:rPr>
          <w:rFonts w:ascii="Times New Roman" w:hAnsi="Times New Roman" w:cs="Times New Roman" w:eastAsia="Times New Roman" w:hint="default"/>
        </w:rPr>
        <w:t>0.8</w:t>
      </w:r>
      <w:r>
        <w:rPr/>
        <w:t>万亿元，比上年同期 增长</w:t>
      </w:r>
      <w:r>
        <w:rPr>
          <w:rFonts w:ascii="Times New Roman" w:hAnsi="Times New Roman" w:cs="Times New Roman" w:eastAsia="Times New Roman" w:hint="default"/>
        </w:rPr>
        <w:t>9.7%</w:t>
      </w:r>
      <w:r>
        <w:rPr/>
        <w:t>，盈利能力稳步提升。近年来，</w:t>
      </w:r>
      <w:r>
        <w:rPr>
          <w:spacing w:val="-65"/>
        </w:rPr>
        <w:t> </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行动计划、大数据、军民融合发展等国家战略的推进与实 </w:t>
      </w:r>
      <w:r>
        <w:rPr>
          <w:spacing w:val="-2"/>
        </w:rPr>
        <w:t>施从政策层面上为软件和信息技术服务业提供了强有力的支持，人工智能、云计算、大数据等新兴技术的快速落地推动传统</w:t>
      </w:r>
      <w:r>
        <w:rPr>
          <w:spacing w:val="-66"/>
        </w:rPr>
        <w:t> </w:t>
      </w:r>
      <w:r>
        <w:rPr>
          <w:spacing w:val="-66"/>
        </w:rPr>
      </w:r>
      <w:r>
        <w:rPr/>
        <w:t>产业的商业模式转型和升级，行业发展前景广阔，机遇与挑战共存。</w:t>
      </w:r>
    </w:p>
    <w:p>
      <w:pPr>
        <w:pStyle w:val="BodyText"/>
        <w:spacing w:line="240" w:lineRule="auto" w:before="26"/>
        <w:ind w:left="572" w:right="986"/>
        <w:jc w:val="left"/>
      </w:pPr>
      <w:r>
        <w:rPr/>
        <w:t>在产业加速增长、新兴技术不断涌现与成熟的大环境下，公司紧贴国家政策指导和公司战略发展需求，在坚持对行业</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986"/>
        <w:jc w:val="left"/>
      </w:pPr>
      <w:r>
        <w:rPr>
          <w:spacing w:val="-2"/>
        </w:rPr>
        <w:t>客户深耕细作的基础上，加大对云计算、人工智能、大数据、物联网等新兴技术的研发投入与人才引进，继续巩固并增强在</w:t>
      </w:r>
      <w:r>
        <w:rPr>
          <w:spacing w:val="-67"/>
        </w:rPr>
        <w:t> </w:t>
      </w:r>
      <w:r>
        <w:rPr>
          <w:spacing w:val="-67"/>
        </w:rPr>
      </w:r>
      <w:r>
        <w:rPr/>
        <w:t>智慧医疗、智慧金融、智慧城市等领域的市场竞争力，不断提升公司的创新能力和服务质量，加速转型升级。</w:t>
      </w:r>
    </w:p>
    <w:p>
      <w:pPr>
        <w:pStyle w:val="BodyText"/>
        <w:spacing w:line="468" w:lineRule="exact" w:before="11"/>
        <w:ind w:left="572" w:right="986"/>
        <w:jc w:val="left"/>
      </w:pPr>
      <w:r>
        <w:rPr>
          <w:rFonts w:ascii="宋体" w:hAnsi="宋体" w:cs="宋体" w:eastAsia="宋体" w:hint="default"/>
          <w:b/>
          <w:bCs/>
        </w:rPr>
        <w:t>（三）公司所处行业地位</w:t>
      </w:r>
      <w:r>
        <w:rPr>
          <w:rFonts w:ascii="宋体" w:hAnsi="宋体" w:cs="宋体" w:eastAsia="宋体" w:hint="default"/>
          <w:b/>
          <w:bCs/>
          <w:w w:val="99"/>
        </w:rPr>
        <w:t> </w:t>
      </w:r>
      <w:r>
        <w:rPr/>
        <w:t>公司作为中国市场上大型的综合性行业应用软件开发、计算机信息系统集成和信息技术服务提供商，是国内最早通过</w:t>
      </w:r>
    </w:p>
    <w:p>
      <w:pPr>
        <w:pStyle w:val="BodyText"/>
        <w:spacing w:line="304" w:lineRule="auto" w:before="8"/>
        <w:ind w:right="1034"/>
        <w:jc w:val="left"/>
      </w:pPr>
      <w:r>
        <w:rPr/>
        <w:t>软件能力成熟度集成（</w:t>
      </w:r>
      <w:r>
        <w:rPr>
          <w:rFonts w:ascii="Times New Roman" w:hAnsi="Times New Roman" w:cs="Times New Roman" w:eastAsia="Times New Roman" w:hint="default"/>
        </w:rPr>
        <w:t>CMMI</w:t>
      </w:r>
      <w:r>
        <w:rPr/>
        <w:t>）</w:t>
      </w:r>
      <w:r>
        <w:rPr>
          <w:rFonts w:ascii="Times New Roman" w:hAnsi="Times New Roman" w:cs="Times New Roman" w:eastAsia="Times New Roman" w:hint="default"/>
        </w:rPr>
        <w:t>5</w:t>
      </w:r>
      <w:r>
        <w:rPr/>
        <w:t>级认证的软件企业之一，是国家首批信息系统集成及服务大型一级企业。公司具有国家涉</w:t>
      </w:r>
      <w:r>
        <w:rPr>
          <w:spacing w:val="-53"/>
        </w:rPr>
        <w:t> </w:t>
      </w:r>
      <w:r>
        <w:rPr>
          <w:spacing w:val="-53"/>
        </w:rPr>
      </w:r>
      <w:r>
        <w:rPr/>
        <w:t>密计算机信息系统集成甲级资质、安防工程企业一级资质、信息系统安全集成服务二级资质、信息系统运行维护一级资质、 </w:t>
      </w:r>
      <w:r>
        <w:rPr>
          <w:rFonts w:ascii="Times New Roman" w:hAnsi="Times New Roman" w:cs="Times New Roman" w:eastAsia="Times New Roman" w:hint="default"/>
        </w:rPr>
        <w:t>ITSS</w:t>
      </w:r>
      <w:r>
        <w:rPr/>
        <w:t>二级证书等，并取得了</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ISO20000</w:t>
      </w:r>
      <w:r>
        <w:rPr/>
        <w:t>、</w:t>
      </w:r>
      <w:r>
        <w:rPr>
          <w:rFonts w:ascii="Times New Roman" w:hAnsi="Times New Roman" w:cs="Times New Roman" w:eastAsia="Times New Roman" w:hint="default"/>
        </w:rPr>
        <w:t>ISO27001</w:t>
      </w:r>
      <w:r>
        <w:rPr/>
        <w:t>、</w:t>
      </w:r>
      <w:r>
        <w:rPr>
          <w:rFonts w:ascii="Times New Roman" w:hAnsi="Times New Roman" w:cs="Times New Roman" w:eastAsia="Times New Roman" w:hint="default"/>
        </w:rPr>
        <w:t>ISO9001</w:t>
      </w:r>
      <w:r>
        <w:rPr/>
        <w:t>、国军标质量管理等质量体系认证，拥有</w:t>
      </w:r>
      <w:r>
        <w:rPr>
          <w:rFonts w:ascii="Times New Roman" w:hAnsi="Times New Roman" w:cs="Times New Roman" w:eastAsia="Times New Roman" w:hint="default"/>
        </w:rPr>
        <w:t>1,400</w:t>
      </w:r>
      <w:r>
        <w:rPr/>
        <w:t>余项</w:t>
      </w:r>
      <w:r>
        <w:rPr>
          <w:spacing w:val="-65"/>
        </w:rPr>
        <w:t> </w:t>
      </w:r>
      <w:r>
        <w:rPr/>
        <w:t>软件著作版权。另外，公司为北京高新技术企业、北京市信用</w:t>
      </w:r>
      <w:r>
        <w:rPr>
          <w:rFonts w:ascii="Times New Roman" w:hAnsi="Times New Roman" w:cs="Times New Roman" w:eastAsia="Times New Roman" w:hint="default"/>
        </w:rPr>
        <w:t>AAA</w:t>
      </w:r>
      <w:r>
        <w:rPr/>
        <w:t>级企业、国家火炬计划重点高新技术企业、智慧城市发</w:t>
      </w:r>
      <w:r>
        <w:rPr>
          <w:spacing w:val="-38"/>
        </w:rPr>
        <w:t> </w:t>
      </w:r>
      <w:r>
        <w:rPr>
          <w:spacing w:val="-38"/>
        </w:rPr>
      </w:r>
      <w:r>
        <w:rPr>
          <w:spacing w:val="-2"/>
        </w:rPr>
        <w:t>展研究中心企业联合组成员、全国信息技术标准化委员会云计算标准工作组成员单位、电子行业联合会理事单位、北京信息</w:t>
      </w:r>
      <w:r>
        <w:rPr>
          <w:spacing w:val="-63"/>
        </w:rPr>
        <w:t> </w:t>
      </w:r>
      <w:r>
        <w:rPr>
          <w:spacing w:val="-63"/>
        </w:rPr>
      </w:r>
      <w:r>
        <w:rPr/>
        <w:t>化协会理事长会员单位、</w:t>
      </w:r>
      <w:r>
        <w:rPr>
          <w:rFonts w:ascii="Times New Roman" w:hAnsi="Times New Roman" w:cs="Times New Roman" w:eastAsia="Times New Roman" w:hint="default"/>
        </w:rPr>
        <w:t>ITSS</w:t>
      </w:r>
      <w:r>
        <w:rPr/>
        <w:t>全权成员单位等，荣获</w:t>
      </w:r>
      <w:r>
        <w:rPr>
          <w:rFonts w:ascii="Times New Roman" w:hAnsi="Times New Roman" w:cs="Times New Roman" w:eastAsia="Times New Roman" w:hint="default"/>
        </w:rPr>
        <w:t>2018</w:t>
      </w:r>
      <w:r>
        <w:rPr/>
        <w:t>年中国软件行业最具影响力企业、</w:t>
      </w:r>
      <w:r>
        <w:rPr>
          <w:rFonts w:ascii="Times New Roman" w:hAnsi="Times New Roman" w:cs="Times New Roman" w:eastAsia="Times New Roman" w:hint="default"/>
        </w:rPr>
        <w:t>2018</w:t>
      </w:r>
      <w:r>
        <w:rPr/>
        <w:t>年北京软件和信息技术服</w:t>
      </w:r>
      <w:r>
        <w:rPr>
          <w:spacing w:val="-21"/>
        </w:rPr>
        <w:t> </w:t>
      </w:r>
      <w:r>
        <w:rPr>
          <w:spacing w:val="-21"/>
        </w:rPr>
      </w:r>
      <w:r>
        <w:rPr/>
        <w:t>务综合实力百强企业、</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IT</w:t>
      </w:r>
      <w:r>
        <w:rPr/>
        <w:t>转型服务商</w:t>
      </w:r>
      <w:r>
        <w:rPr>
          <w:rFonts w:ascii="Times New Roman" w:hAnsi="Times New Roman" w:cs="Times New Roman" w:eastAsia="Times New Roman" w:hint="default"/>
        </w:rPr>
        <w:t>TOP100</w:t>
      </w:r>
      <w:r>
        <w:rPr/>
        <w:t>等。经过长期的耕耘，公司在相关业务领域具有较为全面的资质、能</w:t>
      </w:r>
      <w:r>
        <w:rPr>
          <w:spacing w:val="-60"/>
        </w:rPr>
        <w:t> </w:t>
      </w:r>
      <w:r>
        <w:rPr>
          <w:spacing w:val="-60"/>
        </w:rPr>
      </w:r>
      <w:r>
        <w:rPr/>
        <w:t>力与经验，将不断的为公司带来新的业绩增长。</w:t>
      </w:r>
    </w:p>
    <w:p>
      <w:pPr>
        <w:spacing w:line="240" w:lineRule="auto" w:before="7"/>
        <w:rPr>
          <w:rFonts w:ascii="宋体" w:hAnsi="宋体" w:cs="宋体" w:eastAsia="宋体" w:hint="default"/>
          <w:sz w:val="21"/>
          <w:szCs w:val="21"/>
        </w:rPr>
      </w:pPr>
    </w:p>
    <w:p>
      <w:pPr>
        <w:pStyle w:val="Heading3"/>
        <w:spacing w:line="240" w:lineRule="auto"/>
        <w:ind w:right="986"/>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spacing w:line="240" w:lineRule="auto" w:before="44"/>
        <w:ind w:left="0" w:right="1140"/>
        <w:jc w:val="right"/>
      </w:pPr>
      <w:r>
        <w:rPr/>
        <w:pict>
          <v:shape style="position:absolute;margin-left:56.400002pt;margin-top:-155.168274pt;width:479.2pt;height:286.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8150"/>
                  </w:tblGrid>
                  <w:tr>
                    <w:trPr>
                      <w:trHeight w:val="763"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1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在建工程较上年度末增加</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150.47%</w:t>
                        </w:r>
                        <w:r>
                          <w:rPr>
                            <w:rFonts w:ascii="宋体" w:hAnsi="宋体" w:cs="宋体" w:eastAsia="宋体" w:hint="default"/>
                            <w:sz w:val="18"/>
                            <w:szCs w:val="18"/>
                          </w:rPr>
                          <w:t>，主要原因系子公司建造泰安软件园及马鞍山金云产业园支出增加所 致。</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其他流动资产较上年度末增加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52.00%</w:t>
                        </w:r>
                        <w:r>
                          <w:rPr>
                            <w:rFonts w:ascii="宋体" w:hAnsi="宋体" w:cs="宋体" w:eastAsia="宋体" w:hint="default"/>
                            <w:sz w:val="18"/>
                            <w:szCs w:val="18"/>
                          </w:rPr>
                          <w:t>，主要原因系增值税待认证进项税额增加所致。</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开发支出较上年度末减少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，主要原因系子公司开发支出结转费用及无形资产所致。</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预收款项较上年度末增加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42.87%</w:t>
                        </w:r>
                        <w:r>
                          <w:rPr>
                            <w:rFonts w:ascii="宋体" w:hAnsi="宋体" w:cs="宋体" w:eastAsia="宋体" w:hint="default"/>
                            <w:sz w:val="18"/>
                            <w:szCs w:val="18"/>
                          </w:rPr>
                          <w:t>，主要原因系公司收到项目货款增加所致。</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长期股权投资较上年度末增加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61.64%</w:t>
                        </w:r>
                        <w:r>
                          <w:rPr>
                            <w:rFonts w:ascii="宋体" w:hAnsi="宋体" w:cs="宋体" w:eastAsia="宋体" w:hint="default"/>
                            <w:sz w:val="18"/>
                            <w:szCs w:val="18"/>
                          </w:rPr>
                          <w:t>，主要原因系公司对权益法核算联营企业投资增加所致。</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短期借款较上年度末增加</w:t>
                        </w:r>
                        <w:r>
                          <w:rPr>
                            <w:rFonts w:ascii="宋体" w:hAnsi="宋体" w:cs="宋体" w:eastAsia="宋体" w:hint="default"/>
                            <w:spacing w:val="-20"/>
                            <w:sz w:val="18"/>
                            <w:szCs w:val="18"/>
                          </w:rPr>
                          <w:t> </w:t>
                        </w:r>
                        <w:r>
                          <w:rPr>
                            <w:rFonts w:ascii="Times New Roman" w:hAnsi="Times New Roman" w:cs="Times New Roman" w:eastAsia="Times New Roman" w:hint="default"/>
                            <w:spacing w:val="-5"/>
                            <w:sz w:val="18"/>
                            <w:szCs w:val="18"/>
                          </w:rPr>
                          <w:t>98.04%</w:t>
                        </w:r>
                        <w:r>
                          <w:rPr>
                            <w:rFonts w:ascii="宋体" w:hAnsi="宋体" w:cs="宋体" w:eastAsia="宋体" w:hint="default"/>
                            <w:spacing w:val="-5"/>
                            <w:sz w:val="18"/>
                            <w:szCs w:val="18"/>
                          </w:rPr>
                          <w:t>，主要原因系由于业务需求，向银行办理贷款、信用证等业务增加所致</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应交税费较上年度末减少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33.78%</w:t>
                        </w:r>
                        <w:r>
                          <w:rPr>
                            <w:rFonts w:ascii="宋体" w:hAnsi="宋体" w:cs="宋体" w:eastAsia="宋体" w:hint="default"/>
                            <w:sz w:val="18"/>
                            <w:szCs w:val="18"/>
                          </w:rPr>
                          <w:t>，主要原因系公司应缴未缴税费减少所致。</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递延所得税资产较上年度末增加了</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34.36%</w:t>
                        </w:r>
                        <w:r>
                          <w:rPr>
                            <w:rFonts w:ascii="宋体" w:hAnsi="宋体" w:cs="宋体" w:eastAsia="宋体" w:hint="default"/>
                            <w:spacing w:val="-3"/>
                            <w:sz w:val="18"/>
                            <w:szCs w:val="18"/>
                          </w:rPr>
                          <w:t>，主要原因系本期计提的坏账准备增加，导致确认的递延所得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税资产增加所致。</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递延所得税负债较上年度末减少</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53.41%</w:t>
                        </w:r>
                        <w:r>
                          <w:rPr>
                            <w:rFonts w:ascii="宋体" w:hAnsi="宋体" w:cs="宋体" w:eastAsia="宋体" w:hint="default"/>
                            <w:spacing w:val="-2"/>
                            <w:sz w:val="18"/>
                            <w:szCs w:val="18"/>
                          </w:rPr>
                          <w:t>，主要原因系非同一控制企业合并资产评估增值导致的递延所得</w:t>
                        </w:r>
                        <w:r>
                          <w:rPr>
                            <w:rFonts w:ascii="宋体" w:hAnsi="宋体" w:cs="宋体" w:eastAsia="宋体" w:hint="default"/>
                            <w:sz w:val="18"/>
                            <w:szCs w:val="18"/>
                          </w:rPr>
                          <w:t> 税负债减少所致。</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其它非流动资产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其他非流动资产较上年度末减少了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99.60%</w:t>
                        </w:r>
                        <w:r>
                          <w:rPr>
                            <w:rFonts w:ascii="宋体" w:hAnsi="宋体" w:cs="宋体" w:eastAsia="宋体" w:hint="default"/>
                            <w:sz w:val="18"/>
                            <w:szCs w:val="18"/>
                          </w:rPr>
                          <w:t>，主要原因系预付土地款转入无形资产所致。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before="36"/>
        <w:ind w:right="986"/>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公司是否需要遵守特殊行业的披露要求</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8954"/>
        <w:jc w:val="left"/>
      </w:pPr>
      <w:r>
        <w:rPr/>
        <w:t>参照披露 软件与信息技术服务业</w:t>
      </w:r>
    </w:p>
    <w:p>
      <w:pPr>
        <w:spacing w:line="300" w:lineRule="auto" w:before="25"/>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、持续的技术自主研发与创新</w:t>
      </w:r>
      <w:r>
        <w:rPr>
          <w:rFonts w:ascii="宋体" w:hAnsi="宋体" w:cs="宋体" w:eastAsia="宋体" w:hint="default"/>
          <w:b/>
          <w:bCs/>
          <w:w w:val="99"/>
          <w:sz w:val="18"/>
          <w:szCs w:val="18"/>
        </w:rPr>
        <w:t> </w:t>
      </w:r>
      <w:r>
        <w:rPr>
          <w:rFonts w:ascii="宋体" w:hAnsi="宋体" w:cs="宋体" w:eastAsia="宋体" w:hint="default"/>
          <w:sz w:val="18"/>
          <w:szCs w:val="18"/>
        </w:rPr>
        <w:t>公司在技术研发方面坚持注重自主研发与创新，先后成立了软件研究院、企业管理研究院，参与了多个软件和系统集</w:t>
      </w:r>
    </w:p>
    <w:p>
      <w:pPr>
        <w:pStyle w:val="BodyText"/>
        <w:spacing w:line="316" w:lineRule="auto" w:before="31"/>
        <w:ind w:right="1135"/>
        <w:jc w:val="both"/>
      </w:pPr>
      <w:r>
        <w:rPr>
          <w:spacing w:val="-2"/>
        </w:rPr>
        <w:t>成专业技术委员会、联合实验室和合作研发机构，建立了博士后工作站、雄安全球研发中心、区块链技术研究院、医疗大数</w:t>
      </w:r>
      <w:r>
        <w:rPr>
          <w:spacing w:val="-67"/>
        </w:rPr>
        <w:t> </w:t>
      </w:r>
      <w:r>
        <w:rPr>
          <w:spacing w:val="-67"/>
        </w:rPr>
      </w:r>
      <w:r>
        <w:rPr/>
        <w:t>据和</w:t>
      </w:r>
      <w:r>
        <w:rPr>
          <w:rFonts w:ascii="Times New Roman" w:hAnsi="Times New Roman" w:cs="Times New Roman" w:eastAsia="Times New Roman" w:hint="default"/>
        </w:rPr>
        <w:t>AI</w:t>
      </w:r>
      <w:r>
        <w:rPr/>
        <w:t>研究院等，汇集了大量具有丰富的项目实施经验及技术创新能力的人才。</w:t>
      </w:r>
    </w:p>
    <w:p>
      <w:pPr>
        <w:pStyle w:val="BodyText"/>
        <w:spacing w:line="300" w:lineRule="auto"/>
        <w:ind w:left="572" w:right="986"/>
        <w:jc w:val="left"/>
      </w:pPr>
      <w:r>
        <w:rPr>
          <w:rFonts w:ascii="Times New Roman" w:hAnsi="Times New Roman" w:cs="Times New Roman" w:eastAsia="Times New Roman" w:hint="default"/>
          <w:b/>
          <w:bCs/>
        </w:rPr>
        <w:t>2</w:t>
      </w:r>
      <w:r>
        <w:rPr>
          <w:rFonts w:ascii="宋体" w:hAnsi="宋体" w:cs="宋体" w:eastAsia="宋体" w:hint="default"/>
          <w:b/>
          <w:bCs/>
        </w:rPr>
        <w:t>、丰富的产品及服务</w:t>
      </w:r>
      <w:r>
        <w:rPr>
          <w:rFonts w:ascii="宋体" w:hAnsi="宋体" w:cs="宋体" w:eastAsia="宋体" w:hint="default"/>
          <w:b/>
          <w:bCs/>
          <w:w w:val="99"/>
        </w:rPr>
        <w:t> </w:t>
      </w:r>
      <w:r>
        <w:rPr/>
        <w:t>公司基于近二十年来在各行业积累的经验与市场优势，依托大数据、人工智能、云计算、物联网、区块链等新兴技术</w:t>
      </w:r>
    </w:p>
    <w:p>
      <w:pPr>
        <w:pStyle w:val="BodyText"/>
        <w:spacing w:line="300" w:lineRule="auto" w:before="31"/>
        <w:ind w:right="1130"/>
        <w:jc w:val="both"/>
      </w:pPr>
      <w:r>
        <w:rPr>
          <w:spacing w:val="-2"/>
        </w:rPr>
        <w:t>的支撑，逐步构建完善的产品及服务生态圈，在全国拥有</w:t>
      </w:r>
      <w:r>
        <w:rPr>
          <w:rFonts w:ascii="Times New Roman" w:hAnsi="Times New Roman" w:cs="Times New Roman" w:eastAsia="Times New Roman" w:hint="default"/>
          <w:spacing w:val="-2"/>
        </w:rPr>
        <w:t>70</w:t>
      </w:r>
      <w:r>
        <w:rPr>
          <w:spacing w:val="-2"/>
        </w:rPr>
        <w:t>余家分支机构，产品及服务涉及多个行业，项目涵盖多种产品及</w:t>
      </w:r>
      <w:r>
        <w:rPr>
          <w:spacing w:val="-63"/>
        </w:rPr>
        <w:t> </w:t>
      </w:r>
      <w:r>
        <w:rPr>
          <w:spacing w:val="-63"/>
        </w:rPr>
      </w:r>
      <w:r>
        <w:rPr/>
        <w:t>解决方案，已为数千个用户提供了优秀的软件和信息系统解决方案。</w:t>
      </w:r>
    </w:p>
    <w:p>
      <w:pPr>
        <w:spacing w:line="300" w:lineRule="auto" w:before="31"/>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、深度的市场理解与精准的产品定位</w:t>
      </w:r>
      <w:r>
        <w:rPr>
          <w:rFonts w:ascii="宋体" w:hAnsi="宋体" w:cs="宋体" w:eastAsia="宋体" w:hint="default"/>
          <w:b/>
          <w:bCs/>
          <w:w w:val="99"/>
          <w:sz w:val="18"/>
          <w:szCs w:val="18"/>
        </w:rPr>
        <w:t> </w:t>
      </w:r>
      <w:r>
        <w:rPr>
          <w:rFonts w:ascii="宋体" w:hAnsi="宋体" w:cs="宋体" w:eastAsia="宋体" w:hint="default"/>
          <w:sz w:val="18"/>
          <w:szCs w:val="18"/>
        </w:rPr>
        <w:t>企业软件市场的特点是客户需求个性化、产品质量要求高、技术水平更迭快，深度的理解市场需求对企业软件提供商</w:t>
      </w:r>
    </w:p>
    <w:p>
      <w:pPr>
        <w:pStyle w:val="BodyText"/>
        <w:spacing w:line="316" w:lineRule="auto" w:before="31"/>
        <w:ind w:right="1130"/>
        <w:jc w:val="both"/>
      </w:pPr>
      <w:r>
        <w:rPr>
          <w:spacing w:val="-2"/>
        </w:rPr>
        <w:t>至关重要。公司自成立以来坚持行业的深耕细作，全面地了解市场形势、捕捉市场份额，通过与客户及时深度沟通和多渠道</w:t>
      </w:r>
      <w:r>
        <w:rPr>
          <w:spacing w:val="-64"/>
        </w:rPr>
        <w:t> </w:t>
      </w:r>
      <w:r>
        <w:rPr>
          <w:spacing w:val="-64"/>
        </w:rPr>
      </w:r>
      <w:r>
        <w:rPr>
          <w:spacing w:val="-2"/>
        </w:rPr>
        <w:t>的信息反馈机制，公司的产品有效地定位于满足行业用户的个性化需求。经过多年来不断的积累与完善，公司已建立了系统</w:t>
      </w:r>
      <w:r>
        <w:rPr>
          <w:spacing w:val="-63"/>
        </w:rPr>
        <w:t> </w:t>
      </w:r>
      <w:r>
        <w:rPr>
          <w:spacing w:val="-63"/>
        </w:rPr>
      </w:r>
      <w:r>
        <w:rPr/>
        <w:t>的产品迭代流程，根据反馈信息对产品进行持续优化、升级，不断提升产品与服务的质量。</w:t>
      </w:r>
    </w:p>
    <w:p>
      <w:pPr>
        <w:pStyle w:val="BodyText"/>
        <w:spacing w:line="300" w:lineRule="auto" w:before="19"/>
        <w:ind w:left="572" w:right="986"/>
        <w:jc w:val="left"/>
      </w:pPr>
      <w:r>
        <w:rPr>
          <w:rFonts w:ascii="Times New Roman" w:hAnsi="Times New Roman" w:cs="Times New Roman" w:eastAsia="Times New Roman" w:hint="default"/>
          <w:b/>
          <w:bCs/>
        </w:rPr>
        <w:t>4</w:t>
      </w:r>
      <w:r>
        <w:rPr>
          <w:rFonts w:ascii="宋体" w:hAnsi="宋体" w:cs="宋体" w:eastAsia="宋体" w:hint="default"/>
          <w:b/>
          <w:bCs/>
        </w:rPr>
        <w:t>、稳定的上下游资源</w:t>
      </w:r>
      <w:r>
        <w:rPr>
          <w:rFonts w:ascii="宋体" w:hAnsi="宋体" w:cs="宋体" w:eastAsia="宋体" w:hint="default"/>
          <w:b/>
          <w:bCs/>
          <w:w w:val="99"/>
        </w:rPr>
        <w:t> </w:t>
      </w:r>
      <w:r>
        <w:rPr>
          <w:spacing w:val="-1"/>
        </w:rPr>
        <w:t>在上游资源方面，公司建立了稳定的战略合作伙伴体系</w:t>
      </w:r>
      <w:r>
        <w:rPr>
          <w:rFonts w:ascii="Times New Roman" w:hAnsi="Times New Roman" w:cs="Times New Roman" w:eastAsia="Times New Roman" w:hint="default"/>
          <w:spacing w:val="-1"/>
        </w:rPr>
        <w:t>,</w:t>
      </w:r>
      <w:r>
        <w:rPr>
          <w:spacing w:val="-1"/>
        </w:rPr>
        <w:t>通过与一流战略合作伙伴在最新技术与产品领域进行的深入合</w:t>
      </w:r>
    </w:p>
    <w:p>
      <w:pPr>
        <w:pStyle w:val="BodyText"/>
        <w:spacing w:line="316" w:lineRule="auto" w:before="13"/>
        <w:ind w:right="1130"/>
        <w:jc w:val="both"/>
      </w:pPr>
      <w:r>
        <w:rPr>
          <w:spacing w:val="-2"/>
        </w:rPr>
        <w:t>作，有力地提升了公司议价能力与综合竞争力。目前，公司通过与国内外核心部件供应商保持长期的战略合作关系，增强公</w:t>
      </w:r>
      <w:r>
        <w:rPr>
          <w:spacing w:val="-64"/>
        </w:rPr>
        <w:t> </w:t>
      </w:r>
      <w:r>
        <w:rPr>
          <w:spacing w:val="-64"/>
        </w:rPr>
      </w:r>
      <w:r>
        <w:rPr/>
        <w:t>司自身与供应商价格、供货周期、后续服务谈判能力，以此为客户提供优质可靠的产品及服务。</w:t>
      </w:r>
    </w:p>
    <w:p>
      <w:pPr>
        <w:pStyle w:val="BodyText"/>
        <w:spacing w:line="309" w:lineRule="auto" w:before="18"/>
        <w:ind w:right="1044" w:firstLine="419"/>
        <w:jc w:val="both"/>
      </w:pPr>
      <w:r>
        <w:rPr/>
        <w:t>在下游资源方面，公司作为整体解决方案提供商，与客户长期保持沟通合作，提供持续服务，因而对客户业务现状、 发展趋势和本质性需求有着其他竞争者无法比拟的深刻了解，能够及时发现下游客户的需求</w:t>
      </w:r>
      <w:r>
        <w:rPr>
          <w:rFonts w:ascii="Times New Roman" w:hAnsi="Times New Roman" w:cs="Times New Roman" w:eastAsia="Times New Roman" w:hint="default"/>
        </w:rPr>
        <w:t>,</w:t>
      </w:r>
      <w:r>
        <w:rPr/>
        <w:t>不断纵向深耕业务。公司所拥</w:t>
      </w:r>
      <w:r>
        <w:rPr>
          <w:spacing w:val="-49"/>
        </w:rPr>
        <w:t> </w:t>
      </w:r>
      <w:r>
        <w:rPr>
          <w:spacing w:val="-49"/>
        </w:rPr>
      </w:r>
      <w:r>
        <w:rPr>
          <w:spacing w:val="-4"/>
        </w:rPr>
        <w:t>有的客户在广度、深度上都具有明显优势，已形成了一定的网络效应，同时良好的客户口碑也为公司创造了交叉营销的机会。</w:t>
      </w:r>
    </w:p>
    <w:p>
      <w:pPr>
        <w:spacing w:line="300" w:lineRule="auto" w:before="24"/>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、始终如一的企业文化与理念</w:t>
      </w:r>
      <w:r>
        <w:rPr>
          <w:rFonts w:ascii="宋体" w:hAnsi="宋体" w:cs="宋体" w:eastAsia="宋体" w:hint="default"/>
          <w:b/>
          <w:bCs/>
          <w:w w:val="99"/>
          <w:sz w:val="18"/>
          <w:szCs w:val="18"/>
        </w:rPr>
        <w:t> </w:t>
      </w:r>
      <w:r>
        <w:rPr>
          <w:rFonts w:ascii="宋体" w:hAnsi="宋体" w:cs="宋体" w:eastAsia="宋体" w:hint="default"/>
          <w:sz w:val="18"/>
          <w:szCs w:val="18"/>
        </w:rPr>
        <w:t>公司始终秉承</w:t>
      </w:r>
      <w:r>
        <w:rPr>
          <w:rFonts w:ascii="Times New Roman" w:hAnsi="Times New Roman" w:cs="Times New Roman" w:eastAsia="Times New Roman" w:hint="default"/>
          <w:sz w:val="18"/>
          <w:szCs w:val="18"/>
        </w:rPr>
        <w:t>“</w:t>
      </w:r>
      <w:r>
        <w:rPr>
          <w:rFonts w:ascii="宋体" w:hAnsi="宋体" w:cs="宋体" w:eastAsia="宋体" w:hint="default"/>
          <w:sz w:val="18"/>
          <w:szCs w:val="18"/>
        </w:rPr>
        <w:t>唯实、创新、勤勉、诚信</w:t>
      </w:r>
      <w:r>
        <w:rPr>
          <w:rFonts w:ascii="Times New Roman" w:hAnsi="Times New Roman" w:cs="Times New Roman" w:eastAsia="Times New Roman" w:hint="default"/>
          <w:sz w:val="18"/>
          <w:szCs w:val="18"/>
        </w:rPr>
        <w:t>”</w:t>
      </w:r>
      <w:r>
        <w:rPr>
          <w:rFonts w:ascii="宋体" w:hAnsi="宋体" w:cs="宋体" w:eastAsia="宋体" w:hint="default"/>
          <w:sz w:val="18"/>
          <w:szCs w:val="18"/>
        </w:rPr>
        <w:t>的文化和理念，不断为客户提供创新、优秀的产品、解决方案与服务，提供</w:t>
      </w:r>
    </w:p>
    <w:p>
      <w:pPr>
        <w:pStyle w:val="BodyText"/>
        <w:spacing w:line="316" w:lineRule="auto" w:before="13"/>
        <w:ind w:left="572" w:right="986" w:hanging="420"/>
        <w:jc w:val="left"/>
      </w:pPr>
      <w:r>
        <w:rPr/>
        <w:t>高性价比的产品和便捷、高效的服务，提升客户对公司产品、服务质量的满意度和信任度。 公司企业文化以</w:t>
      </w:r>
      <w:r>
        <w:rPr>
          <w:rFonts w:ascii="Times New Roman" w:hAnsi="Times New Roman" w:cs="Times New Roman" w:eastAsia="Times New Roman" w:hint="default"/>
        </w:rPr>
        <w:t>“</w:t>
      </w:r>
      <w:r>
        <w:rPr/>
        <w:t>客户至上</w:t>
      </w:r>
      <w:r>
        <w:rPr>
          <w:rFonts w:ascii="Times New Roman" w:hAnsi="Times New Roman" w:cs="Times New Roman" w:eastAsia="Times New Roman" w:hint="default"/>
        </w:rPr>
        <w:t>”</w:t>
      </w:r>
      <w:r>
        <w:rPr/>
        <w:t>为核心，为及时发现与挖掘客户的潜在需求并快速响应，搭建了客户反馈平台，通过以客</w:t>
      </w:r>
    </w:p>
    <w:p>
      <w:pPr>
        <w:pStyle w:val="BodyText"/>
        <w:spacing w:line="235" w:lineRule="exact"/>
        <w:ind w:right="0"/>
        <w:jc w:val="both"/>
      </w:pPr>
      <w:r>
        <w:rPr/>
        <w:t>户为中心、以需求为导向，持续用优质的服务积极发展并保持长期客户群。</w:t>
      </w:r>
    </w:p>
    <w:p>
      <w:pPr>
        <w:spacing w:after="0" w:line="235" w:lineRule="exact"/>
        <w:jc w:val="both"/>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86"/>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4"/>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86"/>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19"/>
        <w:jc w:val="both"/>
        <w:rPr>
          <w:rFonts w:ascii="宋体" w:hAnsi="宋体" w:cs="宋体" w:eastAsia="宋体" w:hint="default"/>
        </w:rPr>
      </w:pPr>
      <w:r>
        <w:rPr>
          <w:rFonts w:ascii="宋体" w:hAnsi="宋体" w:cs="宋体" w:eastAsia="宋体" w:hint="default"/>
        </w:rPr>
        <w:t>2018 </w:t>
      </w:r>
      <w:r>
        <w:rPr/>
        <w:t>年，公司继续秉承“唯实、创新、勤勉、诚信”的发展理念，积极拓展市场，公司实现营业收入 </w:t>
      </w:r>
      <w:r>
        <w:rPr>
          <w:rFonts w:ascii="宋体" w:hAnsi="宋体" w:cs="宋体" w:eastAsia="宋体" w:hint="default"/>
        </w:rPr>
        <w:t>847,059.11</w:t>
      </w:r>
      <w:r>
        <w:rPr>
          <w:rFonts w:ascii="宋体" w:hAnsi="宋体" w:cs="宋体" w:eastAsia="宋体" w:hint="default"/>
          <w:spacing w:val="-56"/>
        </w:rPr>
        <w:t> </w:t>
      </w:r>
      <w:r>
        <w:rPr/>
        <w:t>万 元，比上年同期增长</w:t>
      </w:r>
      <w:r>
        <w:rPr>
          <w:spacing w:val="-49"/>
        </w:rPr>
        <w:t> </w:t>
      </w:r>
      <w:r>
        <w:rPr>
          <w:rFonts w:ascii="宋体" w:hAnsi="宋体" w:cs="宋体" w:eastAsia="宋体" w:hint="default"/>
        </w:rPr>
        <w:t>16.19%</w:t>
      </w:r>
      <w:r>
        <w:rPr/>
        <w:t>；归属于上市公司股东的净利润为</w:t>
      </w:r>
      <w:r>
        <w:rPr>
          <w:spacing w:val="-49"/>
        </w:rPr>
        <w:t> </w:t>
      </w:r>
      <w:r>
        <w:rPr>
          <w:rFonts w:ascii="宋体" w:hAnsi="宋体" w:cs="宋体" w:eastAsia="宋体" w:hint="default"/>
        </w:rPr>
        <w:t>80,640.96</w:t>
      </w:r>
      <w:r>
        <w:rPr>
          <w:rFonts w:ascii="宋体" w:hAnsi="宋体" w:cs="宋体" w:eastAsia="宋体" w:hint="default"/>
          <w:spacing w:val="-47"/>
        </w:rPr>
        <w:t> </w:t>
      </w:r>
      <w:r>
        <w:rPr/>
        <w:t>万元，比上年同期增长</w:t>
      </w:r>
      <w:r>
        <w:rPr>
          <w:spacing w:val="-49"/>
        </w:rPr>
        <w:t> </w:t>
      </w:r>
      <w:r>
        <w:rPr>
          <w:rFonts w:ascii="宋体" w:hAnsi="宋体" w:cs="宋体" w:eastAsia="宋体" w:hint="default"/>
        </w:rPr>
        <w:t>21.48%</w:t>
      </w:r>
      <w:r>
        <w:rPr/>
        <w:t>。</w:t>
      </w:r>
      <w:r>
        <w:rPr>
          <w:rFonts w:ascii="宋体" w:hAnsi="宋体" w:cs="宋体" w:eastAsia="宋体" w:hint="default"/>
        </w:rPr>
        <w:t> </w:t>
      </w:r>
    </w:p>
    <w:p>
      <w:pPr>
        <w:pStyle w:val="BodyText"/>
        <w:spacing w:line="316" w:lineRule="auto" w:before="18"/>
        <w:ind w:right="1130" w:firstLine="419"/>
        <w:jc w:val="both"/>
        <w:rPr>
          <w:rFonts w:ascii="宋体" w:hAnsi="宋体" w:cs="宋体" w:eastAsia="宋体" w:hint="default"/>
        </w:rPr>
      </w:pPr>
      <w:r>
        <w:rPr/>
        <w:t>报告期内，公司一大新亮点是和腾讯在智慧医疗、智慧城市和智慧金融等领域展开深度战略合作并取得了重大进展。 </w:t>
      </w:r>
      <w:r>
        <w:rPr>
          <w:spacing w:val="-2"/>
        </w:rPr>
        <w:t>在智慧医疗方面，公司全资子公司东华医为联手腾讯云发布“一链三云”战略和“六大解决方案”，推出“一链三云”战略</w:t>
      </w:r>
      <w:r>
        <w:rPr>
          <w:spacing w:val="-72"/>
        </w:rPr>
        <w:t> </w:t>
      </w:r>
      <w:r>
        <w:rPr>
          <w:spacing w:val="-72"/>
        </w:rPr>
      </w:r>
      <w:r>
        <w:rPr>
          <w:spacing w:val="-1"/>
        </w:rPr>
        <w:t>中的医疗云产品“</w:t>
      </w:r>
      <w:r>
        <w:rPr>
          <w:rFonts w:ascii="宋体" w:hAnsi="宋体" w:cs="宋体" w:eastAsia="宋体" w:hint="default"/>
          <w:spacing w:val="-1"/>
        </w:rPr>
        <w:t>iMedical</w:t>
      </w:r>
      <w:r>
        <w:rPr>
          <w:rFonts w:ascii="宋体" w:hAnsi="宋体" w:cs="宋体" w:eastAsia="宋体" w:hint="default"/>
          <w:spacing w:val="-28"/>
        </w:rPr>
        <w:t> </w:t>
      </w:r>
      <w:r>
        <w:rPr>
          <w:rFonts w:ascii="宋体" w:hAnsi="宋体" w:cs="宋体" w:eastAsia="宋体" w:hint="default"/>
          <w:spacing w:val="-1"/>
        </w:rPr>
        <w:t>Cloud</w:t>
      </w:r>
      <w:r>
        <w:rPr>
          <w:rFonts w:ascii="宋体" w:hAnsi="宋体" w:cs="宋体" w:eastAsia="宋体" w:hint="default"/>
          <w:spacing w:val="-37"/>
        </w:rPr>
        <w:t> </w:t>
      </w:r>
      <w:r>
        <w:rPr/>
        <w:t>云</w:t>
      </w:r>
      <w:r>
        <w:rPr>
          <w:spacing w:val="-39"/>
        </w:rPr>
        <w:t> </w:t>
      </w:r>
      <w:r>
        <w:rPr>
          <w:rFonts w:ascii="宋体" w:hAnsi="宋体" w:cs="宋体" w:eastAsia="宋体" w:hint="default"/>
          <w:spacing w:val="-2"/>
        </w:rPr>
        <w:t>HIS</w:t>
      </w:r>
      <w:r>
        <w:rPr>
          <w:rFonts w:ascii="宋体" w:hAnsi="宋体" w:cs="宋体" w:eastAsia="宋体" w:hint="default"/>
          <w:spacing w:val="-38"/>
        </w:rPr>
        <w:t> </w:t>
      </w:r>
      <w:r>
        <w:rPr>
          <w:spacing w:val="-3"/>
        </w:rPr>
        <w:t>生态系统”，联合行业中“灯塔”客户完成行业“智慧医联体”等标杆项目。在智</w:t>
      </w:r>
      <w:r>
        <w:rPr>
          <w:spacing w:val="-88"/>
        </w:rPr>
        <w:t> </w:t>
      </w:r>
      <w:r>
        <w:rPr>
          <w:spacing w:val="-88"/>
        </w:rPr>
      </w:r>
      <w:r>
        <w:rPr/>
        <w:t>慧城市方面，东华智慧城市集团携手腾讯云等合作伙伴发布了“</w:t>
      </w:r>
      <w:r>
        <w:rPr>
          <w:rFonts w:ascii="宋体" w:hAnsi="宋体" w:cs="宋体" w:eastAsia="宋体" w:hint="default"/>
        </w:rPr>
        <w:t>Harrydata</w:t>
      </w:r>
      <w:r>
        <w:rPr/>
        <w:t>”大数据平台和“东华智慧城市超级大脑”等产 </w:t>
      </w:r>
      <w:r>
        <w:rPr>
          <w:spacing w:val="-2"/>
        </w:rPr>
        <w:t>品，联合腾讯云启动粤港澳大湾区人才基地部署与市场开发，依托腾讯成熟的技术完成服务团队升级与组织结构优化。在智</w:t>
      </w:r>
      <w:r>
        <w:rPr>
          <w:spacing w:val="-63"/>
        </w:rPr>
        <w:t> </w:t>
      </w:r>
      <w:r>
        <w:rPr>
          <w:spacing w:val="-63"/>
        </w:rPr>
      </w:r>
      <w:r>
        <w:rPr>
          <w:spacing w:val="-2"/>
        </w:rPr>
        <w:t>慧金融方面，公司与腾讯云在互联网金融领域展开深度合作，合力打造金融智汇平台，并在银企聚合平台、企业核算服务平</w:t>
      </w:r>
      <w:r>
        <w:rPr>
          <w:spacing w:val="-64"/>
        </w:rPr>
        <w:t> </w:t>
      </w:r>
      <w:r>
        <w:rPr>
          <w:spacing w:val="-64"/>
        </w:rPr>
      </w:r>
      <w:r>
        <w:rPr/>
        <w:t>台、金融大数据平台上实现和腾讯云技术与业务上的对接。</w:t>
      </w:r>
      <w:r>
        <w:rPr>
          <w:rFonts w:ascii="宋体" w:hAnsi="宋体" w:cs="宋体" w:eastAsia="宋体" w:hint="default"/>
        </w:rPr>
        <w:t> </w:t>
      </w:r>
    </w:p>
    <w:p>
      <w:pPr>
        <w:pStyle w:val="BodyText"/>
        <w:spacing w:line="240" w:lineRule="auto" w:before="18"/>
        <w:ind w:left="572" w:right="986"/>
        <w:jc w:val="left"/>
        <w:rPr>
          <w:rFonts w:ascii="宋体" w:hAnsi="宋体" w:cs="宋体" w:eastAsia="宋体" w:hint="default"/>
        </w:rPr>
      </w:pPr>
      <w:r>
        <w:rPr/>
        <w:t>公司在</w:t>
      </w:r>
      <w:r>
        <w:rPr>
          <w:spacing w:val="-47"/>
        </w:rPr>
        <w:t> </w:t>
      </w:r>
      <w:r>
        <w:rPr>
          <w:rFonts w:ascii="宋体" w:hAnsi="宋体" w:cs="宋体" w:eastAsia="宋体" w:hint="default"/>
        </w:rPr>
        <w:t>2018</w:t>
      </w:r>
      <w:r>
        <w:rPr>
          <w:rFonts w:ascii="宋体" w:hAnsi="宋体" w:cs="宋体" w:eastAsia="宋体" w:hint="default"/>
          <w:spacing w:val="-46"/>
        </w:rPr>
        <w:t> </w:t>
      </w:r>
      <w:r>
        <w:rPr/>
        <w:t>年的经营发展情况如下：</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Heading5"/>
        <w:spacing w:line="240" w:lineRule="auto"/>
        <w:ind w:left="572" w:right="986"/>
        <w:jc w:val="left"/>
        <w:rPr>
          <w:rFonts w:ascii="黑体" w:hAnsi="黑体" w:cs="黑体" w:eastAsia="黑体" w:hint="default"/>
          <w:b w:val="0"/>
          <w:bCs w:val="0"/>
        </w:rPr>
      </w:pPr>
      <w:bookmarkStart w:name="（1）主营业务情况" w:id="25"/>
      <w:bookmarkEnd w:id="25"/>
      <w:r>
        <w:rPr>
          <w:b w:val="0"/>
          <w:bCs w:val="0"/>
        </w:rPr>
      </w: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）主营业务情况</w:t>
      </w:r>
      <w:r>
        <w:rPr>
          <w:rFonts w:ascii="黑体" w:hAnsi="黑体" w:cs="黑体" w:eastAsia="黑体" w:hint="default"/>
          <w:b w:val="0"/>
          <w:bCs w:val="0"/>
        </w:rPr>
      </w:r>
    </w:p>
    <w:p>
      <w:pPr>
        <w:pStyle w:val="BodyText"/>
        <w:spacing w:line="468" w:lineRule="exact" w:before="54"/>
        <w:ind w:left="572" w:right="986"/>
        <w:jc w:val="left"/>
      </w:pPr>
      <w:r>
        <w:rPr>
          <w:rFonts w:ascii="宋体" w:hAnsi="宋体" w:cs="宋体" w:eastAsia="宋体" w:hint="default"/>
          <w:b/>
          <w:bCs/>
        </w:rPr>
        <w:t>医疗行业</w:t>
      </w:r>
      <w:r>
        <w:rPr>
          <w:rFonts w:ascii="宋体" w:hAnsi="宋体" w:cs="宋体" w:eastAsia="宋体" w:hint="default"/>
          <w:b/>
          <w:bCs/>
          <w:w w:val="99"/>
        </w:rPr>
        <w:t> </w:t>
      </w:r>
      <w:r>
        <w:rPr/>
        <w:t>公司继续发挥在医疗行业的资源和技术优势，不断为新老客户提供优质的服务。全资子公司东华医为作为医疗信息行</w:t>
      </w:r>
    </w:p>
    <w:p>
      <w:pPr>
        <w:pStyle w:val="BodyText"/>
        <w:spacing w:line="316" w:lineRule="auto" w:before="8"/>
        <w:ind w:right="1029"/>
        <w:jc w:val="left"/>
        <w:rPr>
          <w:rFonts w:ascii="宋体" w:hAnsi="宋体" w:cs="宋体" w:eastAsia="宋体" w:hint="default"/>
        </w:rPr>
      </w:pPr>
      <w:r>
        <w:rPr>
          <w:spacing w:val="-2"/>
        </w:rPr>
        <w:t>业解决方案商的领军者，在扩展智慧医院、区域医疗、互联网医疗、医保支付与控费综合四大解决方案群的基础上，不断对</w:t>
      </w:r>
      <w:r>
        <w:rPr>
          <w:spacing w:val="-67"/>
        </w:rPr>
        <w:t> </w:t>
      </w:r>
      <w:r>
        <w:rPr>
          <w:spacing w:val="-67"/>
        </w:rPr>
      </w:r>
      <w:r>
        <w:rPr/>
        <w:t>解决方案群进行优化升级。报告期内，东华医为新组建了医疗大数据和</w:t>
      </w:r>
      <w:r>
        <w:rPr>
          <w:spacing w:val="-55"/>
        </w:rPr>
        <w:t> </w:t>
      </w:r>
      <w:r>
        <w:rPr>
          <w:rFonts w:ascii="宋体" w:hAnsi="宋体" w:cs="宋体" w:eastAsia="宋体" w:hint="default"/>
        </w:rPr>
        <w:t>AI</w:t>
      </w:r>
      <w:r>
        <w:rPr>
          <w:rFonts w:ascii="宋体" w:hAnsi="宋体" w:cs="宋体" w:eastAsia="宋体" w:hint="default"/>
          <w:spacing w:val="-54"/>
        </w:rPr>
        <w:t> </w:t>
      </w:r>
      <w:r>
        <w:rPr>
          <w:spacing w:val="-3"/>
        </w:rPr>
        <w:t>研究院、技术支持中心，成立了医保产品事业部、</w:t>
      </w:r>
      <w:r>
        <w:rPr/>
        <w:t> </w:t>
      </w:r>
      <w:r>
        <w:rPr>
          <w:rFonts w:ascii="宋体" w:hAnsi="宋体" w:cs="宋体" w:eastAsia="宋体" w:hint="default"/>
        </w:rPr>
        <w:t>HRP</w:t>
      </w:r>
      <w:r>
        <w:rPr>
          <w:rFonts w:ascii="宋体" w:hAnsi="宋体" w:cs="宋体" w:eastAsia="宋体" w:hint="default"/>
          <w:spacing w:val="-40"/>
        </w:rPr>
        <w:t> </w:t>
      </w:r>
      <w:r>
        <w:rPr/>
        <w:t>事业部和护理产品事业部，在全国新签约项目</w:t>
      </w:r>
      <w:r>
        <w:rPr>
          <w:spacing w:val="-41"/>
        </w:rPr>
        <w:t> </w:t>
      </w:r>
      <w:r>
        <w:rPr>
          <w:rFonts w:ascii="宋体" w:hAnsi="宋体" w:cs="宋体" w:eastAsia="宋体" w:hint="default"/>
        </w:rPr>
        <w:t>90</w:t>
      </w:r>
      <w:r>
        <w:rPr>
          <w:rFonts w:ascii="宋体" w:hAnsi="宋体" w:cs="宋体" w:eastAsia="宋体" w:hint="default"/>
          <w:spacing w:val="-40"/>
        </w:rPr>
        <w:t> </w:t>
      </w:r>
      <w:r>
        <w:rPr/>
        <w:t>余个，完成</w:t>
      </w:r>
      <w:r>
        <w:rPr>
          <w:spacing w:val="-41"/>
        </w:rPr>
        <w:t> </w:t>
      </w:r>
      <w:r>
        <w:rPr>
          <w:rFonts w:ascii="宋体" w:hAnsi="宋体" w:cs="宋体" w:eastAsia="宋体" w:hint="default"/>
        </w:rPr>
        <w:t>50</w:t>
      </w:r>
      <w:r>
        <w:rPr>
          <w:rFonts w:ascii="宋体" w:hAnsi="宋体" w:cs="宋体" w:eastAsia="宋体" w:hint="default"/>
          <w:spacing w:val="-40"/>
        </w:rPr>
        <w:t> </w:t>
      </w:r>
      <w:r>
        <w:rPr/>
        <w:t>余家医院</w:t>
      </w:r>
      <w:r>
        <w:rPr>
          <w:spacing w:val="-41"/>
        </w:rPr>
        <w:t> </w:t>
      </w:r>
      <w:r>
        <w:rPr>
          <w:rFonts w:ascii="宋体" w:hAnsi="宋体" w:cs="宋体" w:eastAsia="宋体" w:hint="default"/>
        </w:rPr>
        <w:t>HIS</w:t>
      </w:r>
      <w:r>
        <w:rPr>
          <w:rFonts w:ascii="宋体" w:hAnsi="宋体" w:cs="宋体" w:eastAsia="宋体" w:hint="default"/>
          <w:spacing w:val="-40"/>
        </w:rPr>
        <w:t> </w:t>
      </w:r>
      <w:r>
        <w:rPr/>
        <w:t>系统核心业务切换或升级，实现</w:t>
      </w:r>
      <w:r>
        <w:rPr>
          <w:spacing w:val="-41"/>
        </w:rPr>
        <w:t> </w:t>
      </w:r>
      <w:r>
        <w:rPr>
          <w:rFonts w:ascii="宋体" w:hAnsi="宋体" w:cs="宋体" w:eastAsia="宋体" w:hint="default"/>
        </w:rPr>
        <w:t>32</w:t>
      </w:r>
      <w:r>
        <w:rPr>
          <w:rFonts w:ascii="宋体" w:hAnsi="宋体" w:cs="宋体" w:eastAsia="宋体" w:hint="default"/>
          <w:spacing w:val="-40"/>
        </w:rPr>
        <w:t> </w:t>
      </w:r>
      <w:r>
        <w:rPr/>
        <w:t>家用 户整体验收，以高达</w:t>
      </w:r>
      <w:r>
        <w:rPr>
          <w:spacing w:val="-47"/>
        </w:rPr>
        <w:t> </w:t>
      </w:r>
      <w:r>
        <w:rPr>
          <w:rFonts w:ascii="宋体" w:hAnsi="宋体" w:cs="宋体" w:eastAsia="宋体" w:hint="default"/>
        </w:rPr>
        <w:t>98%</w:t>
      </w:r>
      <w:r>
        <w:rPr/>
        <w:t>的完成率解决了</w:t>
      </w:r>
      <w:r>
        <w:rPr>
          <w:spacing w:val="-47"/>
        </w:rPr>
        <w:t> </w:t>
      </w:r>
      <w:r>
        <w:rPr>
          <w:rFonts w:ascii="宋体" w:hAnsi="宋体" w:cs="宋体" w:eastAsia="宋体" w:hint="default"/>
        </w:rPr>
        <w:t>19</w:t>
      </w:r>
      <w:r>
        <w:rPr>
          <w:rFonts w:ascii="宋体" w:hAnsi="宋体" w:cs="宋体" w:eastAsia="宋体" w:hint="default"/>
          <w:spacing w:val="-46"/>
        </w:rPr>
        <w:t> </w:t>
      </w:r>
      <w:r>
        <w:rPr/>
        <w:t>万条用户需求。</w:t>
      </w:r>
      <w:r>
        <w:rPr>
          <w:rFonts w:ascii="宋体" w:hAnsi="宋体" w:cs="宋体" w:eastAsia="宋体" w:hint="default"/>
        </w:rPr>
        <w:t> </w:t>
      </w:r>
    </w:p>
    <w:p>
      <w:pPr>
        <w:pStyle w:val="BodyText"/>
        <w:spacing w:line="316" w:lineRule="auto" w:before="18"/>
        <w:ind w:left="153" w:right="1036" w:firstLine="419"/>
        <w:jc w:val="left"/>
        <w:rPr>
          <w:rFonts w:ascii="宋体" w:hAnsi="宋体" w:cs="宋体" w:eastAsia="宋体" w:hint="default"/>
        </w:rPr>
      </w:pPr>
      <w:r>
        <w:rPr>
          <w:spacing w:val="-3"/>
        </w:rPr>
        <w:t>在与腾讯的战略合作方面，东华医为联手腾讯云发布了“一链三云”战略和“六大解决方案”，全力打造大健康产业的</w:t>
      </w:r>
      <w:r>
        <w:rPr/>
        <w:t> </w:t>
      </w:r>
      <w:r>
        <w:rPr>
          <w:spacing w:val="-2"/>
        </w:rPr>
        <w:t>医疗服务行业互联网新生态，力图给客户提供最佳用户体验的医疗行业技术应用。截至本报告披露日，东华医为携手腾讯云</w:t>
      </w:r>
      <w:r>
        <w:rPr>
          <w:spacing w:val="-63"/>
        </w:rPr>
        <w:t> </w:t>
      </w:r>
      <w:r>
        <w:rPr>
          <w:spacing w:val="-63"/>
        </w:rPr>
      </w:r>
      <w:r>
        <w:rPr>
          <w:spacing w:val="-1"/>
        </w:rPr>
        <w:t>实现了“一链三云”战略中“医疗云”核心环节的落地，正式发布了“</w:t>
      </w:r>
      <w:r>
        <w:rPr>
          <w:rFonts w:ascii="宋体" w:hAnsi="宋体" w:cs="宋体" w:eastAsia="宋体" w:hint="default"/>
          <w:spacing w:val="-1"/>
        </w:rPr>
        <w:t>iMedical</w:t>
      </w:r>
      <w:r>
        <w:rPr>
          <w:rFonts w:ascii="宋体" w:hAnsi="宋体" w:cs="宋体" w:eastAsia="宋体" w:hint="default"/>
          <w:spacing w:val="6"/>
        </w:rPr>
        <w:t> </w:t>
      </w:r>
      <w:r>
        <w:rPr>
          <w:rFonts w:ascii="宋体" w:hAnsi="宋体" w:cs="宋体" w:eastAsia="宋体" w:hint="default"/>
          <w:spacing w:val="-1"/>
        </w:rPr>
        <w:t>Cloud</w:t>
      </w:r>
      <w:r>
        <w:rPr>
          <w:rFonts w:ascii="宋体" w:hAnsi="宋体" w:cs="宋体" w:eastAsia="宋体" w:hint="default"/>
          <w:spacing w:val="-29"/>
        </w:rPr>
        <w:t> </w:t>
      </w:r>
      <w:r>
        <w:rPr/>
        <w:t>云</w:t>
      </w:r>
      <w:r>
        <w:rPr>
          <w:spacing w:val="-33"/>
        </w:rPr>
        <w:t> </w:t>
      </w:r>
      <w:r>
        <w:rPr>
          <w:rFonts w:ascii="宋体" w:hAnsi="宋体" w:cs="宋体" w:eastAsia="宋体" w:hint="default"/>
        </w:rPr>
        <w:t>HIS</w:t>
      </w:r>
      <w:r>
        <w:rPr>
          <w:rFonts w:ascii="宋体" w:hAnsi="宋体" w:cs="宋体" w:eastAsia="宋体" w:hint="default"/>
          <w:spacing w:val="-29"/>
        </w:rPr>
        <w:t> </w:t>
      </w:r>
      <w:r>
        <w:rPr>
          <w:spacing w:val="-12"/>
        </w:rPr>
        <w:t>生态系统”，通过</w:t>
      </w:r>
      <w:r>
        <w:rPr>
          <w:spacing w:val="-30"/>
        </w:rPr>
        <w:t> </w:t>
      </w:r>
      <w:r>
        <w:rPr>
          <w:rFonts w:ascii="宋体" w:hAnsi="宋体" w:cs="宋体" w:eastAsia="宋体" w:hint="default"/>
        </w:rPr>
        <w:t>SaaS</w:t>
      </w:r>
      <w:r>
        <w:rPr>
          <w:rFonts w:ascii="宋体" w:hAnsi="宋体" w:cs="宋体" w:eastAsia="宋体" w:hint="default"/>
          <w:spacing w:val="-29"/>
        </w:rPr>
        <w:t> </w:t>
      </w:r>
      <w:r>
        <w:rPr>
          <w:spacing w:val="-3"/>
        </w:rPr>
        <w:t>的方</w:t>
      </w:r>
      <w:r>
        <w:rPr>
          <w:spacing w:val="-80"/>
        </w:rPr>
        <w:t> </w:t>
      </w:r>
      <w:r>
        <w:rPr/>
        <w:t>式支撑医院业务的拓展同时为医院赋能，打造针对医疗机构的品牌云</w:t>
      </w:r>
      <w:r>
        <w:rPr>
          <w:spacing w:val="-47"/>
        </w:rPr>
        <w:t> </w:t>
      </w:r>
      <w:r>
        <w:rPr>
          <w:rFonts w:ascii="宋体" w:hAnsi="宋体" w:cs="宋体" w:eastAsia="宋体" w:hint="default"/>
        </w:rPr>
        <w:t>HIS</w:t>
      </w:r>
      <w:r>
        <w:rPr>
          <w:rFonts w:ascii="宋体" w:hAnsi="宋体" w:cs="宋体" w:eastAsia="宋体" w:hint="default"/>
          <w:spacing w:val="-46"/>
        </w:rPr>
        <w:t> </w:t>
      </w:r>
      <w:r>
        <w:rPr/>
        <w:t>产品。同时，东华医为和腾讯云努力发挥“灯塔” </w:t>
      </w:r>
      <w:r>
        <w:rPr>
          <w:spacing w:val="-2"/>
        </w:rPr>
        <w:t>客户在双方合作中的重要行业引导作用，联合青岛大学医学院附属医院促成山东省内首家三甲医院实现“医保脱卡支付”，</w:t>
      </w:r>
      <w:r>
        <w:rPr>
          <w:spacing w:val="-65"/>
        </w:rPr>
        <w:t> </w:t>
      </w:r>
      <w:r>
        <w:rPr>
          <w:spacing w:val="-65"/>
        </w:rPr>
      </w:r>
      <w:r>
        <w:rPr/>
        <w:t>并联合国药东风总院共同打造行业“智慧医联体”等标杆项目。</w:t>
      </w:r>
      <w:r>
        <w:rPr>
          <w:rFonts w:ascii="宋体" w:hAnsi="宋体" w:cs="宋体" w:eastAsia="宋体" w:hint="default"/>
        </w:rPr>
        <w:t> </w:t>
      </w:r>
    </w:p>
    <w:p>
      <w:pPr>
        <w:pStyle w:val="BodyText"/>
        <w:spacing w:line="316" w:lineRule="auto" w:before="18"/>
        <w:ind w:right="1130" w:firstLine="420"/>
        <w:jc w:val="both"/>
        <w:rPr>
          <w:rFonts w:ascii="宋体" w:hAnsi="宋体" w:cs="宋体" w:eastAsia="宋体" w:hint="default"/>
        </w:rPr>
      </w:pPr>
      <w:r>
        <w:rPr>
          <w:spacing w:val="-1"/>
        </w:rPr>
        <w:t>在智慧医疗方面，公司相继中标国家全民健康保障信息化工程一期项目</w:t>
      </w:r>
      <w:r>
        <w:rPr>
          <w:rFonts w:ascii="宋体" w:hAnsi="宋体" w:cs="宋体" w:eastAsia="宋体" w:hint="default"/>
          <w:spacing w:val="-1"/>
        </w:rPr>
        <w:t>-</w:t>
      </w:r>
      <w:r>
        <w:rPr>
          <w:spacing w:val="-1"/>
        </w:rPr>
        <w:t>应用支撑平台的项目，以及北京市延庆区、大</w:t>
      </w:r>
      <w:r>
        <w:rPr/>
        <w:t> </w:t>
      </w:r>
      <w:r>
        <w:rPr>
          <w:spacing w:val="-2"/>
        </w:rPr>
        <w:t>同市、滁州市和安康市全民健康信息平台的多个项目。此外，公司在云诊所与智慧型网络医院方面也取得了重要进展，分别</w:t>
      </w:r>
      <w:r>
        <w:rPr>
          <w:spacing w:val="-65"/>
        </w:rPr>
        <w:t> </w:t>
      </w:r>
      <w:r>
        <w:rPr>
          <w:spacing w:val="-65"/>
        </w:rPr>
      </w:r>
      <w:r>
        <w:rPr>
          <w:spacing w:val="-2"/>
        </w:rPr>
        <w:t>在位于长春、衡水、西安和武汉的四家上海联影影像中心上线了云诊所系统。南京江北新区上线的首家依托三级综合实体医</w:t>
      </w:r>
      <w:r>
        <w:rPr>
          <w:spacing w:val="-66"/>
        </w:rPr>
        <w:t> </w:t>
      </w:r>
      <w:r>
        <w:rPr>
          <w:spacing w:val="-66"/>
        </w:rPr>
      </w:r>
      <w:r>
        <w:rPr>
          <w:spacing w:val="-2"/>
        </w:rPr>
        <w:t>院的智慧型网络医院</w:t>
      </w:r>
      <w:r>
        <w:rPr>
          <w:rFonts w:ascii="宋体" w:hAnsi="宋体" w:cs="宋体" w:eastAsia="宋体" w:hint="default"/>
          <w:spacing w:val="-2"/>
        </w:rPr>
        <w:t>——</w:t>
      </w:r>
      <w:r>
        <w:rPr>
          <w:spacing w:val="-2"/>
        </w:rPr>
        <w:t>南京江北医疗云医院涵盖了线上问诊、健康宣教、预约诊疗等功能，通过与</w:t>
      </w:r>
      <w:r>
        <w:rPr>
          <w:spacing w:val="-41"/>
        </w:rPr>
        <w:t> </w:t>
      </w:r>
      <w:r>
        <w:rPr>
          <w:rFonts w:ascii="宋体" w:hAnsi="宋体" w:cs="宋体" w:eastAsia="宋体" w:hint="default"/>
        </w:rPr>
        <w:t>7</w:t>
      </w:r>
      <w:r>
        <w:rPr>
          <w:rFonts w:ascii="宋体" w:hAnsi="宋体" w:cs="宋体" w:eastAsia="宋体" w:hint="default"/>
          <w:spacing w:val="-40"/>
        </w:rPr>
        <w:t> </w:t>
      </w:r>
      <w:r>
        <w:rPr>
          <w:spacing w:val="-1"/>
        </w:rPr>
        <w:t>家社区卫生服务中心</w:t>
      </w:r>
      <w:r>
        <w:rPr/>
        <w:t> 合作，把三级医院的优质医疗资源下沉对接所有的布点，并通过处方流转，实现便捷的药品流通。</w:t>
      </w:r>
      <w:r>
        <w:rPr>
          <w:rFonts w:ascii="宋体" w:hAnsi="宋体" w:cs="宋体" w:eastAsia="宋体" w:hint="default"/>
        </w:rPr>
        <w:t> </w:t>
      </w:r>
    </w:p>
    <w:p>
      <w:pPr>
        <w:pStyle w:val="BodyText"/>
        <w:spacing w:line="316" w:lineRule="auto" w:before="18"/>
        <w:ind w:right="1130" w:firstLine="419"/>
        <w:jc w:val="both"/>
        <w:rPr>
          <w:rFonts w:ascii="宋体" w:hAnsi="宋体" w:cs="宋体" w:eastAsia="宋体" w:hint="default"/>
        </w:rPr>
      </w:pPr>
      <w:r>
        <w:rPr/>
        <w:t>在</w:t>
      </w:r>
      <w:r>
        <w:rPr>
          <w:spacing w:val="-53"/>
        </w:rPr>
        <w:t> </w:t>
      </w:r>
      <w:r>
        <w:rPr>
          <w:rFonts w:ascii="宋体" w:hAnsi="宋体" w:cs="宋体" w:eastAsia="宋体" w:hint="default"/>
        </w:rPr>
        <w:t>DRGs</w:t>
      </w:r>
      <w:r>
        <w:rPr>
          <w:rFonts w:ascii="宋体" w:hAnsi="宋体" w:cs="宋体" w:eastAsia="宋体" w:hint="default"/>
          <w:spacing w:val="-52"/>
        </w:rPr>
        <w:t> </w:t>
      </w:r>
      <w:r>
        <w:rPr/>
        <w:t>支付方式改革方面，公司依托已有的</w:t>
      </w:r>
      <w:r>
        <w:rPr>
          <w:spacing w:val="-53"/>
        </w:rPr>
        <w:t> </w:t>
      </w:r>
      <w:r>
        <w:rPr>
          <w:rFonts w:ascii="宋体" w:hAnsi="宋体" w:cs="宋体" w:eastAsia="宋体" w:hint="default"/>
        </w:rPr>
        <w:t>DRGs</w:t>
      </w:r>
      <w:r>
        <w:rPr>
          <w:rFonts w:ascii="宋体" w:hAnsi="宋体" w:cs="宋体" w:eastAsia="宋体" w:hint="default"/>
          <w:spacing w:val="-52"/>
        </w:rPr>
        <w:t> </w:t>
      </w:r>
      <w:r>
        <w:rPr/>
        <w:t>核心分组技术，继续深入</w:t>
      </w:r>
      <w:r>
        <w:rPr>
          <w:spacing w:val="-53"/>
        </w:rPr>
        <w:t> </w:t>
      </w:r>
      <w:r>
        <w:rPr>
          <w:rFonts w:ascii="宋体" w:hAnsi="宋体" w:cs="宋体" w:eastAsia="宋体" w:hint="default"/>
        </w:rPr>
        <w:t>DRGs</w:t>
      </w:r>
      <w:r>
        <w:rPr>
          <w:rFonts w:ascii="宋体" w:hAnsi="宋体" w:cs="宋体" w:eastAsia="宋体" w:hint="default"/>
          <w:spacing w:val="-52"/>
        </w:rPr>
        <w:t> </w:t>
      </w:r>
      <w:r>
        <w:rPr/>
        <w:t>的研发与创新工作，已与</w:t>
      </w:r>
      <w:r>
        <w:rPr>
          <w:spacing w:val="-53"/>
        </w:rPr>
        <w:t> </w:t>
      </w:r>
      <w:r>
        <w:rPr>
          <w:rFonts w:ascii="宋体" w:hAnsi="宋体" w:cs="宋体" w:eastAsia="宋体" w:hint="default"/>
        </w:rPr>
        <w:t>230</w:t>
      </w:r>
      <w:r>
        <w:rPr>
          <w:rFonts w:ascii="宋体" w:hAnsi="宋体" w:cs="宋体" w:eastAsia="宋体" w:hint="default"/>
          <w:spacing w:val="-52"/>
        </w:rPr>
        <w:t> </w:t>
      </w:r>
      <w:r>
        <w:rPr/>
        <w:t>余家医 院开展了</w:t>
      </w:r>
      <w:r>
        <w:rPr>
          <w:spacing w:val="-40"/>
        </w:rPr>
        <w:t> </w:t>
      </w:r>
      <w:r>
        <w:rPr>
          <w:rFonts w:ascii="宋体" w:hAnsi="宋体" w:cs="宋体" w:eastAsia="宋体" w:hint="default"/>
        </w:rPr>
        <w:t>DRGs</w:t>
      </w:r>
      <w:r>
        <w:rPr>
          <w:rFonts w:ascii="宋体" w:hAnsi="宋体" w:cs="宋体" w:eastAsia="宋体" w:hint="default"/>
          <w:spacing w:val="-39"/>
        </w:rPr>
        <w:t> </w:t>
      </w:r>
      <w:r>
        <w:rPr>
          <w:spacing w:val="-4"/>
        </w:rPr>
        <w:t>方面的合作，其中</w:t>
      </w:r>
      <w:r>
        <w:rPr>
          <w:spacing w:val="-40"/>
        </w:rPr>
        <w:t> </w:t>
      </w:r>
      <w:r>
        <w:rPr>
          <w:rFonts w:ascii="宋体" w:hAnsi="宋体" w:cs="宋体" w:eastAsia="宋体" w:hint="default"/>
        </w:rPr>
        <w:t>100</w:t>
      </w:r>
      <w:r>
        <w:rPr>
          <w:rFonts w:ascii="宋体" w:hAnsi="宋体" w:cs="宋体" w:eastAsia="宋体" w:hint="default"/>
          <w:spacing w:val="-39"/>
        </w:rPr>
        <w:t> </w:t>
      </w:r>
      <w:r>
        <w:rPr/>
        <w:t>家医院的</w:t>
      </w:r>
      <w:r>
        <w:rPr>
          <w:spacing w:val="-42"/>
        </w:rPr>
        <w:t> </w:t>
      </w:r>
      <w:r>
        <w:rPr>
          <w:rFonts w:ascii="宋体" w:hAnsi="宋体" w:cs="宋体" w:eastAsia="宋体" w:hint="default"/>
        </w:rPr>
        <w:t>DRGs</w:t>
      </w:r>
      <w:r>
        <w:rPr>
          <w:rFonts w:ascii="宋体" w:hAnsi="宋体" w:cs="宋体" w:eastAsia="宋体" w:hint="default"/>
          <w:spacing w:val="-39"/>
        </w:rPr>
        <w:t> </w:t>
      </w:r>
      <w:r>
        <w:rPr>
          <w:spacing w:val="-3"/>
        </w:rPr>
        <w:t>应用已经落地。报告期内，公司分别与深圳市妇幼保健院、宜昌市中心</w:t>
      </w:r>
      <w:r>
        <w:rPr>
          <w:spacing w:val="-88"/>
        </w:rPr>
        <w:t> </w:t>
      </w:r>
      <w:r>
        <w:rPr>
          <w:spacing w:val="-88"/>
        </w:rPr>
      </w:r>
      <w:r>
        <w:rPr>
          <w:spacing w:val="-2"/>
        </w:rPr>
        <w:t>人民医院、北京电力医院、内蒙古民族大学医院、阳江市人民医院、福州总医院、广东医科大学附属医院、上海市嘉定区卫</w:t>
      </w:r>
      <w:r>
        <w:rPr>
          <w:spacing w:val="-68"/>
        </w:rPr>
        <w:t> </w:t>
      </w:r>
      <w:r>
        <w:rPr>
          <w:spacing w:val="-68"/>
        </w:rPr>
      </w:r>
      <w:r>
        <w:rPr>
          <w:spacing w:val="-2"/>
        </w:rPr>
        <w:t>生局二级医院、兴安盟人民医院、东莞市第五人民医院、通辽市医院东华、唐山市工人医院、西南医科大学附属医院等签署</w:t>
      </w:r>
      <w:r>
        <w:rPr>
          <w:spacing w:val="-67"/>
        </w:rPr>
        <w:t> </w:t>
      </w:r>
      <w:r>
        <w:rPr>
          <w:spacing w:val="-67"/>
        </w:rPr>
      </w:r>
      <w:r>
        <w:rPr/>
        <w:t>合同。</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5"/>
        <w:spacing w:line="240" w:lineRule="auto"/>
        <w:ind w:left="572" w:right="986"/>
        <w:jc w:val="left"/>
        <w:rPr>
          <w:rFonts w:ascii="宋体" w:hAnsi="宋体" w:cs="宋体" w:eastAsia="宋体" w:hint="default"/>
          <w:b w:val="0"/>
          <w:bCs w:val="0"/>
        </w:rPr>
      </w:pPr>
      <w:r>
        <w:rPr/>
        <w:t>金融行业</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240" w:lineRule="auto"/>
        <w:ind w:left="572" w:right="986"/>
        <w:jc w:val="left"/>
      </w:pPr>
      <w:r>
        <w:rPr/>
        <w:t>报告期内，公司凭借在软件开发与系统集成方面的行业优势，依靠</w:t>
      </w:r>
      <w:r>
        <w:rPr>
          <w:spacing w:val="-73"/>
        </w:rPr>
        <w:t> </w:t>
      </w:r>
      <w:r>
        <w:rPr>
          <w:rFonts w:ascii="宋体" w:hAnsi="宋体" w:cs="宋体" w:eastAsia="宋体" w:hint="default"/>
        </w:rPr>
        <w:t>IT</w:t>
      </w:r>
      <w:r>
        <w:rPr>
          <w:rFonts w:ascii="宋体" w:hAnsi="宋体" w:cs="宋体" w:eastAsia="宋体" w:hint="default"/>
          <w:spacing w:val="-73"/>
        </w:rPr>
        <w:t> </w:t>
      </w:r>
      <w:r>
        <w:rPr/>
        <w:t>系统规划与建设方面的丰富经验，继续巩固并扩</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572" w:right="986" w:hanging="420"/>
        <w:jc w:val="left"/>
      </w:pPr>
      <w:r>
        <w:rPr/>
        <w:t>大在金融行业的业务覆盖面和市场占有率。</w:t>
      </w:r>
      <w:r>
        <w:rPr>
          <w:rFonts w:ascii="宋体" w:hAnsi="宋体" w:cs="宋体" w:eastAsia="宋体" w:hint="default"/>
        </w:rPr>
        <w:t> </w:t>
      </w:r>
      <w:r>
        <w:rPr/>
        <w:t>在银行传统业务领域，公司继续深化和已有客户的合作关系，保持了在大型国有银行项目上的签约份额，先后中标中</w:t>
      </w:r>
    </w:p>
    <w:p>
      <w:pPr>
        <w:pStyle w:val="BodyText"/>
        <w:spacing w:line="316" w:lineRule="auto" w:before="18"/>
        <w:ind w:right="1131"/>
        <w:jc w:val="both"/>
        <w:rPr>
          <w:rFonts w:ascii="宋体" w:hAnsi="宋体" w:cs="宋体" w:eastAsia="宋体" w:hint="default"/>
        </w:rPr>
      </w:pPr>
      <w:r>
        <w:rPr/>
        <w:t>国人民银行清算总中心</w:t>
      </w:r>
      <w:r>
        <w:rPr>
          <w:spacing w:val="-39"/>
        </w:rPr>
        <w:t> </w:t>
      </w:r>
      <w:r>
        <w:rPr>
          <w:rFonts w:ascii="宋体" w:hAnsi="宋体" w:cs="宋体" w:eastAsia="宋体" w:hint="default"/>
        </w:rPr>
        <w:t>2018</w:t>
      </w:r>
      <w:r>
        <w:rPr>
          <w:rFonts w:ascii="宋体" w:hAnsi="宋体" w:cs="宋体" w:eastAsia="宋体" w:hint="default"/>
          <w:spacing w:val="-40"/>
        </w:rPr>
        <w:t> </w:t>
      </w:r>
      <w:r>
        <w:rPr/>
        <w:t>年</w:t>
      </w:r>
      <w:r>
        <w:rPr>
          <w:spacing w:val="-39"/>
        </w:rPr>
        <w:t> </w:t>
      </w:r>
      <w:r>
        <w:rPr>
          <w:rFonts w:ascii="宋体" w:hAnsi="宋体" w:cs="宋体" w:eastAsia="宋体" w:hint="default"/>
        </w:rPr>
        <w:t>CCPC</w:t>
      </w:r>
      <w:r>
        <w:rPr>
          <w:rFonts w:ascii="宋体" w:hAnsi="宋体" w:cs="宋体" w:eastAsia="宋体" w:hint="default"/>
          <w:spacing w:val="-38"/>
        </w:rPr>
        <w:t> </w:t>
      </w:r>
      <w:r>
        <w:rPr>
          <w:spacing w:val="-3"/>
        </w:rPr>
        <w:t>集中备份接入资源池建设项目、贵阳银行大数据系统建设项目、中国反洗钱监测分析中</w:t>
      </w:r>
      <w:r>
        <w:rPr/>
        <w:t> </w:t>
      </w:r>
      <w:r>
        <w:rPr>
          <w:spacing w:val="-2"/>
        </w:rPr>
        <w:t>心反洗钱分析二代系统等项目。此外，根据银行客户内部管理和资金营运方面的需求推陈出新，报告期内公司研发完成新总</w:t>
      </w:r>
      <w:r>
        <w:rPr>
          <w:spacing w:val="-66"/>
        </w:rPr>
        <w:t> </w:t>
      </w:r>
      <w:r>
        <w:rPr>
          <w:spacing w:val="-66"/>
        </w:rPr>
      </w:r>
      <w:r>
        <w:rPr/>
        <w:t>账系统产品，成功实施了龙江银行独立大总账等项目，软件产品在省级商业银行已全面落地。</w:t>
      </w:r>
      <w:r>
        <w:rPr>
          <w:rFonts w:ascii="宋体" w:hAnsi="宋体" w:cs="宋体" w:eastAsia="宋体" w:hint="default"/>
        </w:rPr>
        <w:t> </w:t>
      </w:r>
    </w:p>
    <w:p>
      <w:pPr>
        <w:pStyle w:val="BodyText"/>
        <w:spacing w:line="316" w:lineRule="auto" w:before="18"/>
        <w:ind w:right="986" w:firstLine="419"/>
        <w:jc w:val="left"/>
        <w:rPr>
          <w:rFonts w:ascii="宋体" w:hAnsi="宋体" w:cs="宋体" w:eastAsia="宋体" w:hint="default"/>
        </w:rPr>
      </w:pPr>
      <w:r>
        <w:rPr/>
        <w:t>在互联网金融领域，公司“银企汇”本着助力银行打造数字化场景营销体系的宗旨，以生态构建与生态运营为抓手， </w:t>
      </w:r>
      <w:r>
        <w:rPr>
          <w:spacing w:val="-2"/>
        </w:rPr>
        <w:t>不断整合资源打磨产品，进一步提升数字化精准营销与精细化运营能力。在生态构建方面，公司以场景为切入点，重点打造</w:t>
      </w:r>
      <w:r>
        <w:rPr>
          <w:spacing w:val="-64"/>
        </w:rPr>
        <w:t> </w:t>
      </w:r>
      <w:r>
        <w:rPr>
          <w:spacing w:val="-64"/>
        </w:rPr>
      </w:r>
      <w:r>
        <w:rPr>
          <w:spacing w:val="-4"/>
        </w:rPr>
        <w:t>“银宝系列生态”，充分结合金融科技新技术，提升生态构建的核心竞争力；在生态运营方面，公司与腾讯云展开深度合作，</w:t>
      </w:r>
      <w:r>
        <w:rPr>
          <w:spacing w:val="-45"/>
        </w:rPr>
        <w:t> </w:t>
      </w:r>
      <w:r>
        <w:rPr>
          <w:spacing w:val="-45"/>
        </w:rPr>
      </w:r>
      <w:r>
        <w:rPr>
          <w:spacing w:val="-2"/>
        </w:rPr>
        <w:t>强强联手合力打造金融智汇平台，依托腾讯大数据和生态资源，全面提升精准营销和精细运营的能力。报告期内，公司推出</w:t>
      </w:r>
      <w:r>
        <w:rPr>
          <w:spacing w:val="-64"/>
        </w:rPr>
        <w:t> </w:t>
      </w:r>
      <w:r>
        <w:rPr>
          <w:spacing w:val="-64"/>
        </w:rPr>
      </w:r>
      <w:r>
        <w:rPr/>
        <w:t>的移动营业厅已成功上线长安银行、长治银行、阳光村镇银行等多家银行，服务的金融企业已经达到</w:t>
      </w:r>
      <w:r>
        <w:rPr>
          <w:spacing w:val="-42"/>
        </w:rPr>
        <w:t> </w:t>
      </w:r>
      <w:r>
        <w:rPr>
          <w:rFonts w:ascii="宋体" w:hAnsi="宋体" w:cs="宋体" w:eastAsia="宋体" w:hint="default"/>
        </w:rPr>
        <w:t>60</w:t>
      </w:r>
      <w:r>
        <w:rPr>
          <w:rFonts w:ascii="宋体" w:hAnsi="宋体" w:cs="宋体" w:eastAsia="宋体" w:hint="default"/>
          <w:spacing w:val="-41"/>
        </w:rPr>
        <w:t> </w:t>
      </w:r>
      <w:r>
        <w:rPr/>
        <w:t>多家，服务客户群 体数量逐步增加，并取得良好的市场效果。</w:t>
      </w:r>
      <w:r>
        <w:rPr>
          <w:rFonts w:ascii="宋体" w:hAnsi="宋体" w:cs="宋体" w:eastAsia="宋体" w:hint="default"/>
        </w:rPr>
        <w:t> </w:t>
      </w:r>
    </w:p>
    <w:p>
      <w:pPr>
        <w:pStyle w:val="BodyText"/>
        <w:spacing w:line="316" w:lineRule="auto" w:before="18"/>
        <w:ind w:right="1133" w:firstLine="419"/>
        <w:jc w:val="both"/>
        <w:rPr>
          <w:rFonts w:ascii="宋体" w:hAnsi="宋体" w:cs="宋体" w:eastAsia="宋体" w:hint="default"/>
        </w:rPr>
      </w:pPr>
      <w:r>
        <w:rPr/>
        <w:t>在云托管领域，全资子公司东华金云在报告期内与多家新老客户签署云托管合同并提供优质的定制化服务，已成功在 </w:t>
      </w:r>
      <w:r>
        <w:rPr>
          <w:spacing w:val="-2"/>
        </w:rPr>
        <w:t>华东、华中、东北区域与新疆、内蒙、广东等省份构建金融生态圈，相继签约长春经开融丰村镇银行、长春绿园融泰村镇银</w:t>
      </w:r>
      <w:r>
        <w:rPr>
          <w:spacing w:val="-68"/>
        </w:rPr>
        <w:t> </w:t>
      </w:r>
      <w:r>
        <w:rPr>
          <w:spacing w:val="-68"/>
        </w:rPr>
      </w:r>
      <w:r>
        <w:rPr/>
        <w:t>行、新疆哈密天山村镇银行、大石桥隆丰村镇银行、盖州辰州汇通村镇银行、临淄农商行旗下</w:t>
      </w:r>
      <w:r>
        <w:rPr>
          <w:spacing w:val="-47"/>
        </w:rPr>
        <w:t> </w:t>
      </w:r>
      <w:r>
        <w:rPr>
          <w:rFonts w:ascii="宋体" w:hAnsi="宋体" w:cs="宋体" w:eastAsia="宋体" w:hint="default"/>
        </w:rPr>
        <w:t>6</w:t>
      </w:r>
      <w:r>
        <w:rPr>
          <w:rFonts w:ascii="宋体" w:hAnsi="宋体" w:cs="宋体" w:eastAsia="宋体" w:hint="default"/>
          <w:spacing w:val="-46"/>
        </w:rPr>
        <w:t> </w:t>
      </w:r>
      <w:r>
        <w:rPr/>
        <w:t>家村镇银行。</w:t>
      </w:r>
      <w:r>
        <w:rPr>
          <w:rFonts w:ascii="宋体" w:hAnsi="宋体" w:cs="宋体" w:eastAsia="宋体" w:hint="default"/>
        </w:rPr>
        <w:t> </w:t>
      </w:r>
    </w:p>
    <w:p>
      <w:pPr>
        <w:pStyle w:val="BodyText"/>
        <w:spacing w:line="316" w:lineRule="auto" w:before="18"/>
        <w:ind w:right="1034" w:firstLine="419"/>
        <w:jc w:val="left"/>
        <w:rPr>
          <w:rFonts w:ascii="宋体" w:hAnsi="宋体" w:cs="宋体" w:eastAsia="宋体" w:hint="default"/>
        </w:rPr>
      </w:pPr>
      <w:r>
        <w:rPr/>
        <w:t>在金融信贷领域，公司推出的信贷小微产品在全国已拥有近</w:t>
      </w:r>
      <w:r>
        <w:rPr>
          <w:spacing w:val="-59"/>
        </w:rPr>
        <w:t> </w:t>
      </w:r>
      <w:r>
        <w:rPr>
          <w:rFonts w:ascii="宋体" w:hAnsi="宋体" w:cs="宋体" w:eastAsia="宋体" w:hint="default"/>
        </w:rPr>
        <w:t>20</w:t>
      </w:r>
      <w:r>
        <w:rPr>
          <w:rFonts w:ascii="宋体" w:hAnsi="宋体" w:cs="宋体" w:eastAsia="宋体" w:hint="default"/>
          <w:spacing w:val="-58"/>
        </w:rPr>
        <w:t> </w:t>
      </w:r>
      <w:r>
        <w:rPr/>
        <w:t>多家客户，并相继签约重庆农村商业银行、辽宁省农村 信用社、黄河农村商业银行、承德银行等多家省级农村信用社、省级银行新一代小微信贷系统与移动营销管理平台。此外， </w:t>
      </w:r>
      <w:r>
        <w:rPr>
          <w:spacing w:val="-2"/>
        </w:rPr>
        <w:t>公司相继中标华能信托、民生信托、光大信托、陕国投信托、中海信托、紫金信托、厦门国际信托等多家客户的消费金融系</w:t>
      </w:r>
      <w:r>
        <w:rPr>
          <w:spacing w:val="-68"/>
        </w:rPr>
        <w:t> </w:t>
      </w:r>
      <w:r>
        <w:rPr>
          <w:spacing w:val="-68"/>
        </w:rPr>
      </w:r>
      <w:r>
        <w:rPr/>
        <w:t>统项目，逐步扩大市场份额，增强产品的市场影响力。</w:t>
      </w:r>
      <w:r>
        <w:rPr>
          <w:rFonts w:ascii="宋体" w:hAnsi="宋体" w:cs="宋体" w:eastAsia="宋体" w:hint="default"/>
        </w:rPr>
        <w:t> </w:t>
      </w:r>
    </w:p>
    <w:p>
      <w:pPr>
        <w:pStyle w:val="BodyText"/>
        <w:spacing w:line="316" w:lineRule="auto" w:before="18"/>
        <w:ind w:right="1131" w:firstLine="419"/>
        <w:jc w:val="both"/>
        <w:rPr>
          <w:rFonts w:ascii="宋体" w:hAnsi="宋体" w:cs="宋体" w:eastAsia="宋体" w:hint="default"/>
        </w:rPr>
      </w:pPr>
      <w:r>
        <w:rPr>
          <w:rFonts w:ascii="宋体" w:hAnsi="宋体" w:cs="宋体" w:eastAsia="宋体" w:hint="default"/>
          <w:spacing w:val="1"/>
        </w:rPr>
        <w:t> </w:t>
      </w:r>
      <w:r>
        <w:rPr>
          <w:spacing w:val="-2"/>
        </w:rPr>
        <w:t>在融资租赁领域，公司深化完善已签约客户现有系统，报告期内与金隅融资租赁、上汽依维柯、宝沃汽车、苏宁融资</w:t>
      </w:r>
      <w:r>
        <w:rPr/>
        <w:t> 租赁、海尔融资租赁、大新银行等新老客户签订信息化服务合同。</w:t>
      </w:r>
      <w:r>
        <w:rPr>
          <w:rFonts w:ascii="宋体" w:hAnsi="宋体" w:cs="宋体" w:eastAsia="宋体" w:hint="default"/>
        </w:rPr>
        <w:t> </w:t>
      </w:r>
    </w:p>
    <w:p>
      <w:pPr>
        <w:pStyle w:val="BodyText"/>
        <w:spacing w:line="316" w:lineRule="auto" w:before="18"/>
        <w:ind w:right="1131" w:firstLine="419"/>
        <w:jc w:val="both"/>
        <w:rPr>
          <w:rFonts w:ascii="宋体" w:hAnsi="宋体" w:cs="宋体" w:eastAsia="宋体" w:hint="default"/>
        </w:rPr>
      </w:pPr>
      <w:r>
        <w:rPr/>
        <w:t>在投融资领域，公司基于智慧金融和投融资管理系统所积累的丰富经验，推出了涵盖投融资管理、股权投资管理、金 </w:t>
      </w:r>
      <w:r>
        <w:rPr>
          <w:spacing w:val="-2"/>
        </w:rPr>
        <w:t>融资产管理和集团投资项目管理四大类平台的相关产品。另外，公司报告期内已成功实施五粮液投融资管理系统、新希望集</w:t>
      </w:r>
      <w:r>
        <w:rPr>
          <w:spacing w:val="-63"/>
        </w:rPr>
        <w:t> </w:t>
      </w:r>
      <w:r>
        <w:rPr>
          <w:spacing w:val="-63"/>
        </w:rPr>
      </w:r>
      <w:r>
        <w:rPr/>
        <w:t>团固定收益类投资管理系统、阿拉善金融服务平台、泸州商行法</w:t>
      </w:r>
      <w:r>
        <w:rPr>
          <w:spacing w:val="-47"/>
        </w:rPr>
        <w:t> </w:t>
      </w:r>
      <w:r>
        <w:rPr>
          <w:rFonts w:ascii="宋体" w:hAnsi="宋体" w:cs="宋体" w:eastAsia="宋体" w:hint="default"/>
        </w:rPr>
        <w:t>E</w:t>
      </w:r>
      <w:r>
        <w:rPr>
          <w:rFonts w:ascii="宋体" w:hAnsi="宋体" w:cs="宋体" w:eastAsia="宋体" w:hint="default"/>
          <w:spacing w:val="-46"/>
        </w:rPr>
        <w:t> </w:t>
      </w:r>
      <w:r>
        <w:rPr/>
        <w:t>通持续建设系统等项目。</w:t>
      </w:r>
      <w:r>
        <w:rPr>
          <w:rFonts w:ascii="宋体" w:hAnsi="宋体" w:cs="宋体" w:eastAsia="宋体" w:hint="default"/>
        </w:rPr>
        <w:t> </w:t>
      </w:r>
    </w:p>
    <w:p>
      <w:pPr>
        <w:pStyle w:val="BodyText"/>
        <w:spacing w:line="468" w:lineRule="exact" w:before="12"/>
        <w:ind w:left="572" w:right="986"/>
        <w:jc w:val="left"/>
      </w:pPr>
      <w:r>
        <w:rPr>
          <w:rFonts w:ascii="宋体" w:hAnsi="宋体" w:cs="宋体" w:eastAsia="宋体" w:hint="default"/>
          <w:b/>
          <w:bCs/>
        </w:rPr>
        <w:t>智慧城市</w:t>
      </w:r>
      <w:r>
        <w:rPr>
          <w:rFonts w:ascii="宋体" w:hAnsi="宋体" w:cs="宋体" w:eastAsia="宋体" w:hint="default"/>
          <w:b/>
          <w:bCs/>
          <w:w w:val="99"/>
        </w:rPr>
        <w:t> </w:t>
      </w:r>
      <w:r>
        <w:rPr/>
        <w:t>东华智慧城市股份有限公司作为公司全资子公司坚持行业内深耕细作，逐步扩大在智慧城市领域的市场份额。报告期</w:t>
      </w:r>
    </w:p>
    <w:p>
      <w:pPr>
        <w:pStyle w:val="BodyText"/>
        <w:spacing w:line="316" w:lineRule="auto" w:before="8"/>
        <w:ind w:right="1133"/>
        <w:jc w:val="both"/>
        <w:rPr>
          <w:rFonts w:ascii="宋体" w:hAnsi="宋体" w:cs="宋体" w:eastAsia="宋体" w:hint="default"/>
        </w:rPr>
      </w:pPr>
      <w:r>
        <w:rPr>
          <w:spacing w:val="-2"/>
        </w:rPr>
        <w:t>内，东华智慧城市集团先后中标陕西空港、北京燕山、辽宁大洼、福州永泰、南平浦城等数十个智慧城市项目，完成了与腾</w:t>
      </w:r>
      <w:r>
        <w:rPr>
          <w:spacing w:val="-68"/>
        </w:rPr>
        <w:t> </w:t>
      </w:r>
      <w:r>
        <w:rPr>
          <w:spacing w:val="-68"/>
        </w:rPr>
      </w:r>
      <w:r>
        <w:rPr>
          <w:spacing w:val="-5"/>
        </w:rPr>
        <w:t>讯云的双向产品架构设计。同时，东华智慧城市集团已参与“腾讯数字广东”、“一部手机游云南”、数字农村、数字住建、</w:t>
      </w:r>
      <w:r>
        <w:rPr>
          <w:spacing w:val="-78"/>
        </w:rPr>
        <w:t> </w:t>
      </w:r>
      <w:r>
        <w:rPr>
          <w:spacing w:val="-78"/>
        </w:rPr>
      </w:r>
      <w:r>
        <w:rPr/>
        <w:t>数字园区等众多省级项目，联合腾讯云推动了公司在长沙、三亚等多地的项目落地，通过互联网</w:t>
      </w:r>
      <w:r>
        <w:rPr>
          <w:rFonts w:ascii="宋体" w:hAnsi="宋体" w:cs="宋体" w:eastAsia="宋体" w:hint="default"/>
        </w:rPr>
        <w:t>+</w:t>
      </w:r>
      <w:r>
        <w:rPr/>
        <w:t>行业核心软件与信息基础</w:t>
      </w:r>
      <w:r>
        <w:rPr>
          <w:spacing w:val="-84"/>
        </w:rPr>
        <w:t> </w:t>
      </w:r>
      <w:r>
        <w:rPr/>
        <w:t>设施双轮驱动，持续优化升级产品矩阵与业务模式。</w:t>
      </w:r>
      <w:r>
        <w:rPr>
          <w:rFonts w:ascii="宋体" w:hAnsi="宋体" w:cs="宋体" w:eastAsia="宋体" w:hint="default"/>
        </w:rPr>
        <w:t> </w:t>
      </w:r>
    </w:p>
    <w:p>
      <w:pPr>
        <w:pStyle w:val="BodyText"/>
        <w:spacing w:line="316" w:lineRule="auto" w:before="18"/>
        <w:ind w:right="1128" w:firstLine="419"/>
        <w:jc w:val="both"/>
        <w:rPr>
          <w:rFonts w:ascii="宋体" w:hAnsi="宋体" w:cs="宋体" w:eastAsia="宋体" w:hint="default"/>
        </w:rPr>
      </w:pPr>
      <w:r>
        <w:rPr>
          <w:spacing w:val="7"/>
        </w:rPr>
        <w:t>东华智慧城市集团旗下的云服务团队承担公司与腾讯云相关的接口和服务。报告期内，智慧城市团队联合腾讯云 </w:t>
      </w:r>
      <w:r>
        <w:rPr>
          <w:rFonts w:ascii="宋体" w:hAnsi="宋体" w:cs="宋体" w:eastAsia="宋体" w:hint="default"/>
        </w:rPr>
        <w:t>RayData</w:t>
      </w:r>
      <w:r>
        <w:rPr>
          <w:rFonts w:ascii="宋体" w:hAnsi="宋体" w:cs="宋体" w:eastAsia="宋体" w:hint="default"/>
          <w:spacing w:val="-58"/>
        </w:rPr>
        <w:t> </w:t>
      </w:r>
      <w:r>
        <w:rPr/>
        <w:t>发布</w:t>
      </w:r>
      <w:r>
        <w:rPr>
          <w:spacing w:val="-59"/>
        </w:rPr>
        <w:t> </w:t>
      </w:r>
      <w:r>
        <w:rPr>
          <w:rFonts w:ascii="宋体" w:hAnsi="宋体" w:cs="宋体" w:eastAsia="宋体" w:hint="default"/>
        </w:rPr>
        <w:t>Harrydata</w:t>
      </w:r>
      <w:r>
        <w:rPr>
          <w:rFonts w:ascii="宋体" w:hAnsi="宋体" w:cs="宋体" w:eastAsia="宋体" w:hint="default"/>
          <w:spacing w:val="-58"/>
        </w:rPr>
        <w:t> </w:t>
      </w:r>
      <w:r>
        <w:rPr/>
        <w:t>大数据平台，为政务各个系统的数据联通实现广泛价值，同时自有技术在相关项目中持续升级。此 外，智慧城市团队联合腾讯云</w:t>
      </w:r>
      <w:r>
        <w:rPr>
          <w:spacing w:val="-45"/>
        </w:rPr>
        <w:t> </w:t>
      </w:r>
      <w:r>
        <w:rPr>
          <w:rFonts w:ascii="宋体" w:hAnsi="宋体" w:cs="宋体" w:eastAsia="宋体" w:hint="default"/>
        </w:rPr>
        <w:t>RayData</w:t>
      </w:r>
      <w:r>
        <w:rPr/>
        <w:t>、灵雀云、</w:t>
      </w:r>
      <w:r>
        <w:rPr>
          <w:rFonts w:ascii="宋体" w:hAnsi="宋体" w:cs="宋体" w:eastAsia="宋体" w:hint="default"/>
        </w:rPr>
        <w:t>Intel</w:t>
      </w:r>
      <w:r>
        <w:rPr>
          <w:rFonts w:ascii="宋体" w:hAnsi="宋体" w:cs="宋体" w:eastAsia="宋体" w:hint="default"/>
          <w:spacing w:val="-44"/>
        </w:rPr>
        <w:t> </w:t>
      </w:r>
      <w:r>
        <w:rPr/>
        <w:t>发布了“东华智慧城市超级电脑”产品，为各级政府及大小机构提 供多种高效、可交付的智慧城市应用，报告期内已实现超过</w:t>
      </w:r>
      <w:r>
        <w:rPr>
          <w:spacing w:val="-46"/>
        </w:rPr>
        <w:t> </w:t>
      </w:r>
      <w:r>
        <w:rPr>
          <w:rFonts w:ascii="宋体" w:hAnsi="宋体" w:cs="宋体" w:eastAsia="宋体" w:hint="default"/>
        </w:rPr>
        <w:t>50</w:t>
      </w:r>
      <w:r>
        <w:rPr>
          <w:rFonts w:ascii="宋体" w:hAnsi="宋体" w:cs="宋体" w:eastAsia="宋体" w:hint="default"/>
          <w:spacing w:val="-45"/>
        </w:rPr>
        <w:t> </w:t>
      </w:r>
      <w:r>
        <w:rPr/>
        <w:t>个项目的对接。</w:t>
      </w:r>
      <w:r>
        <w:rPr>
          <w:rFonts w:ascii="宋体" w:hAnsi="宋体" w:cs="宋体" w:eastAsia="宋体" w:hint="default"/>
        </w:rPr>
        <w:t> </w:t>
      </w:r>
    </w:p>
    <w:p>
      <w:pPr>
        <w:pStyle w:val="BodyText"/>
        <w:spacing w:line="316" w:lineRule="auto" w:before="18"/>
        <w:ind w:left="153" w:right="1130" w:firstLine="419"/>
        <w:jc w:val="both"/>
        <w:rPr>
          <w:rFonts w:ascii="宋体" w:hAnsi="宋体" w:cs="宋体" w:eastAsia="宋体" w:hint="default"/>
        </w:rPr>
      </w:pPr>
      <w:r>
        <w:rPr/>
        <w:t>同时，东华智慧城市集团通过整合双方合作优势资源，优化组织架构。智慧城市团队启动了软件云化升级，已完成在 企业云、农业农村云、文博云等的</w:t>
      </w:r>
      <w:r>
        <w:rPr>
          <w:spacing w:val="-42"/>
        </w:rPr>
        <w:t> </w:t>
      </w:r>
      <w:r>
        <w:rPr>
          <w:rFonts w:ascii="宋体" w:hAnsi="宋体" w:cs="宋体" w:eastAsia="宋体" w:hint="default"/>
        </w:rPr>
        <w:t>SaaS</w:t>
      </w:r>
      <w:r>
        <w:rPr>
          <w:rFonts w:ascii="宋体" w:hAnsi="宋体" w:cs="宋体" w:eastAsia="宋体" w:hint="default"/>
          <w:spacing w:val="-42"/>
        </w:rPr>
        <w:t> </w:t>
      </w:r>
      <w:r>
        <w:rPr/>
        <w:t>化测试。此外，智慧城市团队建立了腾讯云矩阵产品服务团队，升级了相关技术与 </w:t>
      </w:r>
      <w:r>
        <w:rPr>
          <w:spacing w:val="-2"/>
        </w:rPr>
        <w:t>产品的服务能力和实施能力，同时完成了珠海研发中心升级开业，并联合腾讯启动粤港澳大湾区人才基地部署，在深圳、珠</w:t>
      </w:r>
      <w:r>
        <w:rPr>
          <w:spacing w:val="-64"/>
        </w:rPr>
        <w:t> </w:t>
      </w:r>
      <w:r>
        <w:rPr>
          <w:spacing w:val="-64"/>
        </w:rPr>
      </w:r>
      <w:r>
        <w:rPr/>
        <w:t>海、澳门、香港等地启动联合市场开发。</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5"/>
        <w:spacing w:line="240" w:lineRule="auto"/>
        <w:ind w:left="572" w:right="986"/>
        <w:jc w:val="left"/>
        <w:rPr>
          <w:rFonts w:ascii="宋体" w:hAnsi="宋体" w:cs="宋体" w:eastAsia="宋体" w:hint="default"/>
          <w:b w:val="0"/>
          <w:bCs w:val="0"/>
        </w:rPr>
      </w:pPr>
      <w:r>
        <w:rPr/>
        <w:t>政府行业</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3" w:firstLine="419"/>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4"/>
        </w:rPr>
        <w:t> </w:t>
      </w:r>
      <w:r>
        <w:rPr/>
        <w:t>年度，公司相继中标国家信息中心国家法人单位信息资源库软件及工具软件采购项目、国家信息中心全国信用信 </w:t>
      </w:r>
      <w:r>
        <w:rPr>
          <w:spacing w:val="-2"/>
        </w:rPr>
        <w:t>息共享平台（二期）项目、贵州省电子政务云大数据应用场景示范项目、国家税务局贵州省税务局电子税务稽查扩容及互联</w:t>
      </w:r>
      <w:r>
        <w:rPr>
          <w:spacing w:val="-66"/>
        </w:rPr>
        <w:t> </w:t>
      </w:r>
      <w:r>
        <w:rPr>
          <w:spacing w:val="-66"/>
        </w:rPr>
      </w:r>
      <w:r>
        <w:rPr>
          <w:spacing w:val="-2"/>
        </w:rPr>
        <w:t>网区安全加固等项目。此外，公司继续深化与国家外汇管理局的合作关系，承建了国家外汇管理局大数据分析应用场景开发</w:t>
      </w:r>
      <w:r>
        <w:rPr>
          <w:spacing w:val="-65"/>
        </w:rPr>
        <w:t> </w:t>
      </w:r>
      <w:r>
        <w:rPr>
          <w:spacing w:val="-65"/>
        </w:rPr>
      </w:r>
      <w:r>
        <w:rPr/>
        <w:t>项目、银行数据采集项目、外汇案件管理系统升级及对外金融资产负债及交易统计系统升级等项目。</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5" w:firstLine="419"/>
        <w:jc w:val="both"/>
        <w:rPr>
          <w:rFonts w:ascii="宋体" w:hAnsi="宋体" w:cs="宋体" w:eastAsia="宋体" w:hint="default"/>
        </w:rPr>
      </w:pPr>
      <w:r>
        <w:rPr/>
        <w:t>在政务云服务方面，公司已与江苏、湖南、河北、贵州、云南、黑龙江、辽宁、福建八个省份签约省级人大规范性文 件备案管理云服务系统项目，承建</w:t>
      </w:r>
      <w:r>
        <w:rPr>
          <w:spacing w:val="-46"/>
        </w:rPr>
        <w:t> </w:t>
      </w:r>
      <w:r>
        <w:rPr>
          <w:rFonts w:ascii="宋体" w:hAnsi="宋体" w:cs="宋体" w:eastAsia="宋体" w:hint="default"/>
        </w:rPr>
        <w:t>17</w:t>
      </w:r>
      <w:r>
        <w:rPr>
          <w:rFonts w:ascii="宋体" w:hAnsi="宋体" w:cs="宋体" w:eastAsia="宋体" w:hint="default"/>
          <w:spacing w:val="-45"/>
        </w:rPr>
        <w:t> </w:t>
      </w:r>
      <w:r>
        <w:rPr/>
        <w:t>个地市的市级人大规范性文件备案管理云服务系统。</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能源行业</w:t>
      </w:r>
      <w:r>
        <w:rPr>
          <w:rFonts w:ascii="宋体" w:hAnsi="宋体" w:cs="宋体" w:eastAsia="宋体" w:hint="default"/>
          <w:b/>
          <w:bCs/>
          <w:w w:val="99"/>
        </w:rPr>
        <w:t> </w:t>
      </w:r>
      <w:r>
        <w:rPr/>
        <w:t>在电力能源领域，公司继续扩大在能源大数据、能源互联网等新兴领域的布局。报告期内，公司先后中标中国国电集</w:t>
      </w:r>
    </w:p>
    <w:p>
      <w:pPr>
        <w:pStyle w:val="BodyText"/>
        <w:spacing w:line="316" w:lineRule="auto" w:before="8"/>
        <w:ind w:right="1130"/>
        <w:jc w:val="both"/>
        <w:rPr>
          <w:rFonts w:ascii="宋体" w:hAnsi="宋体" w:cs="宋体" w:eastAsia="宋体" w:hint="default"/>
        </w:rPr>
      </w:pPr>
      <w:r>
        <w:rPr>
          <w:spacing w:val="-2"/>
        </w:rPr>
        <w:t>团公司、中国华能集团有限公司、大唐国际发电有限公司等多个能源物联网项目。在能源互联网方面，公司积极推进能源局</w:t>
      </w:r>
      <w:r>
        <w:rPr>
          <w:spacing w:val="-65"/>
        </w:rPr>
        <w:t> </w:t>
      </w:r>
      <w:r>
        <w:rPr>
          <w:spacing w:val="-65"/>
        </w:rPr>
      </w:r>
      <w:r>
        <w:rPr/>
        <w:t>试点单位落地，中标华电南宁新能源有限公司的能源互联网项目等。</w:t>
      </w:r>
      <w:r>
        <w:rPr>
          <w:rFonts w:ascii="宋体" w:hAnsi="宋体" w:cs="宋体" w:eastAsia="宋体" w:hint="default"/>
        </w:rPr>
        <w:t> </w:t>
      </w:r>
    </w:p>
    <w:p>
      <w:pPr>
        <w:pStyle w:val="BodyText"/>
        <w:spacing w:line="316" w:lineRule="auto" w:before="18"/>
        <w:ind w:right="1132" w:firstLine="419"/>
        <w:jc w:val="both"/>
        <w:rPr>
          <w:rFonts w:ascii="宋体" w:hAnsi="宋体" w:cs="宋体" w:eastAsia="宋体" w:hint="default"/>
        </w:rPr>
      </w:pPr>
      <w:r>
        <w:rPr/>
        <w:t>在石油石化领域，公司继续为新老客户提供优质服务，中标中石化山东石油分公司视频会议系统、茂名石化智能工厂 安全系统建设等项目，延长石油集团</w:t>
      </w:r>
      <w:r>
        <w:rPr>
          <w:spacing w:val="-58"/>
        </w:rPr>
        <w:t> </w:t>
      </w:r>
      <w:r>
        <w:rPr>
          <w:rFonts w:ascii="宋体" w:hAnsi="宋体" w:cs="宋体" w:eastAsia="宋体" w:hint="default"/>
        </w:rPr>
        <w:t>OA</w:t>
      </w:r>
      <w:r>
        <w:rPr>
          <w:rFonts w:ascii="宋体" w:hAnsi="宋体" w:cs="宋体" w:eastAsia="宋体" w:hint="default"/>
          <w:spacing w:val="-57"/>
        </w:rPr>
        <w:t> </w:t>
      </w:r>
      <w:r>
        <w:rPr>
          <w:spacing w:val="-3"/>
        </w:rPr>
        <w:t>系统运维、石油集团机房及</w:t>
      </w:r>
      <w:r>
        <w:rPr>
          <w:spacing w:val="-58"/>
        </w:rPr>
        <w:t> </w:t>
      </w:r>
      <w:r>
        <w:rPr>
          <w:rFonts w:ascii="宋体" w:hAnsi="宋体" w:cs="宋体" w:eastAsia="宋体" w:hint="default"/>
        </w:rPr>
        <w:t>IT</w:t>
      </w:r>
      <w:r>
        <w:rPr>
          <w:rFonts w:ascii="宋体" w:hAnsi="宋体" w:cs="宋体" w:eastAsia="宋体" w:hint="default"/>
          <w:spacing w:val="-57"/>
        </w:rPr>
        <w:t> </w:t>
      </w:r>
      <w:r>
        <w:rPr/>
        <w:t>基础设施运维、油田中煤榆能化有限公司网络及云平 台建设项目等。</w:t>
      </w:r>
      <w:r>
        <w:rPr>
          <w:rFonts w:ascii="宋体" w:hAnsi="宋体" w:cs="宋体" w:eastAsia="宋体" w:hint="default"/>
        </w:rPr>
        <w:t> </w:t>
      </w:r>
    </w:p>
    <w:p>
      <w:pPr>
        <w:pStyle w:val="BodyText"/>
        <w:spacing w:line="316" w:lineRule="auto" w:before="18"/>
        <w:ind w:left="153" w:right="1135" w:firstLine="419"/>
        <w:jc w:val="both"/>
        <w:rPr>
          <w:rFonts w:ascii="宋体" w:hAnsi="宋体" w:cs="宋体" w:eastAsia="宋体" w:hint="default"/>
        </w:rPr>
      </w:pPr>
      <w:r>
        <w:rPr/>
        <w:t>在煤炭领域，公司中标业务财务一体化管理平台、万兆工业以太环网系统设备、马道头煤业信息化系统维护聘请外围 </w:t>
      </w:r>
      <w:r>
        <w:rPr>
          <w:spacing w:val="-2"/>
        </w:rPr>
        <w:t>团队项目、烯烃二分公司大屏幕系统采购、新矿集团信息化技术开发等项目。同时，公司持续为北京市燃气集团、神华宁夏</w:t>
      </w:r>
      <w:r>
        <w:rPr>
          <w:spacing w:val="-67"/>
        </w:rPr>
        <w:t> </w:t>
      </w:r>
      <w:r>
        <w:rPr>
          <w:spacing w:val="-67"/>
        </w:rPr>
      </w:r>
      <w:r>
        <w:rPr/>
        <w:t>煤业集团、神木县隆德矿业等新老客户提供优质的运维和售后服务。</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水利与气象海洋行业</w:t>
      </w:r>
      <w:r>
        <w:rPr>
          <w:rFonts w:ascii="宋体" w:hAnsi="宋体" w:cs="宋体" w:eastAsia="宋体" w:hint="default"/>
          <w:b/>
          <w:bCs/>
          <w:w w:val="99"/>
        </w:rPr>
        <w:t> </w:t>
      </w:r>
      <w:r>
        <w:rPr/>
        <w:t>在水利方面，公司依托“长期服务水利，打造行业精品”的战略发展规划，不断加大水利市场份额。报告期内，公司</w:t>
      </w:r>
    </w:p>
    <w:p>
      <w:pPr>
        <w:pStyle w:val="BodyText"/>
        <w:spacing w:line="316" w:lineRule="auto" w:before="8"/>
        <w:ind w:right="1130"/>
        <w:jc w:val="both"/>
        <w:rPr>
          <w:rFonts w:ascii="宋体" w:hAnsi="宋体" w:cs="宋体" w:eastAsia="宋体" w:hint="default"/>
        </w:rPr>
      </w:pPr>
      <w:r>
        <w:rPr/>
        <w:t>近</w:t>
      </w:r>
      <w:r>
        <w:rPr>
          <w:spacing w:val="-42"/>
        </w:rPr>
        <w:t> </w:t>
      </w:r>
      <w:r>
        <w:rPr>
          <w:rFonts w:ascii="宋体" w:hAnsi="宋体" w:cs="宋体" w:eastAsia="宋体" w:hint="default"/>
        </w:rPr>
        <w:t>20</w:t>
      </w:r>
      <w:r>
        <w:rPr>
          <w:rFonts w:ascii="宋体" w:hAnsi="宋体" w:cs="宋体" w:eastAsia="宋体" w:hint="default"/>
          <w:spacing w:val="-41"/>
        </w:rPr>
        <w:t> </w:t>
      </w:r>
      <w:r>
        <w:rPr/>
        <w:t>个水利项目通过验收，其中包括水信息基础平台、水利工程建设管理、全国农村水利管理业务应用系统、安全生产监 </w:t>
      </w:r>
      <w:r>
        <w:rPr>
          <w:spacing w:val="-2"/>
        </w:rPr>
        <w:t>管信息化工程项目、国家地下水业务管理软件及多个流域和省级的国家水资源管理项目。在水资源领域，公司基于为国家水</w:t>
      </w:r>
      <w:r>
        <w:rPr>
          <w:spacing w:val="-63"/>
        </w:rPr>
        <w:t> </w:t>
      </w:r>
      <w:r>
        <w:rPr>
          <w:spacing w:val="-63"/>
        </w:rPr>
      </w:r>
      <w:r>
        <w:rPr>
          <w:spacing w:val="-2"/>
        </w:rPr>
        <w:t>资源监控能力建设项目二期系统提供优质服务，相继与国家水利部、松辽委、辽宁水利厅、河南水利厅、湖北水利厅、吉林</w:t>
      </w:r>
      <w:r>
        <w:rPr>
          <w:spacing w:val="-67"/>
        </w:rPr>
        <w:t> </w:t>
      </w:r>
      <w:r>
        <w:rPr>
          <w:spacing w:val="-67"/>
        </w:rPr>
      </w:r>
      <w:r>
        <w:rPr>
          <w:spacing w:val="-2"/>
        </w:rPr>
        <w:t>水利厅、山西水利厅、黑河管理局等签署了项目合同。在防汛抗旱系统领域，公司与山西水利厅、甘肃民勤县等签约。在系</w:t>
      </w:r>
      <w:r>
        <w:rPr>
          <w:spacing w:val="-67"/>
        </w:rPr>
        <w:t> </w:t>
      </w:r>
      <w:r>
        <w:rPr>
          <w:spacing w:val="-67"/>
        </w:rPr>
      </w:r>
      <w:r>
        <w:rPr>
          <w:spacing w:val="-2"/>
        </w:rPr>
        <w:t>统集成领域，公司相继签约国家水利部、国家南水北调中线管理局、长江委、广州排水有限公司、广西大藤峡水利枢纽建设</w:t>
      </w:r>
      <w:r>
        <w:rPr>
          <w:spacing w:val="-67"/>
        </w:rPr>
        <w:t> </w:t>
      </w:r>
      <w:r>
        <w:rPr>
          <w:spacing w:val="-67"/>
        </w:rPr>
      </w:r>
      <w:r>
        <w:rPr>
          <w:spacing w:val="-2"/>
        </w:rPr>
        <w:t>管理局、珠江排水有限公司等新客户。在供排水领域，公司持续拓展市场，相继与广州、珠江、安徽、宁夏隆德县等区域客</w:t>
      </w:r>
      <w:r>
        <w:rPr>
          <w:spacing w:val="-66"/>
        </w:rPr>
        <w:t> </w:t>
      </w:r>
      <w:r>
        <w:rPr>
          <w:spacing w:val="-66"/>
        </w:rPr>
      </w:r>
      <w:r>
        <w:rPr>
          <w:spacing w:val="-2"/>
        </w:rPr>
        <w:t>户签约。在大数据分析及资源整合领域，公司与国家水利部、内蒙水利厅签约。在智慧水利领域，公司签约水利部智慧水利</w:t>
      </w:r>
      <w:r>
        <w:rPr>
          <w:spacing w:val="-67"/>
        </w:rPr>
        <w:t> </w:t>
      </w:r>
      <w:r>
        <w:rPr>
          <w:spacing w:val="-67"/>
        </w:rPr>
      </w:r>
      <w:r>
        <w:rPr/>
        <w:t>项目顶层设计，为公司水利业务的未来发展奠定了坚实的基础，助力水利行业信息化建设的发展。</w:t>
      </w:r>
      <w:r>
        <w:rPr>
          <w:rFonts w:ascii="宋体" w:hAnsi="宋体" w:cs="宋体" w:eastAsia="宋体" w:hint="default"/>
        </w:rPr>
        <w:t> </w:t>
      </w:r>
    </w:p>
    <w:p>
      <w:pPr>
        <w:pStyle w:val="BodyText"/>
        <w:spacing w:line="316" w:lineRule="auto" w:before="18"/>
        <w:ind w:right="1130" w:firstLine="419"/>
        <w:jc w:val="both"/>
        <w:rPr>
          <w:rFonts w:ascii="宋体" w:hAnsi="宋体" w:cs="宋体" w:eastAsia="宋体" w:hint="default"/>
        </w:rPr>
      </w:pPr>
      <w:r>
        <w:rPr/>
        <w:t>在气象海洋信息化业务领域，公司在气象水文大型项目的规划设计、系统开发实施、软件集成管理等方面积累了丰富 </w:t>
      </w:r>
      <w:r>
        <w:rPr>
          <w:spacing w:val="-2"/>
        </w:rPr>
        <w:t>的经验和大量的技术人才，持续为用户提供优质的服务。报告期内，公司签约气象水文保障分系统软件等项目，研发出融合</w:t>
      </w:r>
      <w:r>
        <w:rPr>
          <w:spacing w:val="-65"/>
        </w:rPr>
        <w:t> </w:t>
      </w:r>
      <w:r>
        <w:rPr>
          <w:spacing w:val="-65"/>
        </w:rPr>
      </w:r>
      <w:r>
        <w:rPr/>
        <w:t>卫星遥感数据和人工智能分析的卫星天气应用平台，服务对象涉及全国各级气象台、遥感中心等。</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住建、国土及不动产行业</w:t>
      </w:r>
      <w:r>
        <w:rPr>
          <w:rFonts w:ascii="宋体" w:hAnsi="宋体" w:cs="宋体" w:eastAsia="宋体" w:hint="default"/>
          <w:b/>
          <w:bCs/>
          <w:w w:val="99"/>
        </w:rPr>
        <w:t> </w:t>
      </w:r>
      <w:r>
        <w:rPr/>
        <w:t>在房管信息化建设方面，公司继续保持细分行业领先地位，报告期内先后成功中标湖南省房地产市场监管平台开发项</w:t>
      </w:r>
    </w:p>
    <w:p>
      <w:pPr>
        <w:pStyle w:val="BodyText"/>
        <w:spacing w:line="316" w:lineRule="auto" w:before="8"/>
        <w:ind w:right="1130"/>
        <w:jc w:val="both"/>
        <w:rPr>
          <w:rFonts w:ascii="宋体" w:hAnsi="宋体" w:cs="宋体" w:eastAsia="宋体" w:hint="default"/>
        </w:rPr>
      </w:pPr>
      <w:r>
        <w:rPr>
          <w:spacing w:val="-2"/>
        </w:rPr>
        <w:t>目、随州市城镇个人住房信息系统项目、常熟市房屋交易管理信息平台开发项目、阳新县个人住房信息系统建设项目、上饶</w:t>
      </w:r>
      <w:r>
        <w:rPr>
          <w:spacing w:val="-65"/>
        </w:rPr>
        <w:t> </w:t>
      </w:r>
      <w:r>
        <w:rPr>
          <w:spacing w:val="-65"/>
        </w:rPr>
      </w:r>
      <w:r>
        <w:rPr>
          <w:spacing w:val="-2"/>
        </w:rPr>
        <w:t>市本级存量房资金监管系统软件开发项目等。同时，公司继续为杭州市住房保障和房屋管理局、武汉市住房保障和房屋管理</w:t>
      </w:r>
      <w:r>
        <w:rPr>
          <w:spacing w:val="-66"/>
        </w:rPr>
        <w:t> </w:t>
      </w:r>
      <w:r>
        <w:rPr>
          <w:spacing w:val="-66"/>
        </w:rPr>
      </w:r>
      <w:r>
        <w:rPr>
          <w:spacing w:val="-2"/>
        </w:rPr>
        <w:t>局、漳州市住房和城乡建设局、上饶市房地产管理局、晋城市住房和城乡建设局、常德市住房和城乡建设局等老客户提供系</w:t>
      </w:r>
      <w:r>
        <w:rPr>
          <w:spacing w:val="-64"/>
        </w:rPr>
        <w:t> </w:t>
      </w:r>
      <w:r>
        <w:rPr>
          <w:spacing w:val="-64"/>
        </w:rPr>
      </w:r>
      <w:r>
        <w:rPr/>
        <w:t>统维护服务。</w:t>
      </w:r>
      <w:r>
        <w:rPr>
          <w:rFonts w:ascii="宋体" w:hAnsi="宋体" w:cs="宋体" w:eastAsia="宋体" w:hint="default"/>
        </w:rPr>
        <w:t> </w:t>
      </w:r>
    </w:p>
    <w:p>
      <w:pPr>
        <w:pStyle w:val="BodyText"/>
        <w:spacing w:line="316" w:lineRule="auto" w:before="18"/>
        <w:ind w:right="1034" w:firstLine="419"/>
        <w:jc w:val="left"/>
        <w:rPr>
          <w:rFonts w:ascii="宋体" w:hAnsi="宋体" w:cs="宋体" w:eastAsia="宋体" w:hint="default"/>
        </w:rPr>
      </w:pPr>
      <w:r>
        <w:rPr/>
        <w:t>在住房租赁信息化建设方面，公司为中国建设银行的政策性租赁住房管理云平台在全国近 </w:t>
      </w:r>
      <w:r>
        <w:rPr>
          <w:rFonts w:ascii="宋体" w:hAnsi="宋体" w:cs="宋体" w:eastAsia="宋体" w:hint="default"/>
        </w:rPr>
        <w:t>300</w:t>
      </w:r>
      <w:r>
        <w:rPr>
          <w:rFonts w:ascii="宋体" w:hAnsi="宋体" w:cs="宋体" w:eastAsia="宋体" w:hint="default"/>
          <w:spacing w:val="-51"/>
        </w:rPr>
        <w:t> </w:t>
      </w:r>
      <w:r>
        <w:rPr/>
        <w:t>个地级市的上线提供了 深度服务支持。针对国土不动产业务，公司围绕不动产登记系统建设、不动产对接、不动产数据整理等业务承接多个项目， </w:t>
      </w:r>
      <w:r>
        <w:rPr>
          <w:spacing w:val="-2"/>
        </w:rPr>
        <w:t>包括汉川市不动产登记业务对接项目、高平市不动产登记数据共享项目、枣阳市住房保障和房屋管理局房产数据中间库建设</w:t>
      </w:r>
      <w:r>
        <w:rPr>
          <w:spacing w:val="-64"/>
        </w:rPr>
        <w:t> </w:t>
      </w:r>
      <w:r>
        <w:rPr>
          <w:spacing w:val="-64"/>
        </w:rPr>
      </w:r>
      <w:r>
        <w:rPr/>
        <w:t>项目等。</w:t>
      </w:r>
      <w:r>
        <w:rPr>
          <w:rFonts w:ascii="宋体" w:hAnsi="宋体" w:cs="宋体" w:eastAsia="宋体" w:hint="default"/>
        </w:rPr>
        <w:t> </w:t>
      </w:r>
    </w:p>
    <w:p>
      <w:pPr>
        <w:pStyle w:val="BodyText"/>
        <w:spacing w:line="316" w:lineRule="auto" w:before="18"/>
        <w:ind w:right="1135" w:firstLine="419"/>
        <w:jc w:val="both"/>
        <w:rPr>
          <w:rFonts w:ascii="宋体" w:hAnsi="宋体" w:cs="宋体" w:eastAsia="宋体" w:hint="default"/>
        </w:rPr>
      </w:pPr>
      <w:r>
        <w:rPr/>
        <w:t>在智慧住建方面，公司自主研发推出了农民工实名制管理系统，报告期内已完成一个观摩试点项目的建设。公司将始 终围绕“便民、利企、服政”的思路，继续积极推广智慧住建应用落地。</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5"/>
        <w:spacing w:line="240" w:lineRule="auto"/>
        <w:ind w:left="572" w:right="986"/>
        <w:jc w:val="left"/>
        <w:rPr>
          <w:rFonts w:ascii="宋体" w:hAnsi="宋体" w:cs="宋体" w:eastAsia="宋体" w:hint="default"/>
          <w:b w:val="0"/>
          <w:bCs w:val="0"/>
        </w:rPr>
      </w:pPr>
      <w:r>
        <w:rPr/>
        <w:t>物联网与工业互联网</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2" w:firstLine="419"/>
        <w:jc w:val="both"/>
      </w:pPr>
      <w:r>
        <w:rPr/>
        <w:t>在物联网及工业互联网方面，公司的东华工业 </w:t>
      </w:r>
      <w:r>
        <w:rPr>
          <w:rFonts w:ascii="宋体" w:hAnsi="宋体" w:cs="宋体" w:eastAsia="宋体" w:hint="default"/>
        </w:rPr>
        <w:t>4.0 </w:t>
      </w:r>
      <w:r>
        <w:rPr/>
        <w:t>研究院依托国家对工业</w:t>
      </w:r>
      <w:r>
        <w:rPr>
          <w:spacing w:val="-54"/>
        </w:rPr>
        <w:t> </w:t>
      </w:r>
      <w:r>
        <w:rPr>
          <w:rFonts w:ascii="宋体" w:hAnsi="宋体" w:cs="宋体" w:eastAsia="宋体" w:hint="default"/>
        </w:rPr>
        <w:t>4.0</w:t>
      </w:r>
      <w:r>
        <w:rPr/>
        <w:t>、工业互联网等相关政策支持，采用物 </w:t>
      </w:r>
      <w:r>
        <w:rPr>
          <w:spacing w:val="-1"/>
        </w:rPr>
        <w:t>联网、工业云计算、工业大数据、工业</w:t>
      </w:r>
      <w:r>
        <w:rPr>
          <w:spacing w:val="-32"/>
        </w:rPr>
        <w:t> </w:t>
      </w:r>
      <w:r>
        <w:rPr>
          <w:rFonts w:ascii="宋体" w:hAnsi="宋体" w:cs="宋体" w:eastAsia="宋体" w:hint="default"/>
          <w:spacing w:val="-1"/>
        </w:rPr>
        <w:t>SCADA</w:t>
      </w:r>
      <w:r>
        <w:rPr>
          <w:spacing w:val="-1"/>
        </w:rPr>
        <w:t>、区块链、人工智能、</w:t>
      </w:r>
      <w:r>
        <w:rPr>
          <w:rFonts w:ascii="宋体" w:hAnsi="宋体" w:cs="宋体" w:eastAsia="宋体" w:hint="default"/>
          <w:spacing w:val="-1"/>
        </w:rPr>
        <w:t>BIM</w:t>
      </w:r>
      <w:r>
        <w:rPr>
          <w:spacing w:val="-1"/>
        </w:rPr>
        <w:t>、</w:t>
      </w:r>
      <w:r>
        <w:rPr>
          <w:rFonts w:ascii="宋体" w:hAnsi="宋体" w:cs="宋体" w:eastAsia="宋体" w:hint="default"/>
          <w:spacing w:val="-1"/>
        </w:rPr>
        <w:t>GIS</w:t>
      </w:r>
      <w:r>
        <w:rPr>
          <w:spacing w:val="-1"/>
        </w:rPr>
        <w:t>、虚拟现实等高新尖端技术，在智慧制造、智</w:t>
      </w:r>
    </w:p>
    <w:p>
      <w:pPr>
        <w:spacing w:after="0" w:line="316" w:lineRule="auto"/>
        <w:jc w:val="both"/>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3"/>
        <w:jc w:val="left"/>
        <w:rPr>
          <w:rFonts w:ascii="宋体" w:hAnsi="宋体" w:cs="宋体" w:eastAsia="宋体" w:hint="default"/>
        </w:rPr>
      </w:pPr>
      <w:r>
        <w:rPr>
          <w:spacing w:val="-2"/>
        </w:rPr>
        <w:t>能建筑、智慧景区、智慧园区、智慧矿山、智慧监狱、智慧水务、智慧消防等领域推出了成熟的工业物联网解决方案。报告</w:t>
      </w:r>
      <w:r>
        <w:rPr>
          <w:spacing w:val="-66"/>
        </w:rPr>
        <w:t> </w:t>
      </w:r>
      <w:r>
        <w:rPr>
          <w:spacing w:val="-66"/>
        </w:rPr>
      </w:r>
      <w:r>
        <w:rPr/>
        <w:t>期内，公司基于在物联网和工业互联网领域的技术开发和广泛部署，中标中央机关后勤服务建筑智能化</w:t>
      </w:r>
      <w:r>
        <w:rPr>
          <w:spacing w:val="-42"/>
        </w:rPr>
        <w:t> </w:t>
      </w:r>
      <w:r>
        <w:rPr>
          <w:rFonts w:ascii="宋体" w:hAnsi="宋体" w:cs="宋体" w:eastAsia="宋体" w:hint="default"/>
        </w:rPr>
        <w:t>IBMS</w:t>
      </w:r>
      <w:r>
        <w:rPr>
          <w:rFonts w:ascii="宋体" w:hAnsi="宋体" w:cs="宋体" w:eastAsia="宋体" w:hint="default"/>
          <w:spacing w:val="-42"/>
        </w:rPr>
        <w:t> </w:t>
      </w:r>
      <w:r>
        <w:rPr/>
        <w:t>系统、深圳水 贝珠宝总部大厦智能化</w:t>
      </w:r>
      <w:r>
        <w:rPr>
          <w:spacing w:val="-27"/>
        </w:rPr>
        <w:t> </w:t>
      </w:r>
      <w:r>
        <w:rPr>
          <w:rFonts w:ascii="宋体" w:hAnsi="宋体" w:cs="宋体" w:eastAsia="宋体" w:hint="default"/>
        </w:rPr>
        <w:t>IBMS</w:t>
      </w:r>
      <w:r>
        <w:rPr>
          <w:rFonts w:ascii="宋体" w:hAnsi="宋体" w:cs="宋体" w:eastAsia="宋体" w:hint="default"/>
          <w:spacing w:val="-26"/>
        </w:rPr>
        <w:t> </w:t>
      </w:r>
      <w:r>
        <w:rPr>
          <w:spacing w:val="-3"/>
        </w:rPr>
        <w:t>系统、北京大学人民医院楼宇管理系统、国瑞企业总部基地龙瑞苑商务写字楼弱电智能化系统、</w:t>
      </w:r>
      <w:r>
        <w:rPr>
          <w:spacing w:val="-86"/>
        </w:rPr>
        <w:t> </w:t>
      </w:r>
      <w:r>
        <w:rPr>
          <w:spacing w:val="-86"/>
        </w:rPr>
      </w:r>
      <w:r>
        <w:rPr/>
        <w:t>安徽省阜阳市颍泉区智慧农饮</w:t>
      </w:r>
      <w:r>
        <w:rPr>
          <w:spacing w:val="-43"/>
        </w:rPr>
        <w:t> </w:t>
      </w:r>
      <w:r>
        <w:rPr>
          <w:rFonts w:ascii="宋体" w:hAnsi="宋体" w:cs="宋体" w:eastAsia="宋体" w:hint="default"/>
        </w:rPr>
        <w:t>29</w:t>
      </w:r>
      <w:r>
        <w:rPr>
          <w:rFonts w:ascii="宋体" w:hAnsi="宋体" w:cs="宋体" w:eastAsia="宋体" w:hint="default"/>
          <w:spacing w:val="-42"/>
        </w:rPr>
        <w:t> </w:t>
      </w:r>
      <w:r>
        <w:rPr/>
        <w:t>个水厂集控系统、晋城智慧园区智能化和地下三维管线系统、山西潞安集团余吾煤业万兆 工业以太环网系统等项目。</w:t>
      </w:r>
      <w:r>
        <w:rPr>
          <w:rFonts w:ascii="宋体" w:hAnsi="宋体" w:cs="宋体" w:eastAsia="宋体" w:hint="default"/>
        </w:rPr>
        <w:t> </w:t>
      </w:r>
    </w:p>
    <w:p>
      <w:pPr>
        <w:pStyle w:val="BodyText"/>
        <w:spacing w:line="316" w:lineRule="auto" w:before="18"/>
        <w:ind w:right="1135" w:firstLine="419"/>
        <w:jc w:val="both"/>
        <w:rPr>
          <w:rFonts w:ascii="宋体" w:hAnsi="宋体" w:cs="宋体" w:eastAsia="宋体" w:hint="default"/>
        </w:rPr>
      </w:pPr>
      <w:r>
        <w:rPr/>
        <w:t>全资子公司合创科技已于报告期内取得了“电子与智能化工程专业承包壹级”资质，使公司具备承接大型智能化工程 建设的能力，为公司在智能化领域的发展奠定了坚实基础。</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5"/>
        <w:spacing w:line="240" w:lineRule="auto"/>
        <w:ind w:left="572" w:right="986"/>
        <w:jc w:val="left"/>
        <w:rPr>
          <w:rFonts w:ascii="宋体" w:hAnsi="宋体" w:cs="宋体" w:eastAsia="宋体" w:hint="default"/>
          <w:b w:val="0"/>
          <w:bCs w:val="0"/>
        </w:rPr>
      </w:pPr>
      <w:r>
        <w:rPr/>
        <w:t>交通运输行业</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0" w:firstLine="419"/>
        <w:jc w:val="both"/>
        <w:rPr>
          <w:rFonts w:ascii="宋体" w:hAnsi="宋体" w:cs="宋体" w:eastAsia="宋体" w:hint="default"/>
        </w:rPr>
      </w:pPr>
      <w:r>
        <w:rPr/>
        <w:t>公司凭借优秀的产品质量、系统化的解决方案、良好的售后服务及企业形象，先后中标海航集团 </w:t>
      </w:r>
      <w:r>
        <w:rPr>
          <w:rFonts w:ascii="宋体" w:hAnsi="宋体" w:cs="宋体" w:eastAsia="宋体" w:hint="default"/>
        </w:rPr>
        <w:t>2018 </w:t>
      </w:r>
      <w:r>
        <w:rPr/>
        <w:t>年第一季度</w:t>
      </w:r>
      <w:r>
        <w:rPr>
          <w:spacing w:val="-52"/>
        </w:rPr>
        <w:t> </w:t>
      </w:r>
      <w:r>
        <w:rPr>
          <w:rFonts w:ascii="宋体" w:hAnsi="宋体" w:cs="宋体" w:eastAsia="宋体" w:hint="default"/>
        </w:rPr>
        <w:t>IT</w:t>
      </w:r>
      <w:r>
        <w:rPr>
          <w:rFonts w:ascii="宋体" w:hAnsi="宋体" w:cs="宋体" w:eastAsia="宋体" w:hint="default"/>
          <w:spacing w:val="1"/>
        </w:rPr>
        <w:t> </w:t>
      </w:r>
      <w:r>
        <w:rPr>
          <w:spacing w:val="-2"/>
        </w:rPr>
        <w:t>设备集采项目，北京市地铁运营有限公司地铁备份系统建设工程项目，北京市地铁新建汇聚机房动环监控系统项目，北京市</w:t>
      </w:r>
      <w:r>
        <w:rPr>
          <w:spacing w:val="-63"/>
        </w:rPr>
        <w:t> </w:t>
      </w:r>
      <w:r>
        <w:rPr>
          <w:spacing w:val="-63"/>
        </w:rPr>
      </w:r>
      <w:r>
        <w:rPr>
          <w:spacing w:val="-2"/>
        </w:rPr>
        <w:t>地铁运营有限公司地理信息系统（一期）、合同管理系统建设、桌面应用服务等多个项目，交通运输部科学研究院交通运输</w:t>
      </w:r>
      <w:r>
        <w:rPr>
          <w:spacing w:val="-65"/>
        </w:rPr>
        <w:t> </w:t>
      </w:r>
      <w:r>
        <w:rPr>
          <w:spacing w:val="-65"/>
        </w:rPr>
      </w:r>
      <w:r>
        <w:rPr>
          <w:spacing w:val="-2"/>
        </w:rPr>
        <w:t>行业重点科研平台设备采购项目，四川广元市地方海事局水上交通安全监测平台建设工程采购项目等。公司在交通运输行业</w:t>
      </w:r>
      <w:r>
        <w:rPr>
          <w:spacing w:val="-64"/>
        </w:rPr>
        <w:t> </w:t>
      </w:r>
      <w:r>
        <w:rPr>
          <w:spacing w:val="-64"/>
        </w:rPr>
      </w:r>
      <w:r>
        <w:rPr/>
        <w:t>拓展了重点客户资源，为公司进一步拓展市场奠定基础。</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5"/>
        <w:spacing w:line="240" w:lineRule="auto"/>
        <w:ind w:left="572" w:right="986"/>
        <w:jc w:val="left"/>
        <w:rPr>
          <w:rFonts w:ascii="宋体" w:hAnsi="宋体" w:cs="宋体" w:eastAsia="宋体" w:hint="default"/>
          <w:b w:val="0"/>
          <w:bCs w:val="0"/>
        </w:rPr>
      </w:pPr>
      <w:r>
        <w:rPr/>
        <w:t>通讯行业</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0" w:firstLine="419"/>
        <w:jc w:val="both"/>
        <w:rPr>
          <w:rFonts w:ascii="宋体" w:hAnsi="宋体" w:cs="宋体" w:eastAsia="宋体" w:hint="default"/>
        </w:rPr>
      </w:pPr>
      <w:r>
        <w:rPr/>
        <w:t>报告期内，公司实现了业务量和用户数量的稳定增长，签约了北京电信数据挖掘、北京电信 </w:t>
      </w:r>
      <w:r>
        <w:rPr>
          <w:rFonts w:ascii="宋体" w:hAnsi="宋体" w:cs="宋体" w:eastAsia="宋体" w:hint="default"/>
        </w:rPr>
        <w:t>EDA</w:t>
      </w:r>
      <w:r>
        <w:rPr>
          <w:rFonts w:ascii="宋体" w:hAnsi="宋体" w:cs="宋体" w:eastAsia="宋体" w:hint="default"/>
          <w:spacing w:val="-51"/>
        </w:rPr>
        <w:t> </w:t>
      </w:r>
      <w:r>
        <w:rPr/>
        <w:t>挖掘、辽宁移动云资 </w:t>
      </w:r>
      <w:r>
        <w:rPr>
          <w:spacing w:val="-2"/>
        </w:rPr>
        <w:t>源八期集成、山西省联通网管业务平台、中国移动企业级数据库资源池建设、山西移动数据库一体机等项目。同时，公司继</w:t>
      </w:r>
      <w:r>
        <w:rPr>
          <w:spacing w:val="-67"/>
        </w:rPr>
        <w:t> </w:t>
      </w:r>
      <w:r>
        <w:rPr>
          <w:spacing w:val="-67"/>
        </w:rPr>
      </w:r>
      <w:r>
        <w:rPr>
          <w:spacing w:val="-2"/>
        </w:rPr>
        <w:t>续保持与山西移动、山东移动、辽宁移动、山西联通、山东联通、北京电信等老客户的合作关系，助力公司在通讯业务方面</w:t>
      </w:r>
      <w:r>
        <w:rPr>
          <w:spacing w:val="-70"/>
        </w:rPr>
        <w:t> </w:t>
      </w:r>
      <w:r>
        <w:rPr>
          <w:spacing w:val="-70"/>
        </w:rPr>
      </w:r>
      <w:r>
        <w:rPr/>
        <w:t>持续发展。</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5"/>
        <w:spacing w:line="477" w:lineRule="auto"/>
        <w:ind w:left="572" w:right="7154"/>
        <w:jc w:val="left"/>
        <w:rPr>
          <w:rFonts w:ascii="宋体" w:hAnsi="宋体" w:cs="宋体" w:eastAsia="宋体" w:hint="default"/>
          <w:b w:val="0"/>
          <w:bCs w:val="0"/>
        </w:rPr>
      </w:pPr>
      <w:r>
        <w:rPr/>
        <w:t>（</w:t>
      </w:r>
      <w:r>
        <w:rPr>
          <w:rFonts w:ascii="宋体" w:hAnsi="宋体" w:cs="宋体" w:eastAsia="宋体" w:hint="default"/>
        </w:rPr>
        <w:t>2</w:t>
      </w:r>
      <w:r>
        <w:rPr/>
        <w:t>）软件产品开发及产品化情况</w:t>
      </w:r>
      <w:r>
        <w:rPr>
          <w:rFonts w:ascii="宋体" w:hAnsi="宋体" w:cs="宋体" w:eastAsia="宋体" w:hint="default"/>
          <w:w w:val="99"/>
        </w:rPr>
        <w:t> </w:t>
      </w:r>
      <w:r>
        <w:rPr/>
        <w:t>医疗软件</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54"/>
        <w:ind w:right="1132" w:firstLine="419"/>
        <w:jc w:val="both"/>
        <w:rPr>
          <w:rFonts w:ascii="宋体" w:hAnsi="宋体" w:cs="宋体" w:eastAsia="宋体" w:hint="default"/>
        </w:rPr>
      </w:pPr>
      <w:r>
        <w:rPr/>
        <w:t>在智慧医院解决方案研发方面，东华医为成功设计并研发在西南医科大学等医院上线运行的门诊医生工作站，在重庆 </w:t>
      </w:r>
      <w:r>
        <w:rPr>
          <w:spacing w:val="-2"/>
        </w:rPr>
        <w:t>中医、新疆中医等医院上线的全程可追溯、无纸化的住院移动药房，在安贞、北京中医、中国医大等多家大型三甲医院成功</w:t>
      </w:r>
      <w:r>
        <w:rPr>
          <w:spacing w:val="-65"/>
        </w:rPr>
        <w:t> </w:t>
      </w:r>
      <w:r>
        <w:rPr>
          <w:spacing w:val="-65"/>
        </w:rPr>
      </w:r>
      <w:r>
        <w:rPr/>
        <w:t>上线的急诊临床信息系统等多款产品。此外，东华医为重点研发了进阶版云诊所、妇幼保健系统</w:t>
      </w:r>
      <w:r>
        <w:rPr>
          <w:spacing w:val="4"/>
        </w:rPr>
        <w:t> </w:t>
      </w:r>
      <w:r>
        <w:rPr>
          <w:rFonts w:ascii="宋体" w:hAnsi="宋体" w:cs="宋体" w:eastAsia="宋体" w:hint="default"/>
        </w:rPr>
        <w:t>V2.0</w:t>
      </w:r>
      <w:r>
        <w:rPr/>
        <w:t>、卫生综合管理系统 </w:t>
      </w:r>
      <w:r>
        <w:rPr>
          <w:rFonts w:ascii="宋体" w:hAnsi="宋体" w:cs="宋体" w:eastAsia="宋体" w:hint="default"/>
        </w:rPr>
        <w:t>V2.6</w:t>
      </w:r>
      <w:r>
        <w:rPr/>
        <w:t>、大屏监测系统、移动驾驶舱等相关产品并在项目上推广应用。</w:t>
      </w:r>
      <w:r>
        <w:rPr>
          <w:rFonts w:ascii="宋体" w:hAnsi="宋体" w:cs="宋体" w:eastAsia="宋体" w:hint="default"/>
        </w:rPr>
        <w:t> </w:t>
      </w:r>
    </w:p>
    <w:p>
      <w:pPr>
        <w:pStyle w:val="BodyText"/>
        <w:spacing w:line="316" w:lineRule="auto" w:before="18"/>
        <w:ind w:right="1130" w:firstLine="419"/>
        <w:jc w:val="both"/>
        <w:rPr>
          <w:rFonts w:ascii="宋体" w:hAnsi="宋体" w:cs="宋体" w:eastAsia="宋体" w:hint="default"/>
        </w:rPr>
      </w:pPr>
      <w:r>
        <w:rPr/>
        <w:t>在医学知识库研发方面，公司基于循证医学和大量临床案例，研发了综合运用自定义知识构建技术模型、知识图谱技 </w:t>
      </w:r>
      <w:r>
        <w:rPr>
          <w:spacing w:val="-2"/>
        </w:rPr>
        <w:t>术的医学知识结构化平台，解决了临床诊断困难和诊断不规范等问题，能够更精准地选择临床路径、避免用药错误、合理选</w:t>
      </w:r>
      <w:r>
        <w:rPr>
          <w:spacing w:val="-64"/>
        </w:rPr>
        <w:t> </w:t>
      </w:r>
      <w:r>
        <w:rPr>
          <w:spacing w:val="-64"/>
        </w:rPr>
      </w:r>
      <w:r>
        <w:rPr>
          <w:spacing w:val="-2"/>
        </w:rPr>
        <w:t>择检查、优化治疗方案。报告期内，公司已与北京协和医院、医大一附院、北京安贞医院等多个大型医疗机构合作共建医学</w:t>
      </w:r>
      <w:r>
        <w:rPr>
          <w:spacing w:val="-67"/>
        </w:rPr>
        <w:t> </w:t>
      </w:r>
      <w:r>
        <w:rPr>
          <w:spacing w:val="-67"/>
        </w:rPr>
      </w:r>
      <w:r>
        <w:rPr/>
        <w:t>知识库，力争构建国人的全方位医学知识库。</w:t>
      </w:r>
      <w:r>
        <w:rPr>
          <w:rFonts w:ascii="宋体" w:hAnsi="宋体" w:cs="宋体" w:eastAsia="宋体" w:hint="default"/>
        </w:rPr>
        <w:t> </w:t>
      </w:r>
    </w:p>
    <w:p>
      <w:pPr>
        <w:pStyle w:val="BodyText"/>
        <w:spacing w:line="316" w:lineRule="auto" w:before="18"/>
        <w:ind w:right="1033" w:firstLine="419"/>
        <w:jc w:val="left"/>
        <w:rPr>
          <w:rFonts w:ascii="宋体" w:hAnsi="宋体" w:cs="宋体" w:eastAsia="宋体" w:hint="default"/>
        </w:rPr>
      </w:pPr>
      <w:r>
        <w:rPr/>
        <w:t>在</w:t>
      </w:r>
      <w:r>
        <w:rPr>
          <w:spacing w:val="-59"/>
        </w:rPr>
        <w:t> </w:t>
      </w:r>
      <w:r>
        <w:rPr>
          <w:rFonts w:ascii="宋体" w:hAnsi="宋体" w:cs="宋体" w:eastAsia="宋体" w:hint="default"/>
        </w:rPr>
        <w:t>DRGs</w:t>
      </w:r>
      <w:r>
        <w:rPr>
          <w:rFonts w:ascii="宋体" w:hAnsi="宋体" w:cs="宋体" w:eastAsia="宋体" w:hint="default"/>
          <w:spacing w:val="-58"/>
        </w:rPr>
        <w:t> </w:t>
      </w:r>
      <w:r>
        <w:rPr/>
        <w:t>支付方式改革方面，公司依托新医改政策，有效结合总额预算与按疾病诊断相关分组支付方式，确保医保基金 </w:t>
      </w:r>
      <w:r>
        <w:rPr>
          <w:spacing w:val="-2"/>
        </w:rPr>
        <w:t>的收支平衡，发挥医保基金最大效益并保证其安全运行。同时，公司积极拓展与地方用户的合作，以</w:t>
      </w:r>
      <w:r>
        <w:rPr>
          <w:spacing w:val="-42"/>
        </w:rPr>
        <w:t> </w:t>
      </w:r>
      <w:r>
        <w:rPr>
          <w:rFonts w:ascii="宋体" w:hAnsi="宋体" w:cs="宋体" w:eastAsia="宋体" w:hint="default"/>
        </w:rPr>
        <w:t>DRGs</w:t>
      </w:r>
      <w:r>
        <w:rPr>
          <w:rFonts w:ascii="宋体" w:hAnsi="宋体" w:cs="宋体" w:eastAsia="宋体" w:hint="default"/>
          <w:spacing w:val="-41"/>
        </w:rPr>
        <w:t> </w:t>
      </w:r>
      <w:r>
        <w:rPr>
          <w:spacing w:val="-1"/>
        </w:rPr>
        <w:t>支付改革为杠杆，</w:t>
      </w:r>
      <w:r>
        <w:rPr/>
        <w:t> 通过</w:t>
      </w:r>
      <w:r>
        <w:rPr>
          <w:spacing w:val="-43"/>
        </w:rPr>
        <w:t> </w:t>
      </w:r>
      <w:r>
        <w:rPr>
          <w:rFonts w:ascii="宋体" w:hAnsi="宋体" w:cs="宋体" w:eastAsia="宋体" w:hint="default"/>
        </w:rPr>
        <w:t>DRGs</w:t>
      </w:r>
      <w:r>
        <w:rPr>
          <w:rFonts w:ascii="宋体" w:hAnsi="宋体" w:cs="宋体" w:eastAsia="宋体" w:hint="default"/>
          <w:spacing w:val="-42"/>
        </w:rPr>
        <w:t> </w:t>
      </w:r>
      <w:r>
        <w:rPr/>
        <w:t>分组对</w:t>
      </w:r>
      <w:r>
        <w:rPr>
          <w:spacing w:val="-46"/>
        </w:rPr>
        <w:t> </w:t>
      </w:r>
      <w:r>
        <w:rPr>
          <w:rFonts w:ascii="宋体" w:hAnsi="宋体" w:cs="宋体" w:eastAsia="宋体" w:hint="default"/>
        </w:rPr>
        <w:t>A</w:t>
      </w:r>
      <w:r>
        <w:rPr>
          <w:rFonts w:ascii="宋体" w:hAnsi="宋体" w:cs="宋体" w:eastAsia="宋体" w:hint="default"/>
          <w:spacing w:val="-42"/>
        </w:rPr>
        <w:t> </w:t>
      </w:r>
      <w:r>
        <w:rPr/>
        <w:t>类医院的病种分值进行调整，在保证基金分配公平的前提下，引导患者有序就医，全面推进分级诊疗制 度的有效落地。</w:t>
      </w:r>
      <w:r>
        <w:rPr>
          <w:rFonts w:ascii="宋体" w:hAnsi="宋体" w:cs="宋体" w:eastAsia="宋体" w:hint="default"/>
        </w:rPr>
        <w:t> </w:t>
      </w:r>
    </w:p>
    <w:p>
      <w:pPr>
        <w:pStyle w:val="BodyText"/>
        <w:spacing w:line="468" w:lineRule="exact" w:before="11"/>
        <w:ind w:left="572" w:right="1484"/>
        <w:jc w:val="left"/>
        <w:rPr>
          <w:rFonts w:ascii="宋体" w:hAnsi="宋体" w:cs="宋体" w:eastAsia="宋体" w:hint="default"/>
        </w:rPr>
      </w:pPr>
      <w:r>
        <w:rPr>
          <w:rFonts w:ascii="宋体" w:hAnsi="宋体" w:cs="宋体" w:eastAsia="宋体" w:hint="default"/>
          <w:b/>
          <w:bCs/>
        </w:rPr>
        <w:t>金融软件</w:t>
      </w:r>
      <w:r>
        <w:rPr>
          <w:rFonts w:ascii="宋体" w:hAnsi="宋体" w:cs="宋体" w:eastAsia="宋体" w:hint="default"/>
          <w:b/>
          <w:bCs/>
          <w:w w:val="99"/>
        </w:rPr>
        <w:t> </w:t>
      </w:r>
      <w:r>
        <w:rPr/>
        <w:t>公司依托在金融行业所积累的丰富经验和技术优势，不断完善其解决方案，继续加大软件产品开发力度。</w:t>
      </w:r>
      <w:r>
        <w:rPr>
          <w:rFonts w:ascii="宋体" w:hAnsi="宋体" w:cs="宋体" w:eastAsia="宋体" w:hint="default"/>
        </w:rPr>
        <w:t> </w:t>
      </w:r>
    </w:p>
    <w:p>
      <w:pPr>
        <w:pStyle w:val="BodyText"/>
        <w:spacing w:line="316" w:lineRule="auto" w:before="8"/>
        <w:ind w:right="1080" w:firstLine="419"/>
        <w:jc w:val="both"/>
        <w:rPr>
          <w:rFonts w:ascii="宋体" w:hAnsi="宋体" w:cs="宋体" w:eastAsia="宋体" w:hint="default"/>
        </w:rPr>
      </w:pPr>
      <w:r>
        <w:rPr>
          <w:spacing w:val="-2"/>
        </w:rPr>
        <w:t>在互联网金融领域，“银企汇”围绕数字化场景营销的定位，结合在金融行业的丰富实践经验，重点打造“一核三端”</w:t>
      </w:r>
      <w:r>
        <w:rPr/>
        <w:t> </w:t>
      </w:r>
      <w:r>
        <w:rPr>
          <w:spacing w:val="-2"/>
        </w:rPr>
        <w:t>的产品体系、大数据一站式精准营销服务。公司持续深耕金融智汇平台、移动营业厅、移动银行家、盈客平台四大产品，助</w:t>
      </w:r>
      <w:r>
        <w:rPr>
          <w:spacing w:val="-70"/>
        </w:rPr>
        <w:t> </w:t>
      </w:r>
      <w:r>
        <w:rPr>
          <w:spacing w:val="-70"/>
        </w:rPr>
      </w:r>
      <w:r>
        <w:rPr/>
        <w:t>力银行打造客户蓄水池，解决低成本批量获客难、金融产品创新难、金融产品转化低和品牌影响力弱等难题。</w:t>
      </w:r>
      <w:r>
        <w:rPr>
          <w:rFonts w:ascii="宋体" w:hAnsi="宋体" w:cs="宋体" w:eastAsia="宋体" w:hint="default"/>
        </w:rPr>
        <w:t> </w:t>
      </w:r>
    </w:p>
    <w:p>
      <w:pPr>
        <w:pStyle w:val="BodyText"/>
        <w:spacing w:line="316" w:lineRule="auto" w:before="18"/>
        <w:ind w:right="1135" w:firstLine="419"/>
        <w:jc w:val="both"/>
        <w:rPr>
          <w:rFonts w:ascii="宋体" w:hAnsi="宋体" w:cs="宋体" w:eastAsia="宋体" w:hint="default"/>
        </w:rPr>
      </w:pPr>
      <w:r>
        <w:rPr/>
        <w:t>在金融信贷领域，公司将移动互联、大数据、人工智能等前沿技术深入融合到小微业务办理流程中，研发出线上自助 </w:t>
      </w:r>
      <w:r>
        <w:rPr>
          <w:spacing w:val="-2"/>
        </w:rPr>
        <w:t>贷款产品、与助贷机构合作的信贷产品、移动勘查平台，助力银行拓展获客渠道、有效控制风险、增强盈利能力与核心竞争</w:t>
      </w:r>
      <w:r>
        <w:rPr>
          <w:spacing w:val="-67"/>
        </w:rPr>
        <w:t> </w:t>
      </w:r>
      <w:r>
        <w:rPr>
          <w:spacing w:val="-67"/>
        </w:rPr>
      </w:r>
      <w:r>
        <w:rPr/>
        <w:t>力。</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27" w:firstLine="419"/>
        <w:jc w:val="left"/>
        <w:rPr>
          <w:rFonts w:ascii="宋体" w:hAnsi="宋体" w:cs="宋体" w:eastAsia="宋体" w:hint="default"/>
        </w:rPr>
      </w:pPr>
      <w:r>
        <w:rPr>
          <w:spacing w:val="-1"/>
        </w:rPr>
        <w:t>在融资租赁领域，公司通过与大数据平台及人工智能平台的对接，有效结合新兴技术，实现信息自动获取、风险管控、</w:t>
      </w:r>
      <w:r>
        <w:rPr/>
        <w:t> </w:t>
      </w:r>
      <w:r>
        <w:rPr>
          <w:spacing w:val="-4"/>
        </w:rPr>
        <w:t>反欺诈智能预警等。公司自主研发规则引擎平台，将大数据云风控及各类反欺诈手段进行结合，搭建自动化的风险评估模型，</w:t>
      </w:r>
      <w:r>
        <w:rPr>
          <w:spacing w:val="-44"/>
        </w:rPr>
        <w:t> </w:t>
      </w:r>
      <w:r>
        <w:rPr>
          <w:spacing w:val="-44"/>
        </w:rPr>
      </w:r>
      <w:r>
        <w:rPr>
          <w:spacing w:val="-2"/>
        </w:rPr>
        <w:t>将系统向智能化靠拢。公司已拥有融资租赁、综合信贷、汽车厂商金融、保理、供应链金融、简版租赁等多个业务系统，推</w:t>
      </w:r>
      <w:r>
        <w:rPr>
          <w:spacing w:val="-66"/>
        </w:rPr>
        <w:t> </w:t>
      </w:r>
      <w:r>
        <w:rPr>
          <w:spacing w:val="-66"/>
        </w:rPr>
      </w:r>
      <w:r>
        <w:rPr/>
        <w:t>出了移动产品钉钉端、微信端、车版本</w:t>
      </w:r>
      <w:r>
        <w:rPr>
          <w:spacing w:val="-66"/>
        </w:rPr>
        <w:t> </w:t>
      </w:r>
      <w:r>
        <w:rPr>
          <w:rFonts w:ascii="宋体" w:hAnsi="宋体" w:cs="宋体" w:eastAsia="宋体" w:hint="default"/>
        </w:rPr>
        <w:t>C</w:t>
      </w:r>
      <w:r>
        <w:rPr>
          <w:rFonts w:ascii="宋体" w:hAnsi="宋体" w:cs="宋体" w:eastAsia="宋体" w:hint="default"/>
          <w:spacing w:val="-65"/>
        </w:rPr>
        <w:t> </w:t>
      </w:r>
      <w:r>
        <w:rPr/>
        <w:t>端、租赁内部办公等多款成熟应用软件，并在苏宁租赁、北京金隅、厦门金圆、鹏 </w:t>
      </w:r>
      <w:r>
        <w:rPr>
          <w:spacing w:val="-2"/>
        </w:rPr>
        <w:t>润金服（国美金融）、宝沃汽车、北汽福田、上汽红岩、宇通客车、海尔租赁等融资租赁项目上线运行。</w:t>
      </w:r>
      <w:r>
        <w:rPr>
          <w:rFonts w:ascii="宋体" w:hAnsi="宋体" w:cs="宋体" w:eastAsia="宋体" w:hint="default"/>
          <w:spacing w:val="-2"/>
        </w:rPr>
        <w:t> </w:t>
      </w:r>
    </w:p>
    <w:p>
      <w:pPr>
        <w:pStyle w:val="BodyText"/>
        <w:spacing w:line="316" w:lineRule="auto" w:before="18"/>
        <w:ind w:right="1128" w:firstLine="419"/>
        <w:jc w:val="both"/>
        <w:rPr>
          <w:rFonts w:ascii="宋体" w:hAnsi="宋体" w:cs="宋体" w:eastAsia="宋体" w:hint="default"/>
        </w:rPr>
      </w:pPr>
      <w:r>
        <w:rPr/>
        <w:t>在云托管领域，全资子公司东华金云携手腾讯云深度合作，借助腾讯大数据和生态资源，利用</w:t>
      </w:r>
      <w:r>
        <w:rPr>
          <w:spacing w:val="-68"/>
        </w:rPr>
        <w:t> </w:t>
      </w:r>
      <w:r>
        <w:rPr>
          <w:rFonts w:ascii="宋体" w:hAnsi="宋体" w:cs="宋体" w:eastAsia="宋体" w:hint="default"/>
        </w:rPr>
        <w:t>AI</w:t>
      </w:r>
      <w:r>
        <w:rPr>
          <w:rFonts w:ascii="宋体" w:hAnsi="宋体" w:cs="宋体" w:eastAsia="宋体" w:hint="default"/>
          <w:spacing w:val="-67"/>
        </w:rPr>
        <w:t> </w:t>
      </w:r>
      <w:r>
        <w:rPr/>
        <w:t>技术、金融大数据全 </w:t>
      </w:r>
      <w:r>
        <w:rPr>
          <w:spacing w:val="-2"/>
        </w:rPr>
        <w:t>面提升精准定位营销和精细运营运维的能力，已助力多家村镇银行完成互联网金融在线营销渠道及智能设备交易渠道的多重</w:t>
      </w:r>
      <w:r>
        <w:rPr>
          <w:spacing w:val="-64"/>
        </w:rPr>
        <w:t> </w:t>
      </w:r>
      <w:r>
        <w:rPr>
          <w:spacing w:val="-64"/>
        </w:rPr>
      </w:r>
      <w:r>
        <w:rPr>
          <w:spacing w:val="-2"/>
        </w:rPr>
        <w:t>整合，实现传统网点无纸化、无柜台化智能办理、</w:t>
      </w:r>
      <w:r>
        <w:rPr>
          <w:rFonts w:ascii="宋体" w:hAnsi="宋体" w:cs="宋体" w:eastAsia="宋体" w:hint="default"/>
          <w:spacing w:val="-2"/>
        </w:rPr>
        <w:t>FTP</w:t>
      </w:r>
      <w:r>
        <w:rPr>
          <w:rFonts w:ascii="宋体" w:hAnsi="宋体" w:cs="宋体" w:eastAsia="宋体" w:hint="default"/>
          <w:spacing w:val="-19"/>
        </w:rPr>
        <w:t> </w:t>
      </w:r>
      <w:r>
        <w:rPr>
          <w:spacing w:val="-1"/>
        </w:rPr>
        <w:t>风险防范等，营造线上旗舰店和线下体验区有机结合的智能化零售银</w:t>
      </w:r>
      <w:r>
        <w:rPr>
          <w:spacing w:val="-80"/>
        </w:rPr>
        <w:t> </w:t>
      </w:r>
      <w:r>
        <w:rPr>
          <w:spacing w:val="-80"/>
        </w:rPr>
      </w:r>
      <w:r>
        <w:rPr/>
        <w:t>行服务新模式。</w:t>
      </w:r>
      <w:r>
        <w:rPr>
          <w:rFonts w:ascii="宋体" w:hAnsi="宋体" w:cs="宋体" w:eastAsia="宋体" w:hint="default"/>
        </w:rPr>
        <w:t> </w:t>
      </w:r>
    </w:p>
    <w:p>
      <w:pPr>
        <w:pStyle w:val="BodyText"/>
        <w:spacing w:line="316" w:lineRule="auto" w:before="18"/>
        <w:ind w:right="1130" w:firstLine="419"/>
        <w:jc w:val="both"/>
        <w:rPr>
          <w:rFonts w:ascii="宋体" w:hAnsi="宋体" w:cs="宋体" w:eastAsia="宋体" w:hint="default"/>
        </w:rPr>
      </w:pPr>
      <w:r>
        <w:rPr/>
        <w:t>在征信与反洗钱领域，公司成功研发出基于区块链和大数据技术的地方征信系统，对接央行二代征信系统的东华二代 </w:t>
      </w:r>
      <w:r>
        <w:rPr>
          <w:spacing w:val="-2"/>
        </w:rPr>
        <w:t>征信报数系统、东华二代征信查询系统，对接百行征信公司的东华百行征信接口系统。先后中标中国农业发展银行、北京银</w:t>
      </w:r>
      <w:r>
        <w:rPr>
          <w:spacing w:val="-65"/>
        </w:rPr>
        <w:t> </w:t>
      </w:r>
      <w:r>
        <w:rPr>
          <w:spacing w:val="-65"/>
        </w:rPr>
      </w:r>
      <w:r>
        <w:rPr/>
        <w:t>行、重庆银行、宝马汽车金融公司、长安汽车金融公司、中银消费金融公司、苏宁消费金融公司等</w:t>
      </w:r>
      <w:r>
        <w:rPr>
          <w:spacing w:val="-42"/>
        </w:rPr>
        <w:t> </w:t>
      </w:r>
      <w:r>
        <w:rPr>
          <w:rFonts w:ascii="宋体" w:hAnsi="宋体" w:cs="宋体" w:eastAsia="宋体" w:hint="default"/>
        </w:rPr>
        <w:t>30</w:t>
      </w:r>
      <w:r>
        <w:rPr>
          <w:rFonts w:ascii="宋体" w:hAnsi="宋体" w:cs="宋体" w:eastAsia="宋体" w:hint="default"/>
          <w:spacing w:val="-41"/>
        </w:rPr>
        <w:t> </w:t>
      </w:r>
      <w:r>
        <w:rPr/>
        <w:t>多家金融机构的二代 征信报数系统、二代征信查询系统。</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水利软件</w:t>
      </w:r>
      <w:r>
        <w:rPr>
          <w:rFonts w:ascii="宋体" w:hAnsi="宋体" w:cs="宋体" w:eastAsia="宋体" w:hint="default"/>
          <w:b/>
          <w:bCs/>
          <w:w w:val="99"/>
        </w:rPr>
        <w:t> </w:t>
      </w:r>
      <w:r>
        <w:rPr/>
        <w:t>报告期内，公司拥有水利专业和水利通用两大类软件产品。此外，公司通过积极主动汲取互联网思维，不断学习和应</w:t>
      </w:r>
    </w:p>
    <w:p>
      <w:pPr>
        <w:pStyle w:val="BodyText"/>
        <w:spacing w:line="316" w:lineRule="auto" w:before="8"/>
        <w:ind w:right="1130"/>
        <w:jc w:val="both"/>
        <w:rPr>
          <w:rFonts w:ascii="宋体" w:hAnsi="宋体" w:cs="宋体" w:eastAsia="宋体" w:hint="default"/>
        </w:rPr>
      </w:pPr>
      <w:r>
        <w:rPr>
          <w:spacing w:val="-2"/>
        </w:rPr>
        <w:t>用物联网、大数据、人工智能、水利专业模型等前沿技术，本着安全实用的基本原则展开深入研究，已形成并完善多个具有</w:t>
      </w:r>
      <w:r>
        <w:rPr>
          <w:spacing w:val="-67"/>
        </w:rPr>
        <w:t> </w:t>
      </w:r>
      <w:r>
        <w:rPr>
          <w:spacing w:val="-67"/>
        </w:rPr>
      </w:r>
      <w:r>
        <w:rPr>
          <w:spacing w:val="-2"/>
        </w:rPr>
        <w:t>完全自主产权的智慧水利软件产品系列，实现行业内的应用落地。此外，公司水利业务领域涵盖了大数据水资源管理、农村</w:t>
      </w:r>
      <w:r>
        <w:rPr>
          <w:spacing w:val="-64"/>
        </w:rPr>
        <w:t> </w:t>
      </w:r>
      <w:r>
        <w:rPr>
          <w:spacing w:val="-64"/>
        </w:rPr>
      </w:r>
      <w:r>
        <w:rPr>
          <w:spacing w:val="-2"/>
        </w:rPr>
        <w:t>水利、城乡供水、防汛抗旱等多个软件系列，应用范围包括河湖监管、灌区管理、地下水监管治理、水利信息化资源整合等</w:t>
      </w:r>
      <w:r>
        <w:rPr>
          <w:spacing w:val="-68"/>
        </w:rPr>
        <w:t> </w:t>
      </w:r>
      <w:r>
        <w:rPr>
          <w:spacing w:val="-68"/>
        </w:rPr>
      </w:r>
      <w:r>
        <w:rPr/>
        <w:t>多各领域。</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公安军警</w:t>
      </w:r>
      <w:r>
        <w:rPr>
          <w:rFonts w:ascii="宋体" w:hAnsi="宋体" w:cs="宋体" w:eastAsia="宋体" w:hint="default"/>
          <w:b/>
          <w:bCs/>
          <w:w w:val="99"/>
        </w:rPr>
        <w:t> </w:t>
      </w:r>
      <w:r>
        <w:rPr/>
        <w:t>在智慧警务方面，公司依托人工智能、移动互联网和大数据技术，不断完善公安行业应用产品和系统解决方案，增强</w:t>
      </w:r>
    </w:p>
    <w:p>
      <w:pPr>
        <w:pStyle w:val="BodyText"/>
        <w:spacing w:line="316" w:lineRule="auto" w:before="8"/>
        <w:ind w:right="1035"/>
        <w:jc w:val="left"/>
        <w:rPr>
          <w:rFonts w:ascii="宋体" w:hAnsi="宋体" w:cs="宋体" w:eastAsia="宋体" w:hint="default"/>
        </w:rPr>
      </w:pPr>
      <w:r>
        <w:rPr>
          <w:spacing w:val="-2"/>
        </w:rPr>
        <w:t>在公安大数据平台、公安大数据工具类应用和专业警种应用、图像大数据应用平台和公共视频联网建设方案的研发力度。报</w:t>
      </w:r>
      <w:r>
        <w:rPr>
          <w:spacing w:val="-63"/>
        </w:rPr>
        <w:t> </w:t>
      </w:r>
      <w:r>
        <w:rPr>
          <w:spacing w:val="-63"/>
        </w:rPr>
      </w:r>
      <w:r>
        <w:rPr>
          <w:spacing w:val="-2"/>
        </w:rPr>
        <w:t>告期内，公司成功开发警务督察、人脸识别、重点人员管控等大数据平台，并上线大数据模型集成、超级信息搜索、车辆大</w:t>
      </w:r>
      <w:r>
        <w:rPr>
          <w:spacing w:val="-68"/>
        </w:rPr>
        <w:t> </w:t>
      </w:r>
      <w:r>
        <w:rPr>
          <w:spacing w:val="-68"/>
        </w:rPr>
      </w:r>
      <w:r>
        <w:rPr/>
        <w:t>数据分析、情报主题研判、串并案分析等多个系统。此外，公司与北京市公安局、四川省公安厅、湖北省公安厅等</w:t>
      </w:r>
      <w:r>
        <w:rPr>
          <w:spacing w:val="-42"/>
        </w:rPr>
        <w:t> </w:t>
      </w:r>
      <w:r>
        <w:rPr>
          <w:rFonts w:ascii="宋体" w:hAnsi="宋体" w:cs="宋体" w:eastAsia="宋体" w:hint="default"/>
        </w:rPr>
        <w:t>30</w:t>
      </w:r>
      <w:r>
        <w:rPr>
          <w:rFonts w:ascii="宋体" w:hAnsi="宋体" w:cs="宋体" w:eastAsia="宋体" w:hint="default"/>
          <w:spacing w:val="-41"/>
        </w:rPr>
        <w:t> </w:t>
      </w:r>
      <w:r>
        <w:rPr/>
        <w:t>多个 </w:t>
      </w:r>
      <w:r>
        <w:rPr>
          <w:spacing w:val="-2"/>
        </w:rPr>
        <w:t>客户针对各项实战和服务进行合作，继续推进警务大数据、人脸大数据应用平台、警务云的实战应用，成功完成项目总金额</w:t>
      </w:r>
      <w:r>
        <w:rPr>
          <w:spacing w:val="-64"/>
        </w:rPr>
        <w:t> </w:t>
      </w:r>
      <w:r>
        <w:rPr>
          <w:spacing w:val="-64"/>
        </w:rPr>
      </w:r>
      <w:r>
        <w:rPr/>
        <w:t>为</w:t>
      </w:r>
      <w:r>
        <w:rPr>
          <w:spacing w:val="-32"/>
        </w:rPr>
        <w:t> </w:t>
      </w:r>
      <w:r>
        <w:rPr>
          <w:rFonts w:ascii="宋体" w:hAnsi="宋体" w:cs="宋体" w:eastAsia="宋体" w:hint="default"/>
        </w:rPr>
        <w:t>1.7</w:t>
      </w:r>
      <w:r>
        <w:rPr>
          <w:rFonts w:ascii="宋体" w:hAnsi="宋体" w:cs="宋体" w:eastAsia="宋体" w:hint="default"/>
          <w:spacing w:val="-31"/>
        </w:rPr>
        <w:t> </w:t>
      </w:r>
      <w:r>
        <w:rPr>
          <w:spacing w:val="-4"/>
        </w:rPr>
        <w:t>亿的陕西省公安厅三秦警务云建设项目一期的实施和验收。同时，公司积极推进校企横向合作，与中国人民公安大学、</w:t>
      </w:r>
      <w:r>
        <w:rPr>
          <w:spacing w:val="-87"/>
        </w:rPr>
        <w:t> </w:t>
      </w:r>
      <w:r>
        <w:rPr>
          <w:spacing w:val="-87"/>
        </w:rPr>
      </w:r>
      <w:r>
        <w:rPr>
          <w:spacing w:val="-2"/>
        </w:rPr>
        <w:t>天津大学、北京大学等深入合作，并在大数据智能分析模型、行为和特征预测预警、视频图像处理和分析等课题研究方面取</w:t>
      </w:r>
      <w:r>
        <w:rPr>
          <w:spacing w:val="-64"/>
        </w:rPr>
        <w:t> </w:t>
      </w:r>
      <w:r>
        <w:rPr>
          <w:spacing w:val="-64"/>
        </w:rPr>
      </w:r>
      <w:r>
        <w:rPr/>
        <w:t>得了良好成果。</w:t>
      </w:r>
      <w:r>
        <w:rPr>
          <w:rFonts w:ascii="宋体" w:hAnsi="宋体" w:cs="宋体" w:eastAsia="宋体" w:hint="default"/>
        </w:rPr>
        <w:t> </w:t>
      </w:r>
    </w:p>
    <w:p>
      <w:pPr>
        <w:pStyle w:val="BodyText"/>
        <w:spacing w:line="316" w:lineRule="auto" w:before="18"/>
        <w:ind w:right="1027" w:firstLine="419"/>
        <w:jc w:val="left"/>
        <w:rPr>
          <w:rFonts w:ascii="宋体" w:hAnsi="宋体" w:cs="宋体" w:eastAsia="宋体" w:hint="default"/>
        </w:rPr>
      </w:pPr>
      <w:r>
        <w:rPr>
          <w:spacing w:val="-1"/>
        </w:rPr>
        <w:t>在军械装备管理方面，公司持续投入专业力量和资金，研发用于枪弹管控系统、专用综合信息设备、枪弹库室控制器、</w:t>
      </w:r>
      <w:r>
        <w:rPr/>
        <w:t> </w:t>
      </w:r>
      <w:r>
        <w:rPr>
          <w:spacing w:val="-2"/>
        </w:rPr>
        <w:t>智能枪弹柜等。报告期内，公司自主研发出用于军警基层单位的枪弹管控系统以及用于军警管理机关的三级信息化管理平台</w:t>
      </w:r>
      <w:r>
        <w:rPr>
          <w:spacing w:val="-64"/>
        </w:rPr>
        <w:t> </w:t>
      </w:r>
      <w:r>
        <w:rPr>
          <w:spacing w:val="-64"/>
        </w:rPr>
      </w:r>
      <w:r>
        <w:rPr>
          <w:spacing w:val="-2"/>
        </w:rPr>
        <w:t>及人机交互系统、节点服务器等软硬件设备，推出了智能库室管理软件、智能枪柜控制器及枪弹管控后台软件、智能枪弹定</w:t>
      </w:r>
      <w:r>
        <w:rPr>
          <w:spacing w:val="-65"/>
        </w:rPr>
        <w:t> </w:t>
      </w:r>
      <w:r>
        <w:rPr>
          <w:spacing w:val="-65"/>
        </w:rPr>
      </w:r>
      <w:r>
        <w:rPr>
          <w:spacing w:val="-2"/>
        </w:rPr>
        <w:t>位管理软件、人机交互系统客户端软件等多款产品，协助基层部队和各军兵种领导机关实施高效安全的日常管理、统筹和决</w:t>
      </w:r>
      <w:r>
        <w:rPr>
          <w:spacing w:val="-63"/>
        </w:rPr>
        <w:t> </w:t>
      </w:r>
      <w:r>
        <w:rPr>
          <w:spacing w:val="-63"/>
        </w:rPr>
      </w:r>
      <w:r>
        <w:rPr>
          <w:spacing w:val="-2"/>
        </w:rPr>
        <w:t>策。公司积极开拓公安行业市场，挖掘潜在客户，大力推广公安领域基于枪弹分级管理、静动管理、安全管理的智能枪弹管</w:t>
      </w:r>
      <w:r>
        <w:rPr>
          <w:spacing w:val="-67"/>
        </w:rPr>
        <w:t> </w:t>
      </w:r>
      <w:r>
        <w:rPr>
          <w:spacing w:val="-67"/>
        </w:rPr>
      </w:r>
      <w:r>
        <w:rPr/>
        <w:t>控系统。</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5"/>
        <w:spacing w:line="240" w:lineRule="auto"/>
        <w:ind w:left="572" w:right="986"/>
        <w:jc w:val="left"/>
        <w:rPr>
          <w:rFonts w:ascii="宋体" w:hAnsi="宋体" w:cs="宋体" w:eastAsia="宋体" w:hint="default"/>
          <w:b w:val="0"/>
          <w:bCs w:val="0"/>
        </w:rPr>
      </w:pPr>
      <w:r>
        <w:rPr/>
        <w:t>东华网智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3" w:firstLine="419"/>
        <w:jc w:val="both"/>
        <w:rPr>
          <w:rFonts w:ascii="宋体" w:hAnsi="宋体" w:cs="宋体" w:eastAsia="宋体" w:hint="default"/>
        </w:rPr>
      </w:pPr>
      <w:r>
        <w:rPr/>
        <w:t>东华网智深耕用户需求，在稳步推进运维与监控产品优化升级的同时，加大</w:t>
      </w:r>
      <w:r>
        <w:rPr>
          <w:spacing w:val="25"/>
        </w:rPr>
        <w:t> </w:t>
      </w:r>
      <w:r>
        <w:rPr>
          <w:rFonts w:ascii="宋体" w:hAnsi="宋体" w:cs="宋体" w:eastAsia="宋体" w:hint="default"/>
        </w:rPr>
        <w:t>AIOps</w:t>
      </w:r>
      <w:r>
        <w:rPr/>
        <w:t>（智能运维）研发线路投入，实现 </w:t>
      </w:r>
      <w:r>
        <w:rPr>
          <w:spacing w:val="-2"/>
        </w:rPr>
        <w:t>在监控上基于大数据的动态阀值自学习和生成，发展基于用户训练、事件时域关联分析、典型故障自动推断的警告智能分析</w:t>
      </w:r>
      <w:r>
        <w:rPr>
          <w:spacing w:val="-65"/>
        </w:rPr>
        <w:t> </w:t>
      </w:r>
      <w:r>
        <w:rPr>
          <w:spacing w:val="-65"/>
        </w:rPr>
      </w:r>
      <w:r>
        <w:rPr/>
        <w:t>技术，为客户提供灵活可控、防误操作的运维自动化服务。</w:t>
      </w:r>
      <w:r>
        <w:rPr>
          <w:rFonts w:ascii="宋体" w:hAnsi="宋体" w:cs="宋体" w:eastAsia="宋体" w:hint="default"/>
        </w:rPr>
        <w:t> </w:t>
      </w:r>
    </w:p>
    <w:p>
      <w:pPr>
        <w:pStyle w:val="BodyText"/>
        <w:spacing w:line="316" w:lineRule="auto" w:before="18"/>
        <w:ind w:right="1133" w:firstLine="419"/>
        <w:jc w:val="both"/>
        <w:rPr>
          <w:rFonts w:ascii="宋体" w:hAnsi="宋体" w:cs="宋体" w:eastAsia="宋体" w:hint="default"/>
        </w:rPr>
      </w:pPr>
      <w:r>
        <w:rPr/>
        <w:t>在网络流量分析方面，东华网智依托国家地方联合工程实验室、云计算环境下网络流量分析与控制工程实验室，结合 </w:t>
      </w:r>
      <w:r>
        <w:rPr>
          <w:rFonts w:ascii="宋体" w:hAnsi="宋体" w:cs="宋体" w:eastAsia="宋体" w:hint="default"/>
        </w:rPr>
        <w:t>SDN/NFV</w:t>
      </w:r>
      <w:r>
        <w:rPr>
          <w:rFonts w:ascii="宋体" w:hAnsi="宋体" w:cs="宋体" w:eastAsia="宋体" w:hint="default"/>
          <w:spacing w:val="-59"/>
        </w:rPr>
        <w:t> </w:t>
      </w:r>
      <w:r>
        <w:rPr/>
        <w:t>等技术开发了适应于云环境下的流量分析与调度控制算法。此外，东华网智还初步实现</w:t>
      </w:r>
      <w:r>
        <w:rPr>
          <w:spacing w:val="-60"/>
        </w:rPr>
        <w:t> </w:t>
      </w:r>
      <w:r>
        <w:rPr>
          <w:rFonts w:ascii="宋体" w:hAnsi="宋体" w:cs="宋体" w:eastAsia="宋体" w:hint="default"/>
        </w:rPr>
        <w:t>ChatOps</w:t>
      </w:r>
      <w:r>
        <w:rPr>
          <w:rFonts w:ascii="宋体" w:hAnsi="宋体" w:cs="宋体" w:eastAsia="宋体" w:hint="default"/>
          <w:spacing w:val="-59"/>
        </w:rPr>
        <w:t> </w:t>
      </w:r>
      <w:r>
        <w:rPr/>
        <w:t>与智能语音的技术 结合，研发了可在网络传输系统中广泛应用的网络质量测量系统，推出了金融、医疗、公安等行业专版和行业解决方案。</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Heading5"/>
        <w:spacing w:line="477" w:lineRule="auto" w:before="44"/>
        <w:ind w:left="572" w:right="7694"/>
        <w:jc w:val="left"/>
        <w:rPr>
          <w:rFonts w:ascii="宋体" w:hAnsi="宋体" w:cs="宋体" w:eastAsia="宋体" w:hint="default"/>
          <w:b w:val="0"/>
          <w:bCs w:val="0"/>
        </w:rPr>
      </w:pPr>
      <w:r>
        <w:rPr/>
        <w:t>（</w:t>
      </w:r>
      <w:r>
        <w:rPr>
          <w:rFonts w:ascii="宋体" w:hAnsi="宋体" w:cs="宋体" w:eastAsia="宋体" w:hint="default"/>
        </w:rPr>
        <w:t>3</w:t>
      </w:r>
      <w:r>
        <w:rPr/>
        <w:t>）主要子公司发展情况</w:t>
      </w:r>
      <w:r>
        <w:rPr>
          <w:rFonts w:ascii="宋体" w:hAnsi="宋体" w:cs="宋体" w:eastAsia="宋体" w:hint="default"/>
          <w:w w:val="99"/>
        </w:rPr>
        <w:t> </w:t>
      </w:r>
      <w:r>
        <w:rPr/>
        <w:t>神州新桥</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54"/>
        <w:ind w:right="986" w:firstLine="419"/>
        <w:jc w:val="left"/>
        <w:rPr>
          <w:rFonts w:ascii="宋体" w:hAnsi="宋体" w:cs="宋体" w:eastAsia="宋体" w:hint="default"/>
        </w:rPr>
      </w:pPr>
      <w:r>
        <w:rPr/>
        <w:t>北京神州新桥科技有限公司作为国内少数具备“一站式”需求实现能力的综合性信息系统解决方案提供商之一，主营 业务集中于为金融、证券、电信等大中型企事业单位机构，涉及机房环境、</w:t>
      </w:r>
      <w:r>
        <w:rPr>
          <w:rFonts w:ascii="宋体" w:hAnsi="宋体" w:cs="宋体" w:eastAsia="宋体" w:hint="default"/>
        </w:rPr>
        <w:t>IT </w:t>
      </w:r>
      <w:r>
        <w:rPr/>
        <w:t>基础设施、安防监控、建筑智能化、应用软</w:t>
      </w:r>
      <w:r>
        <w:rPr>
          <w:spacing w:val="-85"/>
        </w:rPr>
        <w:t> </w:t>
      </w:r>
      <w:r>
        <w:rPr>
          <w:spacing w:val="-85"/>
        </w:rPr>
      </w:r>
      <w:r>
        <w:rPr>
          <w:spacing w:val="-4"/>
        </w:rPr>
        <w:t>件中的管理支撑类软件集成和开发、业务运营类应用软件、云平台监控运维平台的开发及运营、人员外包等业务。报告期内，</w:t>
      </w:r>
      <w:r>
        <w:rPr>
          <w:spacing w:val="-46"/>
        </w:rPr>
        <w:t> </w:t>
      </w:r>
      <w:r>
        <w:rPr>
          <w:spacing w:val="-46"/>
        </w:rPr>
      </w:r>
      <w:r>
        <w:rPr/>
        <w:t>神州新桥创新求变，经营管理水平继续提升，市场占有率稳步增加。</w:t>
      </w:r>
      <w:r>
        <w:rPr>
          <w:rFonts w:ascii="宋体" w:hAnsi="宋体" w:cs="宋体" w:eastAsia="宋体" w:hint="default"/>
        </w:rPr>
        <w:t> </w:t>
      </w:r>
    </w:p>
    <w:p>
      <w:pPr>
        <w:pStyle w:val="BodyText"/>
        <w:spacing w:line="316" w:lineRule="auto" w:before="18"/>
        <w:ind w:right="1133" w:firstLine="419"/>
        <w:jc w:val="both"/>
        <w:rPr>
          <w:rFonts w:ascii="宋体" w:hAnsi="宋体" w:cs="宋体" w:eastAsia="宋体" w:hint="default"/>
        </w:rPr>
      </w:pPr>
      <w:r>
        <w:rPr/>
        <w:t>报告期内，神州新桥的技术研发方面取得重大进步。在数据中心</w:t>
      </w:r>
      <w:r>
        <w:rPr>
          <w:spacing w:val="-70"/>
        </w:rPr>
        <w:t> </w:t>
      </w:r>
      <w:r>
        <w:rPr>
          <w:rFonts w:ascii="宋体" w:hAnsi="宋体" w:cs="宋体" w:eastAsia="宋体" w:hint="default"/>
        </w:rPr>
        <w:t>IPv6</w:t>
      </w:r>
      <w:r>
        <w:rPr>
          <w:rFonts w:ascii="宋体" w:hAnsi="宋体" w:cs="宋体" w:eastAsia="宋体" w:hint="default"/>
          <w:spacing w:val="-70"/>
        </w:rPr>
        <w:t> </w:t>
      </w:r>
      <w:r>
        <w:rPr/>
        <w:t>技术改造方面，神州新桥已具备承接大型数据中 心全业务</w:t>
      </w:r>
      <w:r>
        <w:rPr>
          <w:spacing w:val="-44"/>
        </w:rPr>
        <w:t> </w:t>
      </w:r>
      <w:r>
        <w:rPr>
          <w:rFonts w:ascii="宋体" w:hAnsi="宋体" w:cs="宋体" w:eastAsia="宋体" w:hint="default"/>
        </w:rPr>
        <w:t>IPv6</w:t>
      </w:r>
      <w:r>
        <w:rPr>
          <w:rFonts w:ascii="宋体" w:hAnsi="宋体" w:cs="宋体" w:eastAsia="宋体" w:hint="default"/>
          <w:spacing w:val="-43"/>
        </w:rPr>
        <w:t> </w:t>
      </w:r>
      <w:r>
        <w:rPr/>
        <w:t>改造、全网部署、多厂商集成的能力，多次为客户设计与实施数据中心级别的改造需求。同时，在</w:t>
      </w:r>
      <w:r>
        <w:rPr>
          <w:spacing w:val="-45"/>
        </w:rPr>
        <w:t> </w:t>
      </w:r>
      <w:r>
        <w:rPr>
          <w:rFonts w:ascii="宋体" w:hAnsi="宋体" w:cs="宋体" w:eastAsia="宋体" w:hint="default"/>
        </w:rPr>
        <w:t>SDN</w:t>
      </w:r>
      <w:r>
        <w:rPr>
          <w:rFonts w:ascii="宋体" w:hAnsi="宋体" w:cs="宋体" w:eastAsia="宋体" w:hint="default"/>
          <w:spacing w:val="-43"/>
        </w:rPr>
        <w:t> </w:t>
      </w:r>
      <w:r>
        <w:rPr>
          <w:spacing w:val="-3"/>
        </w:rPr>
        <w:t>解决 </w:t>
      </w:r>
      <w:r>
        <w:rPr/>
        <w:t>方案方面，神州新桥多次参与主流厂商的 </w:t>
      </w:r>
      <w:r>
        <w:rPr>
          <w:rFonts w:ascii="宋体" w:hAnsi="宋体" w:cs="宋体" w:eastAsia="宋体" w:hint="default"/>
        </w:rPr>
        <w:t>SDN</w:t>
      </w:r>
      <w:r>
        <w:rPr>
          <w:rFonts w:ascii="宋体" w:hAnsi="宋体" w:cs="宋体" w:eastAsia="宋体" w:hint="default"/>
          <w:spacing w:val="-47"/>
        </w:rPr>
        <w:t> </w:t>
      </w:r>
      <w:r>
        <w:rPr/>
        <w:t>设计咨询与项目实施，积累了宝贵的行业资源与技术经验。</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威锐达</w:t>
      </w:r>
      <w:r>
        <w:rPr>
          <w:rFonts w:ascii="宋体" w:hAnsi="宋体" w:cs="宋体" w:eastAsia="宋体" w:hint="default"/>
          <w:b/>
          <w:bCs/>
          <w:w w:val="99"/>
        </w:rPr>
        <w:t> </w:t>
      </w:r>
      <w:r>
        <w:rPr/>
        <w:t>北京威锐达测控系统有限公司坚持“持续创新、精益求精、质量为先、用户至上”的经营理念，致力于风力发电机组</w:t>
      </w:r>
    </w:p>
    <w:p>
      <w:pPr>
        <w:pStyle w:val="BodyText"/>
        <w:spacing w:line="316" w:lineRule="auto" w:before="8"/>
        <w:ind w:right="1130"/>
        <w:jc w:val="both"/>
        <w:rPr>
          <w:rFonts w:ascii="宋体" w:hAnsi="宋体" w:cs="宋体" w:eastAsia="宋体" w:hint="default"/>
        </w:rPr>
      </w:pPr>
      <w:r>
        <w:rPr>
          <w:spacing w:val="-1"/>
        </w:rPr>
        <w:t>健康状态监测和故障诊断，自主研发的产品满足了客户的多样化需求。公司的产品包括：监测传动链的</w:t>
      </w:r>
      <w:r>
        <w:rPr>
          <w:spacing w:val="-28"/>
        </w:rPr>
        <w:t> </w:t>
      </w:r>
      <w:r>
        <w:rPr>
          <w:rFonts w:ascii="宋体" w:hAnsi="宋体" w:cs="宋体" w:eastAsia="宋体" w:hint="default"/>
          <w:spacing w:val="-2"/>
        </w:rPr>
        <w:t>WindDAU</w:t>
      </w:r>
      <w:r>
        <w:rPr>
          <w:spacing w:val="-2"/>
        </w:rPr>
        <w:t>，监测塔筒</w:t>
      </w:r>
      <w:r>
        <w:rPr>
          <w:spacing w:val="-84"/>
        </w:rPr>
        <w:t> </w:t>
      </w:r>
      <w:r>
        <w:rPr>
          <w:spacing w:val="-84"/>
        </w:rPr>
      </w:r>
      <w:r>
        <w:rPr/>
        <w:t>的晃度仪</w:t>
      </w:r>
      <w:r>
        <w:rPr>
          <w:spacing w:val="-37"/>
        </w:rPr>
        <w:t> </w:t>
      </w:r>
      <w:r>
        <w:rPr>
          <w:rFonts w:ascii="宋体" w:hAnsi="宋体" w:cs="宋体" w:eastAsia="宋体" w:hint="default"/>
        </w:rPr>
        <w:t>WindSVM</w:t>
      </w:r>
      <w:r>
        <w:rPr/>
        <w:t>，监测叶片状态的</w:t>
      </w:r>
      <w:r>
        <w:rPr>
          <w:spacing w:val="-38"/>
        </w:rPr>
        <w:t> </w:t>
      </w:r>
      <w:r>
        <w:rPr>
          <w:rFonts w:ascii="宋体" w:hAnsi="宋体" w:cs="宋体" w:eastAsia="宋体" w:hint="default"/>
        </w:rPr>
        <w:t>WindBVM</w:t>
      </w:r>
      <w:r>
        <w:rPr/>
        <w:t>，离线式监测的手持设备</w:t>
      </w:r>
      <w:r>
        <w:rPr>
          <w:spacing w:val="-38"/>
        </w:rPr>
        <w:t> </w:t>
      </w:r>
      <w:r>
        <w:rPr>
          <w:rFonts w:ascii="宋体" w:hAnsi="宋体" w:cs="宋体" w:eastAsia="宋体" w:hint="default"/>
        </w:rPr>
        <w:t>WindDAQ</w:t>
      </w:r>
      <w:r>
        <w:rPr/>
        <w:t>、便携式采集设备</w:t>
      </w:r>
      <w:r>
        <w:rPr>
          <w:spacing w:val="-38"/>
        </w:rPr>
        <w:t> </w:t>
      </w:r>
      <w:r>
        <w:rPr>
          <w:rFonts w:ascii="宋体" w:hAnsi="宋体" w:cs="宋体" w:eastAsia="宋体" w:hint="default"/>
        </w:rPr>
        <w:t>WindPro</w:t>
      </w:r>
      <w:r>
        <w:rPr>
          <w:rFonts w:ascii="宋体" w:hAnsi="宋体" w:cs="宋体" w:eastAsia="宋体" w:hint="default"/>
          <w:spacing w:val="-36"/>
        </w:rPr>
        <w:t> </w:t>
      </w:r>
      <w:r>
        <w:rPr/>
        <w:t>等风机的主要部 件及智能诊断分析平台等。</w:t>
      </w:r>
      <w:r>
        <w:rPr>
          <w:rFonts w:ascii="宋体" w:hAnsi="宋体" w:cs="宋体" w:eastAsia="宋体" w:hint="default"/>
        </w:rPr>
        <w:t> </w:t>
      </w:r>
    </w:p>
    <w:p>
      <w:pPr>
        <w:pStyle w:val="BodyText"/>
        <w:spacing w:line="316" w:lineRule="auto" w:before="18"/>
        <w:ind w:right="1031" w:firstLine="420"/>
        <w:jc w:val="left"/>
        <w:rPr>
          <w:rFonts w:ascii="宋体" w:hAnsi="宋体" w:cs="宋体" w:eastAsia="宋体" w:hint="default"/>
        </w:rPr>
      </w:pPr>
      <w:r>
        <w:rPr/>
        <w:t>在产品研发方面，威锐达在完善已有风电机组振动监测系统的同时不断研发新产品，报告期内推出了 </w:t>
      </w:r>
      <w:r>
        <w:rPr>
          <w:rFonts w:ascii="宋体" w:hAnsi="宋体" w:cs="宋体" w:eastAsia="宋体" w:hint="default"/>
        </w:rPr>
        <w:t>WindDAU-G</w:t>
      </w:r>
      <w:r>
        <w:rPr>
          <w:rFonts w:ascii="宋体" w:hAnsi="宋体" w:cs="宋体" w:eastAsia="宋体" w:hint="default"/>
          <w:spacing w:val="-57"/>
        </w:rPr>
        <w:t> </w:t>
      </w:r>
      <w:r>
        <w:rPr>
          <w:rFonts w:ascii="宋体" w:hAnsi="宋体" w:cs="宋体" w:eastAsia="宋体" w:hint="default"/>
        </w:rPr>
        <w:t>3.5</w:t>
      </w:r>
      <w:r>
        <w:rPr/>
        <w:t>、 </w:t>
      </w:r>
      <w:r>
        <w:rPr>
          <w:rFonts w:ascii="宋体" w:hAnsi="宋体" w:cs="宋体" w:eastAsia="宋体" w:hint="default"/>
        </w:rPr>
        <w:t>WindDAU</w:t>
      </w:r>
      <w:r>
        <w:rPr>
          <w:rFonts w:ascii="宋体" w:hAnsi="宋体" w:cs="宋体" w:eastAsia="宋体" w:hint="default"/>
          <w:spacing w:val="-45"/>
        </w:rPr>
        <w:t> </w:t>
      </w:r>
      <w:r>
        <w:rPr>
          <w:rFonts w:ascii="宋体" w:hAnsi="宋体" w:cs="宋体" w:eastAsia="宋体" w:hint="default"/>
        </w:rPr>
        <w:t>Pro–G</w:t>
      </w:r>
      <w:r>
        <w:rPr>
          <w:rFonts w:ascii="宋体" w:hAnsi="宋体" w:cs="宋体" w:eastAsia="宋体" w:hint="default"/>
          <w:spacing w:val="-43"/>
        </w:rPr>
        <w:t> </w:t>
      </w:r>
      <w:r>
        <w:rPr>
          <w:rFonts w:ascii="宋体" w:hAnsi="宋体" w:cs="宋体" w:eastAsia="宋体" w:hint="default"/>
        </w:rPr>
        <w:t>3.5</w:t>
      </w:r>
      <w:r>
        <w:rPr>
          <w:rFonts w:ascii="宋体" w:hAnsi="宋体" w:cs="宋体" w:eastAsia="宋体" w:hint="default"/>
          <w:spacing w:val="-46"/>
        </w:rPr>
        <w:t> </w:t>
      </w:r>
      <w:r>
        <w:rPr/>
        <w:t>等第三代半产品以及覆盖整个塔筒监测的新塔筒监测系统</w:t>
      </w:r>
      <w:r>
        <w:rPr>
          <w:spacing w:val="-47"/>
        </w:rPr>
        <w:t> </w:t>
      </w:r>
      <w:r>
        <w:rPr>
          <w:rFonts w:ascii="宋体" w:hAnsi="宋体" w:cs="宋体" w:eastAsia="宋体" w:hint="default"/>
        </w:rPr>
        <w:t>WindTVM</w:t>
      </w:r>
      <w:r>
        <w:rPr/>
        <w:t>。此外，威锐达报告期内研制出用于 监测油液的油液监测系统的样机，用于叶片监测的</w:t>
      </w:r>
      <w:r>
        <w:rPr>
          <w:spacing w:val="-65"/>
        </w:rPr>
        <w:t> </w:t>
      </w:r>
      <w:r>
        <w:rPr>
          <w:rFonts w:ascii="宋体" w:hAnsi="宋体" w:cs="宋体" w:eastAsia="宋体" w:hint="default"/>
        </w:rPr>
        <w:t>WindBVM</w:t>
      </w:r>
      <w:r>
        <w:rPr>
          <w:rFonts w:ascii="宋体" w:hAnsi="宋体" w:cs="宋体" w:eastAsia="宋体" w:hint="default"/>
          <w:spacing w:val="-66"/>
        </w:rPr>
        <w:t> </w:t>
      </w:r>
      <w:r>
        <w:rPr/>
        <w:t>已实现批量生产与供货。在软件系统方面，威锐达陆续推出智能 诊断系统（</w:t>
      </w:r>
      <w:r>
        <w:rPr>
          <w:rFonts w:ascii="宋体" w:hAnsi="宋体" w:cs="宋体" w:eastAsia="宋体" w:hint="default"/>
        </w:rPr>
        <w:t>IDS 3.5</w:t>
      </w:r>
      <w:r>
        <w:rPr/>
        <w:t>）和</w:t>
      </w:r>
      <w:r>
        <w:rPr>
          <w:spacing w:val="-32"/>
        </w:rPr>
        <w:t> </w:t>
      </w:r>
      <w:r>
        <w:rPr>
          <w:rFonts w:ascii="宋体" w:hAnsi="宋体" w:cs="宋体" w:eastAsia="宋体" w:hint="default"/>
        </w:rPr>
        <w:t>OMS</w:t>
      </w:r>
      <w:r>
        <w:rPr>
          <w:rFonts w:ascii="宋体" w:hAnsi="宋体" w:cs="宋体" w:eastAsia="宋体" w:hint="default"/>
          <w:spacing w:val="-30"/>
        </w:rPr>
        <w:t> </w:t>
      </w:r>
      <w:r>
        <w:rPr/>
        <w:t>运行监测系统</w:t>
      </w:r>
      <w:r>
        <w:rPr>
          <w:spacing w:val="-29"/>
        </w:rPr>
        <w:t> </w:t>
      </w:r>
      <w:r>
        <w:rPr>
          <w:rFonts w:ascii="宋体" w:hAnsi="宋体" w:cs="宋体" w:eastAsia="宋体" w:hint="default"/>
        </w:rPr>
        <w:t>2.5</w:t>
      </w:r>
      <w:r>
        <w:rPr/>
        <w:t>，开展“云启”风电智能运维系统的研发。在诊断服务方面，部分技术类职 工已获得国际振动分析师四级、三级和二级证书，增强分析诊断能力，为用户提供更佳的服务。</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互联宜家</w:t>
      </w:r>
      <w:r>
        <w:rPr>
          <w:rFonts w:ascii="宋体" w:hAnsi="宋体" w:cs="宋体" w:eastAsia="宋体" w:hint="default"/>
          <w:b/>
          <w:bCs/>
          <w:w w:val="99"/>
        </w:rPr>
        <w:t> </w:t>
      </w:r>
      <w:r>
        <w:rPr/>
        <w:t>东华互联宜家数据服务有限公司面向全国广电行业，提供全面的系统集成解决方案和技术服务。在业务发展方面，互</w:t>
      </w:r>
    </w:p>
    <w:p>
      <w:pPr>
        <w:pStyle w:val="BodyText"/>
        <w:spacing w:line="316" w:lineRule="auto" w:before="8"/>
        <w:ind w:right="1133"/>
        <w:jc w:val="both"/>
        <w:rPr>
          <w:rFonts w:ascii="宋体" w:hAnsi="宋体" w:cs="宋体" w:eastAsia="宋体" w:hint="default"/>
        </w:rPr>
      </w:pPr>
      <w:r>
        <w:rPr/>
        <w:t>联宜家利用海康视频</w:t>
      </w:r>
      <w:r>
        <w:rPr>
          <w:spacing w:val="-42"/>
        </w:rPr>
        <w:t> </w:t>
      </w:r>
      <w:r>
        <w:rPr>
          <w:rFonts w:ascii="宋体" w:hAnsi="宋体" w:cs="宋体" w:eastAsia="宋体" w:hint="default"/>
        </w:rPr>
        <w:t>AI</w:t>
      </w:r>
      <w:r>
        <w:rPr>
          <w:rFonts w:ascii="宋体" w:hAnsi="宋体" w:cs="宋体" w:eastAsia="宋体" w:hint="default"/>
          <w:spacing w:val="-41"/>
        </w:rPr>
        <w:t> </w:t>
      </w:r>
      <w:r>
        <w:rPr/>
        <w:t>技术的内容智能采集和智能处理，满足用户监控扁平化、可视化的需求，结合大数据、云计算、物 联网、</w:t>
      </w:r>
      <w:r>
        <w:rPr>
          <w:rFonts w:ascii="宋体" w:hAnsi="宋体" w:cs="宋体" w:eastAsia="宋体" w:hint="default"/>
        </w:rPr>
        <w:t>VR</w:t>
      </w:r>
      <w:r>
        <w:rPr/>
        <w:t>、三维地图等新技术，为客户提供优质的服务和有效的解决方案。</w:t>
      </w:r>
      <w:r>
        <w:rPr>
          <w:rFonts w:ascii="宋体" w:hAnsi="宋体" w:cs="宋体" w:eastAsia="宋体" w:hint="default"/>
        </w:rPr>
        <w:t> </w:t>
      </w:r>
    </w:p>
    <w:p>
      <w:pPr>
        <w:pStyle w:val="BodyText"/>
        <w:spacing w:line="316" w:lineRule="auto" w:before="18"/>
        <w:ind w:right="1080" w:firstLine="419"/>
        <w:jc w:val="both"/>
        <w:rPr>
          <w:rFonts w:ascii="宋体" w:hAnsi="宋体" w:cs="宋体" w:eastAsia="宋体" w:hint="default"/>
        </w:rPr>
      </w:pPr>
      <w:r>
        <w:rPr/>
        <w:t>随着“雪亮工程</w:t>
      </w:r>
      <w:r>
        <w:rPr>
          <w:rFonts w:ascii="宋体" w:hAnsi="宋体" w:cs="宋体" w:eastAsia="宋体" w:hint="default"/>
        </w:rPr>
        <w:t>+</w:t>
      </w:r>
      <w:r>
        <w:rPr/>
        <w:t>”时代的来临，提高社会治理能力、改善民生、促进和谐成为各地基层政府的重点目标。报告期内， </w:t>
      </w:r>
      <w:r>
        <w:rPr>
          <w:spacing w:val="-2"/>
        </w:rPr>
        <w:t>互联宜家与广电集客部门展开深入合作，在贵州、天津、北京等区域成功实现了广电集客业务突破，尤其在贵州雪亮项目上</w:t>
      </w:r>
      <w:r>
        <w:rPr>
          <w:spacing w:val="-66"/>
        </w:rPr>
        <w:t> </w:t>
      </w:r>
      <w:r>
        <w:rPr>
          <w:spacing w:val="-66"/>
        </w:rPr>
      </w:r>
      <w:r>
        <w:rPr/>
        <w:t>协助贵州省政府完成了</w:t>
      </w:r>
      <w:r>
        <w:rPr>
          <w:spacing w:val="-52"/>
        </w:rPr>
        <w:t> </w:t>
      </w:r>
      <w:r>
        <w:rPr>
          <w:rFonts w:ascii="宋体" w:hAnsi="宋体" w:cs="宋体" w:eastAsia="宋体" w:hint="default"/>
        </w:rPr>
        <w:t>2018</w:t>
      </w:r>
      <w:r>
        <w:rPr>
          <w:rFonts w:ascii="宋体" w:hAnsi="宋体" w:cs="宋体" w:eastAsia="宋体" w:hint="default"/>
          <w:spacing w:val="-51"/>
        </w:rPr>
        <w:t> </w:t>
      </w:r>
      <w:r>
        <w:rPr/>
        <w:t>年雪亮项目实施</w:t>
      </w:r>
      <w:r>
        <w:rPr>
          <w:spacing w:val="-52"/>
        </w:rPr>
        <w:t> </w:t>
      </w:r>
      <w:r>
        <w:rPr>
          <w:rFonts w:ascii="宋体" w:hAnsi="宋体" w:cs="宋体" w:eastAsia="宋体" w:hint="default"/>
        </w:rPr>
        <w:t>80%</w:t>
      </w:r>
      <w:r>
        <w:rPr/>
        <w:t>完成率的重大业绩，业务覆盖贵州省遵义、毕节、铜仁等市辖超</w:t>
      </w:r>
      <w:r>
        <w:rPr>
          <w:spacing w:val="-52"/>
        </w:rPr>
        <w:t> </w:t>
      </w:r>
      <w:r>
        <w:rPr>
          <w:rFonts w:ascii="宋体" w:hAnsi="宋体" w:cs="宋体" w:eastAsia="宋体" w:hint="default"/>
        </w:rPr>
        <w:t>1700</w:t>
      </w:r>
      <w:r>
        <w:rPr>
          <w:rFonts w:ascii="宋体" w:hAnsi="宋体" w:cs="宋体" w:eastAsia="宋体" w:hint="default"/>
          <w:spacing w:val="-51"/>
        </w:rPr>
        <w:t> </w:t>
      </w:r>
      <w:r>
        <w:rPr>
          <w:spacing w:val="-3"/>
        </w:rPr>
        <w:t>个乡 </w:t>
      </w:r>
      <w:r>
        <w:rPr/>
        <w:t>镇，实现了商业收益突破。</w:t>
      </w:r>
      <w:r>
        <w:rPr>
          <w:rFonts w:ascii="宋体" w:hAnsi="宋体" w:cs="宋体" w:eastAsia="宋体" w:hint="default"/>
        </w:rPr>
        <w:t> </w:t>
      </w:r>
    </w:p>
    <w:p>
      <w:pPr>
        <w:pStyle w:val="BodyText"/>
        <w:spacing w:line="468" w:lineRule="exact" w:before="11"/>
        <w:ind w:left="572" w:right="986"/>
        <w:jc w:val="left"/>
      </w:pPr>
      <w:r>
        <w:rPr>
          <w:rFonts w:ascii="宋体" w:hAnsi="宋体" w:cs="宋体" w:eastAsia="宋体" w:hint="default"/>
          <w:b/>
          <w:bCs/>
        </w:rPr>
        <w:t>东华厚盾</w:t>
      </w:r>
      <w:r>
        <w:rPr>
          <w:rFonts w:ascii="宋体" w:hAnsi="宋体" w:cs="宋体" w:eastAsia="宋体" w:hint="default"/>
          <w:b/>
          <w:bCs/>
          <w:w w:val="99"/>
        </w:rPr>
        <w:t> </w:t>
      </w:r>
      <w:r>
        <w:rPr/>
        <w:t>北京东华厚盾软件有限公司以全面预算管理为纽带，助力企业业财融合发展，横向拓展研发了业财一体化经营管控平</w:t>
      </w:r>
    </w:p>
    <w:p>
      <w:pPr>
        <w:pStyle w:val="BodyText"/>
        <w:spacing w:line="316" w:lineRule="auto" w:before="8"/>
        <w:ind w:right="1133"/>
        <w:jc w:val="both"/>
        <w:rPr>
          <w:rFonts w:ascii="宋体" w:hAnsi="宋体" w:cs="宋体" w:eastAsia="宋体" w:hint="default"/>
        </w:rPr>
      </w:pPr>
      <w:r>
        <w:rPr>
          <w:spacing w:val="-2"/>
        </w:rPr>
        <w:t>台，成功签约了中国有色投资项目管理系统、东兴证券采购系统、南航采购系统、中咨数据应用平台、潞安业财一体化平台</w:t>
      </w:r>
      <w:r>
        <w:rPr>
          <w:spacing w:val="-67"/>
        </w:rPr>
        <w:t> </w:t>
      </w:r>
      <w:r>
        <w:rPr>
          <w:spacing w:val="-67"/>
        </w:rPr>
      </w:r>
      <w:r>
        <w:rPr>
          <w:spacing w:val="-2"/>
        </w:rPr>
        <w:t>等项目。东华厚盾针对中小企业推出的经营管控企业云平台已与多个园区签订合作协议，其中河北大学的经营管理实训平台</w:t>
      </w:r>
      <w:r>
        <w:rPr>
          <w:spacing w:val="-64"/>
        </w:rPr>
        <w:t> </w:t>
      </w:r>
      <w:r>
        <w:rPr>
          <w:spacing w:val="-64"/>
        </w:rPr>
      </w:r>
      <w:r>
        <w:rPr/>
        <w:t>项目已完成验收。</w:t>
      </w:r>
      <w:r>
        <w:rPr>
          <w:rFonts w:ascii="宋体" w:hAnsi="宋体" w:cs="宋体" w:eastAsia="宋体" w:hint="default"/>
          <w:b/>
          <w:bCs/>
          <w:color w:val="C00000"/>
          <w:w w:val="99"/>
        </w:rPr>
        <w:t> </w:t>
      </w:r>
      <w:r>
        <w:rPr>
          <w:rFonts w:ascii="宋体" w:hAnsi="宋体" w:cs="宋体" w:eastAsia="宋体" w:hint="default"/>
        </w:rPr>
      </w:r>
    </w:p>
    <w:p>
      <w:pPr>
        <w:pStyle w:val="BodyText"/>
        <w:spacing w:line="316" w:lineRule="auto" w:before="19"/>
        <w:ind w:right="1027" w:firstLine="419"/>
        <w:jc w:val="left"/>
        <w:rPr>
          <w:rFonts w:ascii="宋体" w:hAnsi="宋体" w:cs="宋体" w:eastAsia="宋体" w:hint="default"/>
        </w:rPr>
      </w:pPr>
      <w:r>
        <w:rPr>
          <w:spacing w:val="-1"/>
        </w:rPr>
        <w:t>东华厚盾在产品适用度、产品体验以及产品质量上精雕细琢，积累了丰富的行业经验。在装备制造领域，除中能装备、</w:t>
      </w:r>
      <w:r>
        <w:rPr/>
        <w:t> </w:t>
      </w:r>
      <w:r>
        <w:rPr>
          <w:spacing w:val="-2"/>
        </w:rPr>
        <w:t>中联重科等重要客户外，东华厚盾成功签约郑煤机；在钢铁领域，签约济钢集团，助力钢铁企业升级转型；在烟草领域，签</w:t>
      </w:r>
      <w:r>
        <w:rPr>
          <w:spacing w:val="-70"/>
        </w:rPr>
        <w:t> </w:t>
      </w:r>
      <w:r>
        <w:rPr>
          <w:spacing w:val="-70"/>
        </w:rPr>
      </w:r>
      <w:r>
        <w:rPr>
          <w:spacing w:val="-2"/>
        </w:rPr>
        <w:t>署南通烟滤嘴、鑫源烟草薄片等项目，拓展烟草行业产业链；在电子信息产业领域，与北京电控展开合作；在医药工程设计</w:t>
      </w:r>
      <w:r>
        <w:rPr>
          <w:spacing w:val="-67"/>
        </w:rPr>
        <w:t> </w:t>
      </w:r>
      <w:r>
        <w:rPr>
          <w:spacing w:val="-67"/>
        </w:rPr>
      </w:r>
      <w:r>
        <w:rPr/>
        <w:t>领域，签约国药工程。</w:t>
      </w:r>
      <w:r>
        <w:rPr>
          <w:rFonts w:ascii="宋体" w:hAnsi="宋体" w:cs="宋体" w:eastAsia="宋体" w:hint="default"/>
        </w:rPr>
        <w:t> </w:t>
      </w:r>
    </w:p>
    <w:p>
      <w:pPr>
        <w:pStyle w:val="BodyText"/>
        <w:spacing w:line="316" w:lineRule="auto" w:before="18"/>
        <w:ind w:right="986" w:firstLine="419"/>
        <w:jc w:val="left"/>
        <w:rPr>
          <w:rFonts w:ascii="宋体" w:hAnsi="宋体" w:cs="宋体" w:eastAsia="宋体" w:hint="default"/>
        </w:rPr>
      </w:pPr>
      <w:r>
        <w:rPr/>
        <w:t>东华厚盾基于优质的服务与客户的高度信任，与客户建立长远战略合作关系，相继启动了中国国贸、航天科工四院、 北京石油化工工程、南京城建、中交一公院、首发集团、扬子科创等多家老客户的系统升级项目与深化应用项目。</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986"/>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8,470,591,084.10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7,290,128,453.42</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16.19%</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健康行业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1,101,245,851.72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813,602,999.13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4,297,179,225.27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3,490,285,039.43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942,950,134.58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914,559,033.51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599,810,637.07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568,909,919.92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互联网及计算机服 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302,002,609.26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284,166,061.18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560,319,100.54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515,680,501.16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652,245,015.46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660,857,085.06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14,838,510.20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42,067,814.03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-64.73%</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5,788,555,989.87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4,789,627,243.05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20.86%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795,368,770.67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763,954,349.26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1,871,827,813.36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1,694,479,047.07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14,838,510.20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42,067,814.04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-64.73%</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516,870,368.14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431,539,124.15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5,326,708,134.07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4,412,963,216.04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20.71%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1,170,014,915.02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1,005,221,603.30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231,980,645.40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217,440,851.65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341,426,921.23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331,315,092.53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455,345,817.28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438,020,724.58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413,405,772.76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411,560,027.14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14,838,510.20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42,067,814.03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7" w:right="0"/>
              <w:jc w:val="left"/>
              <w:rPr>
                <w:rFonts w:ascii="Times New Roman" w:hAnsi="Times New Roman" w:cs="Times New Roman" w:eastAsia="Times New Roman" w:hint="default"/>
                <w:sz w:val="18"/>
                <w:szCs w:val="18"/>
              </w:rPr>
            </w:pPr>
            <w:r>
              <w:rPr>
                <w:rFonts w:ascii="Times New Roman"/>
                <w:sz w:val="18"/>
              </w:rPr>
              <w:t>-64.73%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pStyle w:val="Heading5"/>
        <w:spacing w:line="240" w:lineRule="auto" w:before="51"/>
        <w:ind w:left="152" w:right="-17"/>
        <w:jc w:val="left"/>
        <w:rPr>
          <w:b w:val="0"/>
          <w:bCs w:val="0"/>
        </w:rPr>
      </w:pPr>
      <w:r>
        <w:rPr/>
        <w:t>注：公司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年全年云计算产品及服务累计实现营业收入</w:t>
      </w:r>
      <w:r>
        <w:rPr>
          <w:spacing w:val="-46"/>
        </w:rPr>
        <w:t> </w:t>
      </w:r>
      <w:r>
        <w:rPr>
          <w:rFonts w:ascii="Times New Roman" w:hAnsi="Times New Roman" w:cs="Times New Roman" w:eastAsia="Times New Roman" w:hint="default"/>
        </w:rPr>
        <w:t>9.07</w:t>
      </w:r>
      <w:r>
        <w:rPr>
          <w:rFonts w:ascii="Times New Roman" w:hAnsi="Times New Roman" w:cs="Times New Roman" w:eastAsia="Times New Roman" w:hint="default"/>
          <w:spacing w:val="-2"/>
        </w:rPr>
        <w:t> </w:t>
      </w:r>
      <w:r>
        <w:rPr/>
        <w:t>亿。</w:t>
      </w:r>
      <w:r>
        <w:rPr>
          <w:b w:val="0"/>
          <w:bCs w:val="0"/>
        </w:rPr>
      </w:r>
    </w:p>
    <w:p>
      <w:pPr>
        <w:pStyle w:val="BodyText"/>
        <w:spacing w:line="240" w:lineRule="auto" w:before="101"/>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47" w:right="0"/>
        <w:jc w:val="left"/>
      </w:pPr>
      <w:r>
        <w:rPr/>
        <w:t>单位：元</w:t>
      </w:r>
    </w:p>
    <w:p>
      <w:pPr>
        <w:spacing w:after="0" w:line="240" w:lineRule="auto"/>
        <w:jc w:val="left"/>
        <w:sectPr>
          <w:type w:val="continuous"/>
          <w:pgSz w:w="11910" w:h="16840"/>
          <w:pgMar w:top="1060" w:bottom="1160" w:left="980" w:right="0"/>
          <w:cols w:num="2" w:equalWidth="0">
            <w:col w:w="8885" w:space="40"/>
            <w:col w:w="2005"/>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8"/>
        <w:gridCol w:w="1109"/>
        <w:gridCol w:w="1008"/>
        <w:gridCol w:w="1013"/>
        <w:gridCol w:w="1010"/>
        <w:gridCol w:w="1003"/>
        <w:gridCol w:w="1006"/>
        <w:gridCol w:w="1080"/>
        <w:gridCol w:w="852"/>
      </w:tblGrid>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414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94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1,400,070,934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1,723,962,64</w:t>
            </w:r>
          </w:p>
          <w:p>
            <w:pPr>
              <w:pStyle w:val="TableParagraph"/>
              <w:spacing w:line="240" w:lineRule="auto" w:before="105"/>
              <w:ind w:left="662" w:right="0"/>
              <w:jc w:val="left"/>
              <w:rPr>
                <w:rFonts w:ascii="Times New Roman" w:hAnsi="Times New Roman" w:cs="Times New Roman" w:eastAsia="Times New Roman" w:hint="default"/>
                <w:sz w:val="18"/>
                <w:szCs w:val="18"/>
              </w:rPr>
            </w:pPr>
            <w:r>
              <w:rPr>
                <w:rFonts w:ascii="Times New Roman"/>
                <w:sz w:val="18"/>
              </w:rPr>
              <w:t>0.02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1,890,159,23</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2.26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3,456,398,27</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7.50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1,280,519,94</w:t>
            </w:r>
          </w:p>
          <w:p>
            <w:pPr>
              <w:pStyle w:val="TableParagraph"/>
              <w:spacing w:line="240" w:lineRule="auto" w:before="105"/>
              <w:ind w:left="657" w:right="0"/>
              <w:jc w:val="left"/>
              <w:rPr>
                <w:rFonts w:ascii="Times New Roman" w:hAnsi="Times New Roman" w:cs="Times New Roman" w:eastAsia="Times New Roman" w:hint="default"/>
                <w:sz w:val="18"/>
                <w:szCs w:val="18"/>
              </w:rPr>
            </w:pPr>
            <w:r>
              <w:rPr>
                <w:rFonts w:ascii="Times New Roman"/>
                <w:sz w:val="18"/>
              </w:rPr>
              <w:t>5.97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1,238,329,97</w:t>
            </w:r>
          </w:p>
          <w:p>
            <w:pPr>
              <w:pStyle w:val="TableParagraph"/>
              <w:spacing w:line="240" w:lineRule="auto" w:before="105"/>
              <w:ind w:left="657" w:right="0"/>
              <w:jc w:val="left"/>
              <w:rPr>
                <w:rFonts w:ascii="Times New Roman" w:hAnsi="Times New Roman" w:cs="Times New Roman" w:eastAsia="Times New Roman" w:hint="default"/>
                <w:sz w:val="18"/>
                <w:szCs w:val="18"/>
              </w:rPr>
            </w:pPr>
            <w:r>
              <w:rPr>
                <w:rFonts w:ascii="Times New Roman"/>
                <w:sz w:val="18"/>
              </w:rPr>
              <w:t>5.49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1,708,991,53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3,062,287,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000.49</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134,535,330.8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199,156,016.</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320,660,069.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152,058,160.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466,758,800.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145,858,557.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287,723,127.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-236,540,8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40.04</w:t>
            </w:r>
          </w:p>
        </w:tc>
      </w:tr>
    </w:tbl>
    <w:p>
      <w:pPr>
        <w:pStyle w:val="BodyText"/>
        <w:spacing w:line="360" w:lineRule="auto" w:before="51"/>
        <w:ind w:left="512" w:right="986" w:hanging="360"/>
        <w:jc w:val="left"/>
      </w:pPr>
      <w:r>
        <w:rPr/>
        <w:t>说明经营季节性（或周期性）发生的原因及波动风险 </w:t>
      </w:r>
      <w:r>
        <w:rPr>
          <w:spacing w:val="-2"/>
        </w:rPr>
        <w:t>目前公司收入主要来源于行业应用软件开发、计算机信息系统集成和信息技术服务，客户主要涉及金融、医疗、政府等</w:t>
      </w:r>
    </w:p>
    <w:p>
      <w:pPr>
        <w:pStyle w:val="BodyText"/>
        <w:spacing w:line="222" w:lineRule="exact"/>
        <w:ind w:right="0"/>
        <w:jc w:val="both"/>
      </w:pPr>
      <w:r>
        <w:rPr/>
        <w:t>行业。公司客户大多会依据严格的财务预算和支出管理制度，在年初规划项目及安排支出，在下半年完成项目的招标和验收</w:t>
      </w:r>
    </w:p>
    <w:p>
      <w:pPr>
        <w:pStyle w:val="BodyText"/>
        <w:spacing w:line="307" w:lineRule="auto" w:before="76"/>
        <w:ind w:right="1130"/>
        <w:jc w:val="both"/>
      </w:pPr>
      <w:r>
        <w:rPr>
          <w:spacing w:val="-2"/>
        </w:rPr>
        <w:t>等相关工作。因此，公司实现营业收入的高峰期通常在第三季度和第四季度，存在一定的季节性波动风险。从各季度的营业</w:t>
      </w:r>
      <w:r>
        <w:rPr>
          <w:spacing w:val="-64"/>
        </w:rPr>
        <w:t> </w:t>
      </w:r>
      <w:r>
        <w:rPr>
          <w:spacing w:val="-64"/>
        </w:rPr>
      </w:r>
      <w:r>
        <w:rPr>
          <w:spacing w:val="-3"/>
        </w:rPr>
        <w:t>收入占比来看，</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6"/>
        </w:rPr>
        <w:t> </w:t>
      </w:r>
      <w:r>
        <w:rPr/>
        <w:t>年公司第一到第四季度的营业收入占全年收入的比重分别为</w:t>
      </w:r>
      <w:r>
        <w:rPr>
          <w:spacing w:val="-40"/>
        </w:rPr>
        <w:t> </w:t>
      </w:r>
      <w:r>
        <w:rPr>
          <w:rFonts w:ascii="Times New Roman" w:hAnsi="Times New Roman" w:cs="Times New Roman" w:eastAsia="Times New Roman" w:hint="default"/>
          <w:spacing w:val="-3"/>
        </w:rPr>
        <w:t>17.57%</w:t>
      </w:r>
      <w:r>
        <w:rPr>
          <w:spacing w:val="-3"/>
        </w:rPr>
        <w:t>、</w:t>
      </w:r>
      <w:r>
        <w:rPr>
          <w:rFonts w:ascii="Times New Roman" w:hAnsi="Times New Roman" w:cs="Times New Roman" w:eastAsia="Times New Roman" w:hint="default"/>
          <w:spacing w:val="-3"/>
        </w:rPr>
        <w:t>16.99%</w:t>
      </w:r>
      <w:r>
        <w:rPr>
          <w:spacing w:val="-3"/>
        </w:rPr>
        <w:t>、</w:t>
      </w:r>
      <w:r>
        <w:rPr>
          <w:rFonts w:ascii="Times New Roman" w:hAnsi="Times New Roman" w:cs="Times New Roman" w:eastAsia="Times New Roman" w:hint="default"/>
          <w:spacing w:val="-3"/>
        </w:rPr>
        <w:t>23.44%</w:t>
      </w:r>
      <w:r>
        <w:rPr>
          <w:spacing w:val="-3"/>
        </w:rPr>
        <w:t>和</w:t>
      </w:r>
      <w:r>
        <w:rPr>
          <w:spacing w:val="-40"/>
        </w:rPr>
        <w:t> </w:t>
      </w:r>
      <w:r>
        <w:rPr>
          <w:rFonts w:ascii="Times New Roman" w:hAnsi="Times New Roman" w:cs="Times New Roman" w:eastAsia="Times New Roman" w:hint="default"/>
          <w:spacing w:val="-3"/>
        </w:rPr>
        <w:t>42.01%</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年公司第一到第四季度的营业收入占全年收入的比重分别为</w:t>
      </w:r>
      <w:r>
        <w:rPr>
          <w:spacing w:val="-71"/>
        </w:rPr>
        <w:t> </w:t>
      </w:r>
      <w:r>
        <w:rPr>
          <w:rFonts w:ascii="Times New Roman" w:hAnsi="Times New Roman" w:cs="Times New Roman" w:eastAsia="Times New Roman" w:hint="default"/>
        </w:rPr>
        <w:t>16.53%</w:t>
      </w:r>
      <w:r>
        <w:rPr/>
        <w:t>、</w:t>
      </w:r>
      <w:r>
        <w:rPr>
          <w:rFonts w:ascii="Times New Roman" w:hAnsi="Times New Roman" w:cs="Times New Roman" w:eastAsia="Times New Roman" w:hint="default"/>
        </w:rPr>
        <w:t>20.35%</w:t>
      </w:r>
      <w:r>
        <w:rPr/>
        <w:t>、</w:t>
      </w:r>
      <w:r>
        <w:rPr>
          <w:rFonts w:ascii="Times New Roman" w:hAnsi="Times New Roman" w:cs="Times New Roman" w:eastAsia="Times New Roman" w:hint="default"/>
        </w:rPr>
        <w:t>22.31%</w:t>
      </w:r>
      <w:r>
        <w:rPr/>
        <w:t>和</w:t>
      </w:r>
      <w:r>
        <w:rPr>
          <w:spacing w:val="-71"/>
        </w:rPr>
        <w:t> </w:t>
      </w:r>
      <w:r>
        <w:rPr>
          <w:rFonts w:ascii="Times New Roman" w:hAnsi="Times New Roman" w:cs="Times New Roman" w:eastAsia="Times New Roman" w:hint="default"/>
        </w:rPr>
        <w:t>40.80%</w:t>
      </w:r>
      <w:r>
        <w:rPr/>
        <w:t>，公司下半年营业收入占比 较高，呈现较强的季节性特征。</w:t>
      </w:r>
    </w:p>
    <w:p>
      <w:pPr>
        <w:spacing w:line="240" w:lineRule="auto" w:before="13"/>
        <w:rPr>
          <w:rFonts w:ascii="宋体" w:hAnsi="宋体" w:cs="宋体" w:eastAsia="宋体" w:hint="default"/>
          <w:sz w:val="22"/>
          <w:szCs w:val="22"/>
        </w:rPr>
      </w:pPr>
    </w:p>
    <w:p>
      <w:pPr>
        <w:pStyle w:val="Heading4"/>
        <w:spacing w:line="240" w:lineRule="auto"/>
        <w:ind w:right="0"/>
        <w:jc w:val="both"/>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50" w:lineRule="auto" w:before="44"/>
        <w:ind w:right="583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参照披露</w:t>
      </w:r>
    </w:p>
    <w:p>
      <w:pPr>
        <w:pStyle w:val="BodyText"/>
        <w:spacing w:line="240" w:lineRule="auto" w:before="32"/>
        <w:ind w:right="5832"/>
        <w:jc w:val="left"/>
      </w:pPr>
      <w:r>
        <w:rPr/>
        <w:t>软件与信息技术服务业</w:t>
      </w:r>
    </w:p>
    <w:p>
      <w:pPr>
        <w:pStyle w:val="BodyText"/>
        <w:spacing w:line="240" w:lineRule="auto" w:before="117"/>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33"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健康行业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1,101,245,851.71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541,316,899.52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41.18%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4,297,179,225.27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3,389,741,010.25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942,950,134.58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695,518,364.70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5,788,555,989.87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5,033,964,618.66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20.86%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1,871,827,813.36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1,042,248,383.29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5,326,708,134.07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3,888,267,394.19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1,170,014,915.02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860,859,906.60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340"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健康行业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541,316,899.52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383,412,008.81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3,389,741,010.25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2,616,496,531.41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695,518,364.70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11.21%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644,488,564.32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442,692,553.47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403,134,223.72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互联网及计算机 服务行业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221,670,281.15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200,651,806.42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411,590,529.27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367,094,662.51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486,875,369.26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472,984,546.09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w:t>
            </w:r>
          </w:p>
        </w:tc>
      </w:tr>
    </w:tbl>
    <w:p>
      <w:pPr>
        <w:pStyle w:val="BodyText"/>
        <w:spacing w:line="240" w:lineRule="auto" w:before="51"/>
        <w:ind w:left="0" w:right="1133"/>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5,033,964,618.66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4,123,468,817.09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113,192,005.67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103,720,703.61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1,042,248,383.29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861,072,822.57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2" w:lineRule="auto" w:before="103"/>
        <w:ind w:left="153" w:right="1130" w:firstLine="287"/>
        <w:jc w:val="both"/>
      </w:pPr>
      <w:r>
        <w:rPr>
          <w:spacing w:val="-1"/>
        </w:rPr>
        <w:t>本报告期内合并范围子公司包括</w:t>
      </w:r>
      <w:r>
        <w:rPr>
          <w:rFonts w:ascii="Times New Roman" w:hAnsi="Times New Roman" w:cs="Times New Roman" w:eastAsia="Times New Roman" w:hint="default"/>
          <w:spacing w:val="-1"/>
        </w:rPr>
        <w:t>59</w:t>
      </w:r>
      <w:r>
        <w:rPr>
          <w:spacing w:val="-1"/>
        </w:rPr>
        <w:t>家，新增</w:t>
      </w:r>
      <w:r>
        <w:rPr>
          <w:rFonts w:ascii="Times New Roman" w:hAnsi="Times New Roman" w:cs="Times New Roman" w:eastAsia="Times New Roman" w:hint="default"/>
          <w:spacing w:val="-1"/>
        </w:rPr>
        <w:t>9</w:t>
      </w:r>
      <w:r>
        <w:rPr>
          <w:spacing w:val="-1"/>
        </w:rPr>
        <w:t>家子公司，减少</w:t>
      </w:r>
      <w:r>
        <w:rPr>
          <w:rFonts w:ascii="Times New Roman" w:hAnsi="Times New Roman" w:cs="Times New Roman" w:eastAsia="Times New Roman" w:hint="default"/>
          <w:spacing w:val="-1"/>
        </w:rPr>
        <w:t>1</w:t>
      </w:r>
      <w:r>
        <w:rPr>
          <w:spacing w:val="-1"/>
        </w:rPr>
        <w:t>家，新增子公司包括安阳东华软件有限公司、东华智城云</w:t>
      </w:r>
      <w:r>
        <w:rPr/>
        <w:t> </w:t>
      </w:r>
      <w:r>
        <w:rPr>
          <w:spacing w:val="-2"/>
        </w:rPr>
        <w:t>计算有限公司、东华至高通信技术有限公司、安徽东华智慧城市信息技术有限责任公司、陕西空港云谷科技有限公司、哈密</w:t>
      </w:r>
      <w:r>
        <w:rPr>
          <w:spacing w:val="-65"/>
        </w:rPr>
        <w:t> </w:t>
      </w:r>
      <w:r>
        <w:rPr>
          <w:spacing w:val="-65"/>
        </w:rPr>
      </w:r>
      <w:r>
        <w:rPr>
          <w:spacing w:val="-2"/>
        </w:rPr>
        <w:t>东华软件有限公司、东华鲁信计算机技术有限公司、北京银企汇科技有限公司、河南东华大数据有限公司；减少子公司包括</w:t>
      </w:r>
      <w:r>
        <w:rPr>
          <w:spacing w:val="-65"/>
        </w:rPr>
        <w:t> </w:t>
      </w:r>
      <w:r>
        <w:rPr>
          <w:spacing w:val="-65"/>
        </w:rPr>
      </w:r>
      <w:r>
        <w:rPr/>
        <w:t>东华博雅软件股份有限公司。</w:t>
      </w:r>
    </w:p>
    <w:p>
      <w:pPr>
        <w:spacing w:after="0" w:line="312"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440" w:right="986"/>
        <w:jc w:val="left"/>
      </w:pPr>
      <w:r>
        <w:rPr/>
        <w:t>具体内容详见本报告第十一节财务报告附注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1,553,291,366.25</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18.34%</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6"/>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387,798,644.84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349,131,572.50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279,980,000.00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273,209,671.91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263,171,477.00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3.11%</w:t>
            </w:r>
            <w:r>
              <w:rPr>
                <w:rFonts w:ascii="Times New Roman"/>
                <w:sz w:val="18"/>
              </w:rPr>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1,553,291,366.25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18.34%</w:t>
            </w:r>
          </w:p>
        </w:tc>
      </w:tr>
    </w:tbl>
    <w:p>
      <w:pPr>
        <w:pStyle w:val="BodyText"/>
        <w:spacing w:line="240" w:lineRule="auto" w:before="51"/>
        <w:ind w:right="986"/>
        <w:jc w:val="left"/>
      </w:pPr>
      <w:r>
        <w:rPr/>
        <w:t>主要客户其他情况说明</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986" w:firstLine="419"/>
        <w:jc w:val="left"/>
      </w:pPr>
      <w:r>
        <w:rPr>
          <w:spacing w:val="-1"/>
        </w:rPr>
        <w:t>公司前五名客户与公司不存在任何关联关系，公司董事、监事、高级管理人员、核心技术人员、持股</w:t>
      </w:r>
      <w:r>
        <w:rPr>
          <w:rFonts w:ascii="Times New Roman" w:hAnsi="Times New Roman" w:cs="Times New Roman" w:eastAsia="Times New Roman" w:hint="default"/>
          <w:spacing w:val="-1"/>
        </w:rPr>
        <w:t>5%</w:t>
      </w:r>
      <w:r>
        <w:rPr>
          <w:spacing w:val="-1"/>
        </w:rPr>
        <w:t>以上股东、实</w:t>
      </w:r>
      <w:r>
        <w:rPr/>
        <w:t> 际控制人和其他关联方在主要客户中不存在直接或者间接拥有权益的情形。</w:t>
      </w:r>
    </w:p>
    <w:p>
      <w:pPr>
        <w:pStyle w:val="BodyText"/>
        <w:spacing w:line="240" w:lineRule="auto" w:before="72"/>
        <w:ind w:right="986"/>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1,626,578,863.19</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30.45%</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6"/>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576,539,478.37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11.71%</w:t>
            </w:r>
            <w:r>
              <w:rPr>
                <w:rFonts w:ascii="Times New Roman"/>
                <w:sz w:val="18"/>
              </w:rPr>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533,249,093.67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253,364,396.00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139,015,607.15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124,410,288.00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1"/>
        <w:gridCol w:w="3144"/>
      </w:tblGrid>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9" w:right="0"/>
              <w:jc w:val="left"/>
              <w:rPr>
                <w:rFonts w:ascii="Times New Roman" w:hAnsi="Times New Roman" w:cs="Times New Roman" w:eastAsia="Times New Roman" w:hint="default"/>
                <w:sz w:val="18"/>
                <w:szCs w:val="18"/>
              </w:rPr>
            </w:pPr>
            <w:r>
              <w:rPr>
                <w:rFonts w:ascii="Times New Roman"/>
                <w:sz w:val="18"/>
              </w:rPr>
              <w:t>1,626,578,863.19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30.45%</w:t>
            </w:r>
          </w:p>
        </w:tc>
      </w:tr>
    </w:tbl>
    <w:p>
      <w:pPr>
        <w:pStyle w:val="BodyText"/>
        <w:spacing w:line="240" w:lineRule="auto" w:before="51"/>
        <w:ind w:right="986"/>
        <w:jc w:val="left"/>
      </w:pPr>
      <w:r>
        <w:rPr/>
        <w:t>主要供应商其他情况说明</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094" w:firstLine="420"/>
        <w:jc w:val="left"/>
      </w:pPr>
      <w:r>
        <w:rPr/>
        <w:t>公司前五名供应商与公司不存在任何关联关系，公司董事、监事、高级管理人员、核心技术人员、持股</w:t>
      </w:r>
      <w:r>
        <w:rPr>
          <w:rFonts w:ascii="Times New Roman" w:hAnsi="Times New Roman" w:cs="Times New Roman" w:eastAsia="Times New Roman" w:hint="default"/>
        </w:rPr>
        <w:t>5%</w:t>
      </w:r>
      <w:r>
        <w:rPr/>
        <w:t>以上股东、 实际控制人和其他关联方在主要供应商中不存在直接或者间接拥有权益的情形。</w:t>
      </w:r>
    </w:p>
    <w:p>
      <w:pPr>
        <w:spacing w:line="240" w:lineRule="auto" w:before="7"/>
        <w:rPr>
          <w:rFonts w:ascii="宋体" w:hAnsi="宋体" w:cs="宋体" w:eastAsia="宋体" w:hint="default"/>
          <w:sz w:val="23"/>
          <w:szCs w:val="23"/>
        </w:rPr>
      </w:pPr>
    </w:p>
    <w:p>
      <w:pPr>
        <w:pStyle w:val="Heading4"/>
        <w:spacing w:line="240" w:lineRule="auto"/>
        <w:ind w:right="986"/>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190"/>
        <w:gridCol w:w="3190"/>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293,566,960.81</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289,066,827.51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599,530,467.67</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556,889,854.19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98,972,856.49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42,106,099.02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5"/>
              <w:jc w:val="left"/>
              <w:rPr>
                <w:rFonts w:ascii="宋体" w:hAnsi="宋体" w:cs="宋体" w:eastAsia="宋体" w:hint="default"/>
                <w:sz w:val="18"/>
                <w:szCs w:val="18"/>
              </w:rPr>
            </w:pPr>
            <w:r>
              <w:rPr>
                <w:rFonts w:ascii="宋体" w:hAnsi="宋体" w:cs="宋体" w:eastAsia="宋体" w:hint="default"/>
                <w:sz w:val="18"/>
                <w:szCs w:val="18"/>
              </w:rPr>
              <w:t>主要原因系公司支付贷款利息、汇兑损 失、给予客户的现金折扣增加所致。</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416,928,963.49</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343,963,250.41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3"/>
        <w:ind w:right="1129" w:firstLine="419"/>
        <w:jc w:val="both"/>
        <w:rPr>
          <w:rFonts w:ascii="宋体" w:hAnsi="宋体" w:cs="宋体" w:eastAsia="宋体" w:hint="default"/>
        </w:rPr>
      </w:pPr>
      <w:r>
        <w:rPr/>
        <w:t>报告期内，公司继续专注于在智慧医疗、智慧城市、智慧金融等领域以及云计算、大数据、物联网、人工智能等新兴 技术的研发。目前，公司拥有软件著作权</w:t>
      </w:r>
      <w:r>
        <w:rPr>
          <w:rFonts w:ascii="宋体" w:hAnsi="宋体" w:cs="宋体" w:eastAsia="宋体" w:hint="default"/>
        </w:rPr>
        <w:t>1,400</w:t>
      </w:r>
      <w:r>
        <w:rPr/>
        <w:t>余项，研发支出总额</w:t>
      </w:r>
      <w:r>
        <w:rPr>
          <w:rFonts w:ascii="宋体" w:hAnsi="宋体" w:cs="宋体" w:eastAsia="宋体" w:hint="default"/>
        </w:rPr>
        <w:t>1,013,284,607.40</w:t>
      </w:r>
      <w:r>
        <w:rPr/>
        <w:t>元，占营业收入的</w:t>
      </w:r>
      <w:r>
        <w:rPr>
          <w:rFonts w:ascii="宋体" w:hAnsi="宋体" w:cs="宋体" w:eastAsia="宋体" w:hint="default"/>
        </w:rPr>
        <w:t>11.96%</w:t>
      </w:r>
      <w:r>
        <w:rPr/>
        <w:t>，同比下降 </w:t>
      </w:r>
      <w:r>
        <w:rPr>
          <w:rFonts w:ascii="宋体" w:hAnsi="宋体" w:cs="宋体" w:eastAsia="宋体" w:hint="default"/>
        </w:rPr>
        <w:t>3.33%</w:t>
      </w:r>
      <w:r>
        <w:rPr/>
        <w:t>。</w:t>
      </w:r>
      <w:r>
        <w:rPr>
          <w:rFonts w:ascii="宋体" w:hAnsi="宋体" w:cs="宋体" w:eastAsia="宋体" w:hint="default"/>
        </w:rPr>
        <w:t> </w:t>
      </w:r>
    </w:p>
    <w:p>
      <w:pPr>
        <w:pStyle w:val="BodyText"/>
        <w:spacing w:line="240" w:lineRule="auto" w:before="59"/>
        <w:ind w:right="986"/>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1,013,284,607.40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1,114,984,033.13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40,227,398.91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46,267,590.97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bl>
    <w:p>
      <w:pPr>
        <w:pStyle w:val="BodyText"/>
        <w:spacing w:line="240" w:lineRule="auto" w:before="51"/>
        <w:ind w:right="986"/>
        <w:jc w:val="left"/>
      </w:pPr>
      <w:r>
        <w:rPr/>
        <w:t>研发投入总额占营业收入的比重较上年发生显著变化的原因</w:t>
      </w:r>
    </w:p>
    <w:p>
      <w:pPr>
        <w:pStyle w:val="BodyText"/>
        <w:spacing w:line="340" w:lineRule="auto" w:before="115"/>
        <w:ind w:right="67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单位：元</w:t>
      </w:r>
    </w:p>
    <w:p>
      <w:pPr>
        <w:spacing w:after="0" w:line="240" w:lineRule="auto"/>
        <w:jc w:val="right"/>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1"/>
        <w:gridCol w:w="2232"/>
        <w:gridCol w:w="2393"/>
        <w:gridCol w:w="2393"/>
      </w:tblGrid>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9,422,146,686.63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8,205,899,249.61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14.82%</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9,070,685,878.99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8,038,221,533.57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12.84%</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351,460,807.64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167,677,716.04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109.60%</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93,669,656.28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396,163,098.83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-76.36%</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199,113,108.32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577,819,956.28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-65.54%</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-105,443,452.04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-181,656,857.45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-41.95%</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3,315,286,083.64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1,773,975,149.39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86.88%</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3,397,613,785.63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1,255,043,977.81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170.72%</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-82,327,701.99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518,931,171.58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w w:val="95"/>
                <w:sz w:val="18"/>
              </w:rPr>
              <w:t>-115.86%</w:t>
            </w:r>
            <w:r>
              <w:rPr>
                <w:rFonts w:ascii="Times New Roman"/>
                <w:spacing w:val="-1"/>
                <w:sz w:val="18"/>
              </w:rPr>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164,607,615.42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504,115,418.33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-67.35%</w:t>
            </w:r>
          </w:p>
        </w:tc>
      </w:tr>
    </w:tbl>
    <w:p>
      <w:pPr>
        <w:pStyle w:val="BodyText"/>
        <w:spacing w:line="240" w:lineRule="auto" w:before="51"/>
        <w:ind w:right="986"/>
        <w:jc w:val="left"/>
      </w:pPr>
      <w:r>
        <w:rPr/>
        <w:t>相关数据同比发生重大变动的主要影响因素说明</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86"/>
        <w:jc w:val="left"/>
      </w:pPr>
      <w:r>
        <w:rPr>
          <w:rFonts w:ascii="Times New Roman" w:hAnsi="Times New Roman" w:cs="Times New Roman" w:eastAsia="Times New Roman" w:hint="default"/>
        </w:rPr>
        <w:t>1</w:t>
      </w:r>
      <w:r>
        <w:rPr/>
        <w:t>、经营活动产生的现金流量净额较上年同期增加</w:t>
      </w:r>
      <w:r>
        <w:rPr>
          <w:rFonts w:ascii="Times New Roman" w:hAnsi="Times New Roman" w:cs="Times New Roman" w:eastAsia="Times New Roman" w:hint="default"/>
        </w:rPr>
        <w:t>109.60%</w:t>
      </w:r>
      <w:r>
        <w:rPr/>
        <w:t>，主要原因系公司收到利息收入、收到应付票据保证金增加所致；</w:t>
      </w:r>
    </w:p>
    <w:p>
      <w:pPr>
        <w:pStyle w:val="BodyText"/>
        <w:spacing w:line="300" w:lineRule="auto" w:before="62"/>
        <w:ind w:left="153" w:right="986" w:hanging="1"/>
        <w:jc w:val="left"/>
      </w:pPr>
      <w:r>
        <w:rPr>
          <w:rFonts w:ascii="Times New Roman" w:hAnsi="Times New Roman" w:cs="Times New Roman" w:eastAsia="Times New Roman" w:hint="default"/>
          <w:spacing w:val="-1"/>
        </w:rPr>
        <w:t>2</w:t>
      </w:r>
      <w:r>
        <w:rPr>
          <w:spacing w:val="-1"/>
        </w:rPr>
        <w:t>、投资活动现金流入小计较上年同期减少</w:t>
      </w:r>
      <w:r>
        <w:rPr>
          <w:rFonts w:ascii="Times New Roman" w:hAnsi="Times New Roman" w:cs="Times New Roman" w:eastAsia="Times New Roman" w:hint="default"/>
          <w:spacing w:val="-1"/>
        </w:rPr>
        <w:t>76.36%</w:t>
      </w:r>
      <w:r>
        <w:rPr>
          <w:spacing w:val="-1"/>
        </w:rPr>
        <w:t>，主要原因系公司上年期减持被投资单位北京东方通科技股份有限公司股</w:t>
      </w:r>
      <w:r>
        <w:rPr>
          <w:spacing w:val="-44"/>
        </w:rPr>
        <w:t> </w:t>
      </w:r>
      <w:r>
        <w:rPr>
          <w:spacing w:val="-44"/>
        </w:rPr>
      </w:r>
      <w:r>
        <w:rPr/>
        <w:t>票投资成本低于上年同期所致；</w:t>
      </w:r>
    </w:p>
    <w:p>
      <w:pPr>
        <w:pStyle w:val="BodyText"/>
        <w:spacing w:line="240" w:lineRule="auto" w:before="31"/>
        <w:ind w:left="153" w:right="986"/>
        <w:jc w:val="left"/>
      </w:pPr>
      <w:r>
        <w:rPr>
          <w:rFonts w:ascii="Times New Roman" w:hAnsi="Times New Roman" w:cs="Times New Roman" w:eastAsia="Times New Roman" w:hint="default"/>
        </w:rPr>
        <w:t>3</w:t>
      </w:r>
      <w:r>
        <w:rPr/>
        <w:t>、投资活动现金流出小计较上年同期减少</w:t>
      </w:r>
      <w:r>
        <w:rPr>
          <w:rFonts w:ascii="Times New Roman" w:hAnsi="Times New Roman" w:cs="Times New Roman" w:eastAsia="Times New Roman" w:hint="default"/>
        </w:rPr>
        <w:t>65.54%</w:t>
      </w:r>
      <w:r>
        <w:rPr/>
        <w:t>，主要原因系公司对外投资减少所致；</w:t>
      </w:r>
    </w:p>
    <w:p>
      <w:pPr>
        <w:pStyle w:val="BodyText"/>
        <w:spacing w:line="309" w:lineRule="auto" w:before="62"/>
        <w:ind w:left="153" w:right="986" w:hanging="1"/>
        <w:jc w:val="left"/>
      </w:pPr>
      <w:r>
        <w:rPr>
          <w:rFonts w:ascii="Times New Roman" w:hAnsi="Times New Roman" w:cs="Times New Roman" w:eastAsia="Times New Roman" w:hint="default"/>
          <w:spacing w:val="-1"/>
        </w:rPr>
        <w:t>4</w:t>
      </w:r>
      <w:r>
        <w:rPr>
          <w:spacing w:val="-1"/>
        </w:rPr>
        <w:t>、投资活动产生的现金流量净额较上年同期减少</w:t>
      </w:r>
      <w:r>
        <w:rPr>
          <w:rFonts w:ascii="Times New Roman" w:hAnsi="Times New Roman" w:cs="Times New Roman" w:eastAsia="Times New Roman" w:hint="default"/>
          <w:spacing w:val="-1"/>
        </w:rPr>
        <w:t>41.95%</w:t>
      </w:r>
      <w:r>
        <w:rPr>
          <w:spacing w:val="-1"/>
        </w:rPr>
        <w:t>，主要原因系公司上年期减持被投资单位北京东方通科技股份有限</w:t>
      </w:r>
      <w:r>
        <w:rPr>
          <w:spacing w:val="-44"/>
        </w:rPr>
        <w:t> </w:t>
      </w:r>
      <w:r>
        <w:rPr>
          <w:spacing w:val="-44"/>
        </w:rPr>
      </w:r>
      <w:r>
        <w:rPr/>
        <w:t>公司股票投资成本低于上年同期所致； </w:t>
      </w:r>
      <w:r>
        <w:rPr>
          <w:rFonts w:ascii="Times New Roman" w:hAnsi="Times New Roman" w:cs="Times New Roman" w:eastAsia="Times New Roman" w:hint="default"/>
        </w:rPr>
        <w:t>5</w:t>
      </w:r>
      <w:r>
        <w:rPr/>
        <w:t>、筹资活动现金流入小计较上年同期增加</w:t>
      </w:r>
      <w:r>
        <w:rPr>
          <w:rFonts w:ascii="Times New Roman" w:hAnsi="Times New Roman" w:cs="Times New Roman" w:eastAsia="Times New Roman" w:hint="default"/>
        </w:rPr>
        <w:t>86.88%</w:t>
      </w:r>
      <w:r>
        <w:rPr/>
        <w:t>，主要原因系公司拆借资金增加所致；</w:t>
      </w:r>
    </w:p>
    <w:p>
      <w:pPr>
        <w:pStyle w:val="BodyText"/>
        <w:spacing w:line="240" w:lineRule="auto" w:before="5"/>
        <w:ind w:left="153" w:right="986"/>
        <w:jc w:val="left"/>
      </w:pPr>
      <w:r>
        <w:rPr>
          <w:rFonts w:ascii="Times New Roman" w:hAnsi="Times New Roman" w:cs="Times New Roman" w:eastAsia="Times New Roman" w:hint="default"/>
        </w:rPr>
        <w:t>6</w:t>
      </w:r>
      <w:r>
        <w:rPr/>
        <w:t>、筹资活动现金流出小计较上年同期增加</w:t>
      </w:r>
      <w:r>
        <w:rPr>
          <w:rFonts w:ascii="Times New Roman" w:hAnsi="Times New Roman" w:cs="Times New Roman" w:eastAsia="Times New Roman" w:hint="default"/>
        </w:rPr>
        <w:t>170.72%</w:t>
      </w:r>
      <w:r>
        <w:rPr/>
        <w:t>，主要原因系公司偿还资金拆借款增加所致；</w:t>
      </w:r>
    </w:p>
    <w:p>
      <w:pPr>
        <w:pStyle w:val="BodyText"/>
        <w:spacing w:line="340" w:lineRule="auto" w:before="62"/>
        <w:ind w:left="153" w:right="2639" w:hanging="1"/>
        <w:jc w:val="left"/>
      </w:pPr>
      <w:r>
        <w:rPr>
          <w:rFonts w:ascii="Times New Roman" w:hAnsi="Times New Roman" w:cs="Times New Roman" w:eastAsia="Times New Roman" w:hint="default"/>
        </w:rPr>
        <w:t>7</w:t>
      </w:r>
      <w:r>
        <w:rPr/>
        <w:t>、筹资活动产生的现金流量净额较上年同期减少</w:t>
      </w:r>
      <w:r>
        <w:rPr>
          <w:rFonts w:ascii="Times New Roman" w:hAnsi="Times New Roman" w:cs="Times New Roman" w:eastAsia="Times New Roman" w:hint="default"/>
        </w:rPr>
        <w:t>115.86%</w:t>
      </w:r>
      <w:r>
        <w:rPr/>
        <w:t>，主要原因系公司偿还资金拆借款增加所致。 报告期内公司经营活动产生的现金净流量与本年度净利润存在重大差异的原因说明</w:t>
      </w:r>
    </w:p>
    <w:p>
      <w:pPr>
        <w:pStyle w:val="BodyText"/>
        <w:spacing w:line="240" w:lineRule="auto" w:before="39"/>
        <w:ind w:left="153"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5"/>
        <w:gridCol w:w="1622"/>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2587"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-15,499,661.72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both"/>
              <w:rPr>
                <w:rFonts w:ascii="宋体" w:hAnsi="宋体" w:cs="宋体" w:eastAsia="宋体" w:hint="default"/>
                <w:sz w:val="18"/>
                <w:szCs w:val="18"/>
              </w:rPr>
            </w:pPr>
            <w:r>
              <w:rPr>
                <w:rFonts w:ascii="宋体" w:hAnsi="宋体" w:cs="宋体" w:eastAsia="宋体" w:hint="default"/>
                <w:spacing w:val="2"/>
                <w:sz w:val="18"/>
                <w:szCs w:val="18"/>
              </w:rPr>
              <w:t>主要原因是权益法核算瑞客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东华转化医学研究中心有限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公司、北京卓讯科信技术有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限公司、北京中能博泰科技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有限公司、北京东软慧聚信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息技术股份有限公司、深圳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市贝尔加数据信息有限公司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确认投资损失所致。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387,109,583.17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46.86%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pacing w:val="19"/>
                <w:sz w:val="18"/>
                <w:szCs w:val="18"/>
              </w:rPr>
              <w:t>主要原因是计提的坏帐损</w:t>
            </w:r>
            <w:r>
              <w:rPr>
                <w:rFonts w:ascii="宋体" w:hAnsi="宋体" w:cs="宋体" w:eastAsia="宋体" w:hint="default"/>
                <w:spacing w:val="-69"/>
                <w:sz w:val="18"/>
                <w:szCs w:val="18"/>
              </w:rPr>
              <w:t> </w:t>
            </w:r>
            <w:r>
              <w:rPr>
                <w:rFonts w:ascii="宋体" w:hAnsi="宋体" w:cs="宋体" w:eastAsia="宋体" w:hint="default"/>
                <w:sz w:val="18"/>
                <w:szCs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5"/>
        <w:gridCol w:w="1622"/>
        <w:gridCol w:w="2254"/>
        <w:gridCol w:w="2254"/>
      </w:tblGrid>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2"/>
                <w:sz w:val="18"/>
                <w:szCs w:val="18"/>
              </w:rPr>
              <w:t>失、存货跌价损失及商誉减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值损失</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308,095,676.47</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37.30%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2"/>
                <w:sz w:val="18"/>
                <w:szCs w:val="18"/>
              </w:rPr>
              <w:t>主要原因是深圳市至高通信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技术发展有限公司因未完成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业绩承诺，支付补偿款及股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份回购所致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2,781,928.70</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主要原因系诉讼支出</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274"/>
        <w:gridCol w:w="1418"/>
        <w:gridCol w:w="1274"/>
        <w:gridCol w:w="1277"/>
        <w:gridCol w:w="1630"/>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tcBorders>
              <w:left w:val="single" w:sz="4" w:space="0" w:color="000000"/>
              <w:bottom w:val="single" w:sz="4" w:space="0" w:color="000000"/>
              <w:right w:val="single" w:sz="4" w:space="0" w:color="000000"/>
            </w:tcBorders>
            <w:shd w:val="clear" w:color="auto" w:fill="D4D4D4"/>
          </w:tcPr>
          <w:p>
            <w:pPr/>
          </w:p>
        </w:tc>
        <w:tc>
          <w:tcPr>
            <w:tcW w:w="1630"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2,086,641,271.60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1,749,004,889.56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5,560,938,612.15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34.74%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4,728,364,250.18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33.41%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4,636,520,569.72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3,670,295,492.37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5,757,183.93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220,607,273.97</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136,481,215.02</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277,851,299.56</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306,577,145.99</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25,799,394.13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10,300,218.23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1,845,260,277.48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11.53%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931,772,643.44</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line="544"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截至报告期末，公司资产权利不存在受限情况。</w:t>
      </w:r>
    </w:p>
    <w:p>
      <w:pPr>
        <w:pStyle w:val="Heading3"/>
        <w:spacing w:line="240" w:lineRule="auto" w:before="101"/>
        <w:ind w:right="986"/>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664,576,883.39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2" w:right="0"/>
              <w:jc w:val="left"/>
              <w:rPr>
                <w:rFonts w:ascii="Times New Roman" w:hAnsi="Times New Roman" w:cs="Times New Roman" w:eastAsia="Times New Roman" w:hint="default"/>
                <w:sz w:val="18"/>
                <w:szCs w:val="18"/>
              </w:rPr>
            </w:pPr>
            <w:r>
              <w:rPr>
                <w:rFonts w:ascii="Times New Roman"/>
                <w:sz w:val="18"/>
              </w:rPr>
              <w:t>664,726,883.39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3"/>
        <w:spacing w:line="240" w:lineRule="auto"/>
        <w:ind w:right="986"/>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986"/>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pStyle w:val="BodyText"/>
        <w:spacing w:line="340" w:lineRule="auto" w:before="101"/>
        <w:ind w:right="80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报告期内取得和处置子公司的情况</w:t>
      </w:r>
    </w:p>
    <w:p>
      <w:pPr>
        <w:pStyle w:val="BodyText"/>
        <w:spacing w:line="240" w:lineRule="auto" w:before="4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2909"/>
        <w:gridCol w:w="3473"/>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东华智慧视频技术有限公司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重庆合创东华软件有限公司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淮北东华企云科技有限责任公司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桂林东华软件有限公司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2909"/>
        <w:gridCol w:w="3473"/>
      </w:tblGrid>
      <w:tr>
        <w:trPr>
          <w:trHeight w:val="362"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河南东华大数据科技有限公司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东华智城云计算有限公司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陕西空港云谷科技有限公司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北京银企汇科技有限公司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宣城东华创智科技有限公司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安徽东华智慧城市信息技术有限责任公 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东华至高通信技术有限公司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河南东华智慧云城软件有限公司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北京东华中企会智慧城市科技有限公司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东华鲁信计算机技术有限公司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哈密东华软件有限公司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淮北东华百容信息科技有限公司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重庆东华合创科技有限公司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7"/>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 况、经营成果和现金流量造成重大影响。</w:t>
            </w:r>
          </w:p>
        </w:tc>
      </w:tr>
    </w:tbl>
    <w:p>
      <w:pPr>
        <w:pStyle w:val="BodyText"/>
        <w:spacing w:line="360" w:lineRule="auto" w:before="51"/>
        <w:ind w:right="8594"/>
        <w:jc w:val="left"/>
      </w:pPr>
      <w:r>
        <w:rPr/>
        <w:t>主要控股参股公司情况说明 无</w:t>
      </w:r>
    </w:p>
    <w:p>
      <w:pPr>
        <w:spacing w:line="240" w:lineRule="auto" w:before="5"/>
        <w:rPr>
          <w:rFonts w:ascii="宋体" w:hAnsi="宋体" w:cs="宋体" w:eastAsia="宋体" w:hint="default"/>
          <w:sz w:val="18"/>
          <w:szCs w:val="18"/>
        </w:rPr>
      </w:pPr>
    </w:p>
    <w:p>
      <w:pPr>
        <w:pStyle w:val="Heading3"/>
        <w:spacing w:line="240" w:lineRule="auto"/>
        <w:ind w:right="986"/>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九、公司未来发展的展望" w:id="56"/>
      <w:bookmarkEnd w:id="56"/>
      <w:r>
        <w:rPr>
          <w:b w:val="0"/>
          <w:bCs w:val="0"/>
        </w:rPr>
      </w:r>
      <w:r>
        <w:rPr/>
        <w:t>九、公司未来发展的展望</w:t>
      </w:r>
      <w:r>
        <w:rPr>
          <w:b w:val="0"/>
          <w:bCs w:val="0"/>
        </w:rPr>
      </w:r>
    </w:p>
    <w:p>
      <w:pPr>
        <w:spacing w:line="460" w:lineRule="atLeast" w:before="122"/>
        <w:ind w:left="572" w:right="986" w:firstLine="0"/>
        <w:jc w:val="left"/>
        <w:rPr>
          <w:rFonts w:ascii="宋体" w:hAnsi="宋体" w:cs="宋体" w:eastAsia="宋体" w:hint="default"/>
          <w:sz w:val="18"/>
          <w:szCs w:val="18"/>
        </w:rPr>
      </w:pPr>
      <w:r>
        <w:rPr>
          <w:rFonts w:ascii="宋体" w:hAnsi="宋体" w:cs="宋体" w:eastAsia="宋体" w:hint="default"/>
          <w:b/>
          <w:bCs/>
          <w:sz w:val="18"/>
          <w:szCs w:val="18"/>
        </w:rPr>
        <w:t>（一）行业竞争格局和发展趋势</w:t>
      </w:r>
      <w:r>
        <w:rPr>
          <w:rFonts w:ascii="宋体" w:hAnsi="宋体" w:cs="宋体" w:eastAsia="宋体" w:hint="default"/>
          <w:b/>
          <w:bCs/>
          <w:w w:val="99"/>
          <w:sz w:val="18"/>
          <w:szCs w:val="18"/>
        </w:rPr>
        <w:t> </w:t>
      </w:r>
      <w:r>
        <w:rPr>
          <w:rFonts w:ascii="宋体" w:hAnsi="宋体" w:cs="宋体" w:eastAsia="宋体" w:hint="default"/>
          <w:sz w:val="18"/>
          <w:szCs w:val="18"/>
        </w:rPr>
        <w:t>随着新兴技术的不断涌现和成熟，国内软件与信息技术行业处于高速发展的阶段，机遇与挑战并存。公司将从软件与</w:t>
      </w:r>
    </w:p>
    <w:p>
      <w:pPr>
        <w:pStyle w:val="BodyText"/>
        <w:spacing w:line="316" w:lineRule="auto" w:before="76"/>
        <w:ind w:right="986"/>
        <w:jc w:val="left"/>
      </w:pPr>
      <w:r>
        <w:rPr>
          <w:spacing w:val="-2"/>
        </w:rPr>
        <w:t>信息技术服务、智慧医疗、智慧金融、智慧城市、物联网、云服务六个方面对所涉及的行业竞争格局和发展局势进行简要分</w:t>
      </w:r>
      <w:r>
        <w:rPr>
          <w:spacing w:val="-65"/>
        </w:rPr>
        <w:t> </w:t>
      </w:r>
      <w:r>
        <w:rPr>
          <w:spacing w:val="-65"/>
        </w:rPr>
      </w:r>
      <w:r>
        <w:rPr/>
        <w:t>析：</w:t>
      </w:r>
    </w:p>
    <w:p>
      <w:pPr>
        <w:spacing w:after="0" w:line="316"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left="572" w:right="986"/>
        <w:jc w:val="left"/>
        <w:rPr>
          <w:b w:val="0"/>
          <w:bCs w:val="0"/>
        </w:rPr>
      </w:pPr>
      <w:r>
        <w:rPr>
          <w:rFonts w:ascii="Times New Roman" w:hAnsi="Times New Roman" w:cs="Times New Roman" w:eastAsia="Times New Roman" w:hint="default"/>
        </w:rPr>
        <w:t>1</w:t>
      </w:r>
      <w:r>
        <w:rPr/>
        <w:t>、软件与信息技术服务</w:t>
      </w:r>
      <w:r>
        <w:rPr>
          <w:b w:val="0"/>
          <w:bCs w:val="0"/>
        </w:rPr>
      </w:r>
    </w:p>
    <w:p>
      <w:pPr>
        <w:spacing w:line="240" w:lineRule="auto" w:before="9"/>
        <w:rPr>
          <w:rFonts w:ascii="宋体" w:hAnsi="宋体" w:cs="宋体" w:eastAsia="宋体" w:hint="default"/>
          <w:b/>
          <w:bCs/>
          <w:sz w:val="16"/>
          <w:szCs w:val="16"/>
        </w:rPr>
      </w:pPr>
    </w:p>
    <w:p>
      <w:pPr>
        <w:pStyle w:val="BodyText"/>
        <w:spacing w:line="312" w:lineRule="auto"/>
        <w:ind w:right="1034" w:firstLine="419"/>
        <w:jc w:val="left"/>
      </w:pPr>
      <w:r>
        <w:rPr>
          <w:spacing w:val="-3"/>
        </w:rPr>
        <w:t>随着</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行动计划、大数据、军民融合发展等国家战略的推进实施以及市场信息化节奏的不断加快，</w:t>
      </w:r>
      <w:r>
        <w:rPr/>
        <w:t> 我国软件和信息技术服务业运行态势良好，云服务、大数据服务、人工智能、区块链等新兴业态已经成为产业新的增长点， </w:t>
      </w:r>
      <w:r>
        <w:rPr>
          <w:spacing w:val="-2"/>
        </w:rPr>
        <w:t>收入和效益保持较快增长。新兴信息技术与传统产业融合日渐加深，为企业发展提供了新机遇与新挑战，为经济发展注入新</w:t>
      </w:r>
      <w:r>
        <w:rPr>
          <w:spacing w:val="-63"/>
        </w:rPr>
        <w:t> </w:t>
      </w:r>
      <w:r>
        <w:rPr>
          <w:spacing w:val="-63"/>
        </w:rPr>
      </w:r>
      <w:r>
        <w:rPr/>
        <w:t>动能。</w:t>
      </w:r>
    </w:p>
    <w:p>
      <w:pPr>
        <w:pStyle w:val="BodyText"/>
        <w:spacing w:line="316" w:lineRule="auto" w:before="22"/>
        <w:ind w:right="1130" w:firstLine="419"/>
        <w:jc w:val="both"/>
      </w:pPr>
      <w:r>
        <w:rPr/>
        <w:t>公司作为大型的综合性行业应用软件开发、计算机系统集成和信息技术服务提供商，未来将紧随国家战略发展步伐， </w:t>
      </w:r>
      <w:r>
        <w:rPr>
          <w:spacing w:val="-2"/>
        </w:rPr>
        <w:t>不断优化升级产品与服务，依托人工智能、大数据及区块链等新兴技术，在保持核心竞争优势的同时逐步实现向云服务商的</w:t>
      </w:r>
      <w:r>
        <w:rPr>
          <w:spacing w:val="-63"/>
        </w:rPr>
        <w:t> </w:t>
      </w:r>
      <w:r>
        <w:rPr>
          <w:spacing w:val="-63"/>
        </w:rPr>
      </w:r>
      <w:r>
        <w:rPr/>
        <w:t>转型。</w:t>
      </w:r>
    </w:p>
    <w:p>
      <w:pPr>
        <w:pStyle w:val="BodyText"/>
        <w:spacing w:line="468" w:lineRule="exact" w:before="11"/>
        <w:ind w:left="572" w:right="986"/>
        <w:jc w:val="left"/>
      </w:pPr>
      <w:r>
        <w:rPr>
          <w:rFonts w:ascii="Times New Roman" w:hAnsi="Times New Roman" w:cs="Times New Roman" w:eastAsia="Times New Roman" w:hint="default"/>
          <w:b/>
          <w:bCs/>
        </w:rPr>
        <w:t>2</w:t>
      </w:r>
      <w:r>
        <w:rPr>
          <w:rFonts w:ascii="宋体" w:hAnsi="宋体" w:cs="宋体" w:eastAsia="宋体" w:hint="default"/>
          <w:b/>
          <w:bCs/>
        </w:rPr>
        <w:t>、智慧医疗</w:t>
      </w:r>
      <w:r>
        <w:rPr>
          <w:rFonts w:ascii="宋体" w:hAnsi="宋体" w:cs="宋体" w:eastAsia="宋体" w:hint="default"/>
          <w:b/>
          <w:bCs/>
          <w:w w:val="99"/>
        </w:rPr>
        <w:t> </w:t>
      </w:r>
      <w:r>
        <w:rPr/>
        <w:t>自分级诊疗、远程医疗、医保支付等医改政策落地后，国家相继发布《关于申报按疾病诊断相关分组付费国家试点的</w:t>
      </w:r>
    </w:p>
    <w:p>
      <w:pPr>
        <w:pStyle w:val="BodyText"/>
        <w:spacing w:line="309" w:lineRule="auto" w:before="8"/>
        <w:ind w:right="1130"/>
        <w:jc w:val="both"/>
      </w:pPr>
      <w:r>
        <w:rPr/>
        <w:t>通知》等若干政策，大力推行电子病历新政、</w:t>
      </w:r>
      <w:r>
        <w:rPr>
          <w:rFonts w:ascii="Times New Roman" w:hAnsi="Times New Roman" w:cs="Times New Roman" w:eastAsia="Times New Roman" w:hint="default"/>
        </w:rPr>
        <w:t>DRGs</w:t>
      </w:r>
      <w:r>
        <w:rPr/>
        <w:t>国家试点申报工作、医联体建设等工作，推动医疗信息化建设，并加大</w:t>
      </w:r>
      <w:r>
        <w:rPr>
          <w:spacing w:val="-86"/>
        </w:rPr>
        <w:t> </w:t>
      </w:r>
      <w:r>
        <w:rPr>
          <w:spacing w:val="-86"/>
        </w:rPr>
      </w:r>
      <w:r>
        <w:rPr>
          <w:spacing w:val="-2"/>
        </w:rPr>
        <w:t>鼓励医疗大数据、医疗人工智能等新技术在医疗健康领域的应用和创业。同时，医疗大数据、人工智能等创新技术应用屡获</w:t>
      </w:r>
      <w:r>
        <w:rPr>
          <w:spacing w:val="-64"/>
        </w:rPr>
        <w:t> </w:t>
      </w:r>
      <w:r>
        <w:rPr>
          <w:spacing w:val="-64"/>
        </w:rPr>
      </w:r>
      <w:r>
        <w:rPr>
          <w:spacing w:val="-2"/>
        </w:rPr>
        <w:t>突破，精准医疗、互联网医疗、移动医疗等新兴智慧医疗领域倍受关注，为智慧医疗的发展带来新的机遇。据中商产业研究</w:t>
      </w:r>
      <w:r>
        <w:rPr>
          <w:spacing w:val="-67"/>
        </w:rPr>
        <w:t> </w:t>
      </w:r>
      <w:r>
        <w:rPr>
          <w:spacing w:val="-67"/>
        </w:rPr>
      </w:r>
      <w:r>
        <w:rPr/>
        <w:t>院估计，我国智慧医疗市场目前销售规模已达到</w:t>
      </w:r>
      <w:r>
        <w:rPr>
          <w:rFonts w:ascii="Times New Roman" w:hAnsi="Times New Roman" w:cs="Times New Roman" w:eastAsia="Times New Roman" w:hint="default"/>
        </w:rPr>
        <w:t>700</w:t>
      </w:r>
      <w:r>
        <w:rPr/>
        <w:t>亿元，投资规模有望在</w:t>
      </w:r>
      <w:r>
        <w:rPr>
          <w:rFonts w:ascii="Times New Roman" w:hAnsi="Times New Roman" w:cs="Times New Roman" w:eastAsia="Times New Roman" w:hint="default"/>
        </w:rPr>
        <w:t>2020</w:t>
      </w:r>
      <w:r>
        <w:rPr/>
        <w:t>年超过</w:t>
      </w:r>
      <w:r>
        <w:rPr>
          <w:rFonts w:ascii="Times New Roman" w:hAnsi="Times New Roman" w:cs="Times New Roman" w:eastAsia="Times New Roman" w:hint="default"/>
        </w:rPr>
        <w:t>1000</w:t>
      </w:r>
      <w:r>
        <w:rPr/>
        <w:t>亿元，产业市场规模不断扩大，</w:t>
      </w:r>
      <w:r>
        <w:rPr>
          <w:spacing w:val="-87"/>
        </w:rPr>
        <w:t> </w:t>
      </w:r>
      <w:r>
        <w:rPr>
          <w:spacing w:val="-87"/>
        </w:rPr>
      </w:r>
      <w:r>
        <w:rPr/>
        <w:t>发展前景明朗。</w:t>
      </w:r>
    </w:p>
    <w:p>
      <w:pPr>
        <w:pStyle w:val="BodyText"/>
        <w:spacing w:line="309" w:lineRule="auto" w:before="24"/>
        <w:ind w:right="1133" w:firstLine="419"/>
        <w:jc w:val="both"/>
      </w:pPr>
      <w:r>
        <w:rPr/>
        <w:t>公司深耕医疗信息行业十余年，依托在业内丰富的实践经验与雄厚的技术资源，并充分利用三甲医院市场占有率第一 等行业资源优势，</w:t>
      </w:r>
      <w:r>
        <w:rPr>
          <w:rFonts w:ascii="Times New Roman" w:hAnsi="Times New Roman" w:cs="Times New Roman" w:eastAsia="Times New Roman" w:hint="default"/>
        </w:rPr>
        <w:t>2019</w:t>
      </w:r>
      <w:r>
        <w:rPr/>
        <w:t>年将继续推进</w:t>
      </w:r>
      <w:r>
        <w:rPr>
          <w:rFonts w:ascii="Times New Roman" w:hAnsi="Times New Roman" w:cs="Times New Roman" w:eastAsia="Times New Roman" w:hint="default"/>
        </w:rPr>
        <w:t>“</w:t>
      </w:r>
      <w:r>
        <w:rPr/>
        <w:t>一链三云</w:t>
      </w:r>
      <w:r>
        <w:rPr>
          <w:rFonts w:ascii="Times New Roman" w:hAnsi="Times New Roman" w:cs="Times New Roman" w:eastAsia="Times New Roman" w:hint="default"/>
        </w:rPr>
        <w:t>”</w:t>
      </w:r>
      <w:r>
        <w:rPr/>
        <w:t>战略的应用落地，推动智慧医疗行业</w:t>
      </w:r>
      <w:r>
        <w:rPr>
          <w:rFonts w:ascii="Times New Roman" w:hAnsi="Times New Roman" w:cs="Times New Roman" w:eastAsia="Times New Roman" w:hint="default"/>
        </w:rPr>
        <w:t>DRGs</w:t>
      </w:r>
      <w:r>
        <w:rPr/>
        <w:t>改革、电子病历改革、医疗信息</w:t>
      </w:r>
      <w:r>
        <w:rPr>
          <w:spacing w:val="-70"/>
        </w:rPr>
        <w:t> </w:t>
      </w:r>
      <w:r>
        <w:rPr>
          <w:spacing w:val="-70"/>
        </w:rPr>
      </w:r>
      <w:r>
        <w:rPr/>
        <w:t>云化等重点工程的实施与发展。</w:t>
      </w:r>
    </w:p>
    <w:p>
      <w:pPr>
        <w:spacing w:line="240" w:lineRule="auto" w:before="11"/>
        <w:rPr>
          <w:rFonts w:ascii="宋体" w:hAnsi="宋体" w:cs="宋体" w:eastAsia="宋体" w:hint="default"/>
          <w:sz w:val="13"/>
          <w:szCs w:val="13"/>
        </w:rPr>
      </w:pPr>
    </w:p>
    <w:p>
      <w:pPr>
        <w:pStyle w:val="Heading5"/>
        <w:spacing w:line="240" w:lineRule="auto"/>
        <w:ind w:left="572" w:right="986"/>
        <w:jc w:val="left"/>
        <w:rPr>
          <w:b w:val="0"/>
          <w:bCs w:val="0"/>
        </w:rPr>
      </w:pPr>
      <w:r>
        <w:rPr>
          <w:rFonts w:ascii="Times New Roman" w:hAnsi="Times New Roman" w:cs="Times New Roman" w:eastAsia="Times New Roman" w:hint="default"/>
        </w:rPr>
        <w:t>3</w:t>
      </w:r>
      <w:r>
        <w:rPr/>
        <w:t>、智慧金融</w:t>
      </w:r>
      <w:r>
        <w:rPr>
          <w:b w:val="0"/>
          <w:bCs w:val="0"/>
        </w:rPr>
      </w:r>
    </w:p>
    <w:p>
      <w:pPr>
        <w:spacing w:line="240" w:lineRule="auto" w:before="9"/>
        <w:rPr>
          <w:rFonts w:ascii="宋体" w:hAnsi="宋体" w:cs="宋体" w:eastAsia="宋体" w:hint="default"/>
          <w:b/>
          <w:bCs/>
          <w:sz w:val="16"/>
          <w:szCs w:val="16"/>
        </w:rPr>
      </w:pPr>
    </w:p>
    <w:p>
      <w:pPr>
        <w:pStyle w:val="BodyText"/>
        <w:spacing w:line="307" w:lineRule="auto"/>
        <w:ind w:right="1130" w:firstLine="420"/>
        <w:jc w:val="both"/>
      </w:pPr>
      <w:r>
        <w:rPr>
          <w:spacing w:val="-1"/>
        </w:rPr>
        <w:t>国家发布的《金融业标准化体系建设发展规划（</w:t>
      </w:r>
      <w:r>
        <w:rPr>
          <w:rFonts w:ascii="Times New Roman" w:hAnsi="Times New Roman" w:cs="Times New Roman" w:eastAsia="Times New Roman" w:hint="default"/>
          <w:spacing w:val="-1"/>
        </w:rPr>
        <w:t>2016-2020</w:t>
      </w:r>
      <w:r>
        <w:rPr>
          <w:spacing w:val="-1"/>
        </w:rPr>
        <w:t>年）》对互联网金融标准化工程做出明确指示，智慧金融行</w:t>
      </w:r>
      <w:r>
        <w:rPr/>
        <w:t> 业进入了监管明朗、合规发展的新阶段，而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等政策的推进和消费者对金融服务与日俱增的市场需求为金融信息化</w:t>
      </w:r>
      <w:r>
        <w:rPr>
          <w:spacing w:val="-76"/>
        </w:rPr>
        <w:t> </w:t>
      </w:r>
      <w:r>
        <w:rPr>
          <w:spacing w:val="-76"/>
        </w:rPr>
      </w:r>
      <w:r>
        <w:rPr>
          <w:spacing w:val="-2"/>
        </w:rPr>
        <w:t>行业不断注入新的动力。随着大数据、人工智能、云计算、物联网、区块链等金融科技手段愈发成熟且高度融合，金融科技</w:t>
      </w:r>
      <w:r>
        <w:rPr>
          <w:spacing w:val="-69"/>
        </w:rPr>
        <w:t> </w:t>
      </w:r>
      <w:r>
        <w:rPr>
          <w:spacing w:val="-69"/>
        </w:rPr>
      </w:r>
      <w:r>
        <w:rPr/>
        <w:t>赋予了传统金融新的内涵，扩展了传统金融的边界，丰富了传统金融的实践手段。</w:t>
      </w:r>
    </w:p>
    <w:p>
      <w:pPr>
        <w:pStyle w:val="BodyText"/>
        <w:spacing w:line="316" w:lineRule="auto" w:before="26"/>
        <w:ind w:right="1135" w:firstLine="419"/>
        <w:jc w:val="both"/>
      </w:pPr>
      <w:r>
        <w:rPr/>
        <w:t>公司后续将依托自身技术和资源双重优势，结合金融市场经验，通过大数据、人工智能、云计算等金融科技手段，全 面优化业务流程与客户服务等方面，实现金融产品、风控、服务的智慧化，为现有及潜在客户提供多元化服务。</w:t>
      </w:r>
    </w:p>
    <w:p>
      <w:pPr>
        <w:pStyle w:val="BodyText"/>
        <w:spacing w:line="468" w:lineRule="exact" w:before="11"/>
        <w:ind w:left="572" w:right="986"/>
        <w:jc w:val="left"/>
      </w:pPr>
      <w:r>
        <w:rPr>
          <w:rFonts w:ascii="Times New Roman" w:hAnsi="Times New Roman" w:cs="Times New Roman" w:eastAsia="Times New Roman" w:hint="default"/>
          <w:b/>
          <w:bCs/>
        </w:rPr>
        <w:t>4</w:t>
      </w:r>
      <w:r>
        <w:rPr>
          <w:rFonts w:ascii="宋体" w:hAnsi="宋体" w:cs="宋体" w:eastAsia="宋体" w:hint="default"/>
          <w:b/>
          <w:bCs/>
        </w:rPr>
        <w:t>、智慧城市</w:t>
      </w:r>
      <w:r>
        <w:rPr>
          <w:rFonts w:ascii="宋体" w:hAnsi="宋体" w:cs="宋体" w:eastAsia="宋体" w:hint="default"/>
          <w:b/>
          <w:bCs/>
          <w:w w:val="99"/>
        </w:rPr>
        <w:t> </w:t>
      </w:r>
      <w:r>
        <w:rPr/>
        <w:t>随着党的十九大报告中首次提出</w:t>
      </w:r>
      <w:r>
        <w:rPr>
          <w:rFonts w:ascii="Times New Roman" w:hAnsi="Times New Roman" w:cs="Times New Roman" w:eastAsia="Times New Roman" w:hint="default"/>
        </w:rPr>
        <w:t>“</w:t>
      </w:r>
      <w:r>
        <w:rPr/>
        <w:t>智慧社会</w:t>
      </w:r>
      <w:r>
        <w:rPr>
          <w:rFonts w:ascii="Times New Roman" w:hAnsi="Times New Roman" w:cs="Times New Roman" w:eastAsia="Times New Roman" w:hint="default"/>
        </w:rPr>
        <w:t>”</w:t>
      </w:r>
      <w:r>
        <w:rPr/>
        <w:t>的概念，《新一代人工智能发展规划》、《智慧城市时空大数据与云平台</w:t>
      </w:r>
    </w:p>
    <w:p>
      <w:pPr>
        <w:pStyle w:val="BodyText"/>
        <w:spacing w:line="307" w:lineRule="auto" w:before="8"/>
        <w:ind w:right="986"/>
        <w:jc w:val="left"/>
      </w:pPr>
      <w:r>
        <w:rPr>
          <w:spacing w:val="-4"/>
        </w:rPr>
        <w:t>建设技术大纲（</w:t>
      </w:r>
      <w:r>
        <w:rPr>
          <w:rFonts w:ascii="Times New Roman" w:hAnsi="Times New Roman" w:cs="Times New Roman" w:eastAsia="Times New Roman" w:hint="default"/>
          <w:spacing w:val="-4"/>
        </w:rPr>
        <w:t>2017</w:t>
      </w:r>
      <w:r>
        <w:rPr>
          <w:spacing w:val="-4"/>
        </w:rPr>
        <w:t>版）》等多项政策推进落地，智慧城市的发展规模和建设水平得到了全方位的提升，产业实现高速增长。</w:t>
      </w:r>
      <w:r>
        <w:rPr>
          <w:spacing w:val="-37"/>
        </w:rPr>
        <w:t> </w:t>
      </w:r>
      <w:r>
        <w:rPr>
          <w:spacing w:val="-37"/>
        </w:rPr>
      </w:r>
      <w:r>
        <w:rPr>
          <w:spacing w:val="-2"/>
        </w:rPr>
        <w:t>此外，人工智能与社会、国防等多方面的深度融合，从经济层面为智慧城市的建设打下夯实的基础。根据前瞻产业研究院提</w:t>
      </w:r>
      <w:r>
        <w:rPr>
          <w:spacing w:val="-64"/>
        </w:rPr>
        <w:t> </w:t>
      </w:r>
      <w:r>
        <w:rPr>
          <w:spacing w:val="-64"/>
        </w:rPr>
      </w:r>
      <w:r>
        <w:rPr/>
        <w:t>供的数据，目前我国在建的智慧城市达到</w:t>
      </w:r>
      <w:r>
        <w:rPr>
          <w:rFonts w:ascii="Times New Roman" w:hAnsi="Times New Roman" w:cs="Times New Roman" w:eastAsia="Times New Roman" w:hint="default"/>
        </w:rPr>
        <w:t>500</w:t>
      </w:r>
      <w:r>
        <w:rPr/>
        <w:t>个，市场规模达到</w:t>
      </w:r>
      <w:r>
        <w:rPr>
          <w:rFonts w:ascii="Times New Roman" w:hAnsi="Times New Roman" w:cs="Times New Roman" w:eastAsia="Times New Roman" w:hint="default"/>
        </w:rPr>
        <w:t>7.9</w:t>
      </w:r>
      <w:r>
        <w:rPr/>
        <w:t>万亿元，未来五年年均复合增长率约为</w:t>
      </w:r>
      <w:r>
        <w:rPr>
          <w:rFonts w:ascii="Times New Roman" w:hAnsi="Times New Roman" w:cs="Times New Roman" w:eastAsia="Times New Roman" w:hint="default"/>
        </w:rPr>
        <w:t>33%</w:t>
      </w:r>
      <w:r>
        <w:rPr/>
        <w:t>，智慧城市产 业呈现出加速增长的态势。</w:t>
      </w:r>
    </w:p>
    <w:p>
      <w:pPr>
        <w:pStyle w:val="BodyText"/>
        <w:spacing w:line="316" w:lineRule="auto" w:before="26"/>
        <w:ind w:right="1135" w:firstLine="419"/>
        <w:jc w:val="both"/>
      </w:pPr>
      <w:r>
        <w:rPr/>
        <w:t>公司未来将充分利用分布于全国各地子公司的人才优势与技术资源，继续协同腾讯云在智慧城市方面深化合作，构筑 公司全国战略布局，进一步提升市场份额与核心竞争力，以更优质的产品与服务助力中国智慧城市的发展建设。</w:t>
      </w:r>
    </w:p>
    <w:p>
      <w:pPr>
        <w:pStyle w:val="BodyText"/>
        <w:spacing w:line="468" w:lineRule="exact" w:before="11"/>
        <w:ind w:left="572" w:right="986"/>
        <w:jc w:val="left"/>
      </w:pPr>
      <w:r>
        <w:rPr>
          <w:rFonts w:ascii="Times New Roman" w:hAnsi="Times New Roman" w:cs="Times New Roman" w:eastAsia="Times New Roman" w:hint="default"/>
          <w:b/>
          <w:bCs/>
        </w:rPr>
        <w:t>5</w:t>
      </w:r>
      <w:r>
        <w:rPr>
          <w:rFonts w:ascii="宋体" w:hAnsi="宋体" w:cs="宋体" w:eastAsia="宋体" w:hint="default"/>
          <w:b/>
          <w:bCs/>
        </w:rPr>
        <w:t>、物联网</w:t>
      </w:r>
      <w:r>
        <w:rPr>
          <w:rFonts w:ascii="宋体" w:hAnsi="宋体" w:cs="宋体" w:eastAsia="宋体" w:hint="default"/>
          <w:b/>
          <w:bCs/>
          <w:w w:val="99"/>
        </w:rPr>
        <w:t> </w:t>
      </w:r>
      <w:r>
        <w:rPr/>
        <w:t>近年来，全球物联网市场规模持续稳步增长，物联网解决方案渐趋成熟。在供给侧和需求侧的双重推动下，我国物联</w:t>
      </w:r>
    </w:p>
    <w:p>
      <w:pPr>
        <w:pStyle w:val="BodyText"/>
        <w:spacing w:line="316" w:lineRule="auto" w:before="8"/>
        <w:ind w:right="1130"/>
        <w:jc w:val="both"/>
      </w:pPr>
      <w:r>
        <w:rPr>
          <w:spacing w:val="-2"/>
        </w:rPr>
        <w:t>网数据呈规模化及多样性，行业生态体系逐步完善，细分领域创新成果不断涌现。随着人工智能、边缘计算、区块链等新技</w:t>
      </w:r>
      <w:r>
        <w:rPr>
          <w:spacing w:val="-67"/>
        </w:rPr>
        <w:t> </w:t>
      </w:r>
      <w:r>
        <w:rPr>
          <w:spacing w:val="-67"/>
        </w:rPr>
      </w:r>
      <w:r>
        <w:rPr>
          <w:spacing w:val="-2"/>
        </w:rPr>
        <w:t>术加速与物联网结合，跨界应用崛起，物联网行业应用渗透率提升和用户数逐年提升。在技术应用层面，物联网技术已成功</w:t>
      </w:r>
      <w:r>
        <w:rPr>
          <w:spacing w:val="-65"/>
        </w:rPr>
        <w:t> </w:t>
      </w:r>
      <w:r>
        <w:rPr>
          <w:spacing w:val="-65"/>
        </w:rPr>
      </w:r>
      <w:r>
        <w:rPr>
          <w:spacing w:val="-2"/>
        </w:rPr>
        <w:t>在交通、物流、环保、医疗等若干领域投入试点，有效地降低了企业生产成本，提高了企业整体运营效率。《物联网白皮书</w:t>
      </w:r>
    </w:p>
    <w:p>
      <w:pPr>
        <w:pStyle w:val="BodyText"/>
        <w:spacing w:line="300" w:lineRule="auto" w:before="18"/>
        <w:ind w:left="572" w:right="986" w:hanging="420"/>
        <w:jc w:val="left"/>
      </w:pPr>
      <w:r>
        <w:rPr/>
        <w:t>（</w:t>
      </w:r>
      <w:r>
        <w:rPr>
          <w:rFonts w:ascii="Times New Roman" w:hAnsi="Times New Roman" w:cs="Times New Roman" w:eastAsia="Times New Roman" w:hint="default"/>
        </w:rPr>
        <w:t>2018</w:t>
      </w:r>
      <w:r>
        <w:rPr/>
        <w:t>）》显示，</w:t>
      </w:r>
      <w:r>
        <w:rPr>
          <w:rFonts w:ascii="Times New Roman" w:hAnsi="Times New Roman" w:cs="Times New Roman" w:eastAsia="Times New Roman" w:hint="default"/>
        </w:rPr>
        <w:t>2018</w:t>
      </w:r>
      <w:r>
        <w:rPr/>
        <w:t>年我国物联网总体产业规模达到约</w:t>
      </w:r>
      <w:r>
        <w:rPr>
          <w:rFonts w:ascii="Times New Roman" w:hAnsi="Times New Roman" w:cs="Times New Roman" w:eastAsia="Times New Roman" w:hint="default"/>
        </w:rPr>
        <w:t>1.2</w:t>
      </w:r>
      <w:r>
        <w:rPr/>
        <w:t>万亿元，产业规模可观，发展前景明朗。 公司未来将整合在行业内积累的人才、技术、资源等优势，持续增加在物联网方面的研发投入，结合人工智能、工业</w:t>
      </w:r>
    </w:p>
    <w:p>
      <w:pPr>
        <w:spacing w:after="0" w:line="30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大数据、云计算等前端技术，把握行业发展趋势，全面布局物联网产业链，为客户提供优质的产品与服务。</w:t>
      </w:r>
    </w:p>
    <w:p>
      <w:pPr>
        <w:spacing w:line="240" w:lineRule="auto" w:before="10"/>
        <w:rPr>
          <w:rFonts w:ascii="宋体" w:hAnsi="宋体" w:cs="宋体" w:eastAsia="宋体" w:hint="default"/>
          <w:sz w:val="17"/>
          <w:szCs w:val="17"/>
        </w:rPr>
      </w:pPr>
    </w:p>
    <w:p>
      <w:pPr>
        <w:pStyle w:val="Heading5"/>
        <w:spacing w:line="240" w:lineRule="auto"/>
        <w:ind w:left="572" w:right="986"/>
        <w:jc w:val="left"/>
        <w:rPr>
          <w:b w:val="0"/>
          <w:bCs w:val="0"/>
        </w:rPr>
      </w:pPr>
      <w:r>
        <w:rPr>
          <w:rFonts w:ascii="Times New Roman" w:hAnsi="Times New Roman" w:cs="Times New Roman" w:eastAsia="Times New Roman" w:hint="default"/>
        </w:rPr>
        <w:t>6</w:t>
      </w:r>
      <w:r>
        <w:rPr/>
        <w:t>、云服务</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1043" w:firstLine="419"/>
        <w:jc w:val="both"/>
      </w:pPr>
      <w:r>
        <w:rPr/>
        <w:t>自</w:t>
      </w:r>
      <w:r>
        <w:rPr>
          <w:rFonts w:ascii="Times New Roman" w:hAnsi="Times New Roman" w:cs="Times New Roman" w:eastAsia="Times New Roman" w:hint="default"/>
        </w:rPr>
        <w:t>2017</w:t>
      </w:r>
      <w:r>
        <w:rPr/>
        <w:t>年工信部发布《云计算发展三年行动计划（</w:t>
      </w:r>
      <w:r>
        <w:rPr>
          <w:rFonts w:ascii="Times New Roman" w:hAnsi="Times New Roman" w:cs="Times New Roman" w:eastAsia="Times New Roman" w:hint="default"/>
        </w:rPr>
        <w:t>2017-2019</w:t>
      </w:r>
      <w:r>
        <w:rPr/>
        <w:t>年）》以来，软件企业推动自身产业生态体系建设与向云 服务商转型，云计算的应用成为了行业内新的发展趋势。</w:t>
      </w:r>
      <w:r>
        <w:rPr>
          <w:rFonts w:ascii="Times New Roman" w:hAnsi="Times New Roman" w:cs="Times New Roman" w:eastAsia="Times New Roman" w:hint="default"/>
        </w:rPr>
        <w:t>2018</w:t>
      </w:r>
      <w:r>
        <w:rPr/>
        <w:t>年出台的《推动企业上云实施指南（</w:t>
      </w:r>
      <w:r>
        <w:rPr>
          <w:rFonts w:ascii="Times New Roman" w:hAnsi="Times New Roman" w:cs="Times New Roman" w:eastAsia="Times New Roman" w:hint="default"/>
        </w:rPr>
        <w:t>2018-2020</w:t>
      </w:r>
      <w:r>
        <w:rPr/>
        <w:t>年）》等政策</w:t>
      </w:r>
      <w:r>
        <w:rPr>
          <w:spacing w:val="-63"/>
        </w:rPr>
        <w:t> </w:t>
      </w:r>
      <w:r>
        <w:rPr>
          <w:spacing w:val="-2"/>
        </w:rPr>
        <w:t>明确了</w:t>
      </w:r>
      <w:r>
        <w:rPr>
          <w:rFonts w:ascii="Times New Roman" w:hAnsi="Times New Roman" w:cs="Times New Roman" w:eastAsia="Times New Roman" w:hint="default"/>
          <w:spacing w:val="-2"/>
        </w:rPr>
        <w:t>2020</w:t>
      </w:r>
      <w:r>
        <w:rPr>
          <w:spacing w:val="-2"/>
        </w:rPr>
        <w:t>年全国新增上云企业</w:t>
      </w:r>
      <w:r>
        <w:rPr>
          <w:rFonts w:ascii="Times New Roman" w:hAnsi="Times New Roman" w:cs="Times New Roman" w:eastAsia="Times New Roman" w:hint="default"/>
          <w:spacing w:val="-2"/>
        </w:rPr>
        <w:t>100</w:t>
      </w:r>
      <w:r>
        <w:rPr>
          <w:spacing w:val="-2"/>
        </w:rPr>
        <w:t>万家的目标，从政策层面进一步推动云端市场的发展，为行业创造了新的机遇和增长点。</w:t>
      </w:r>
    </w:p>
    <w:p>
      <w:pPr>
        <w:pStyle w:val="BodyText"/>
        <w:spacing w:line="300" w:lineRule="auto" w:before="13"/>
        <w:ind w:right="1133"/>
        <w:jc w:val="both"/>
      </w:pPr>
      <w:r>
        <w:rPr/>
        <w:t>《云计算发展白皮书（</w:t>
      </w:r>
      <w:r>
        <w:rPr>
          <w:rFonts w:ascii="Times New Roman" w:hAnsi="Times New Roman" w:cs="Times New Roman" w:eastAsia="Times New Roman" w:hint="default"/>
        </w:rPr>
        <w:t>2018</w:t>
      </w:r>
      <w:r>
        <w:rPr/>
        <w:t>年）》显示，</w:t>
      </w:r>
      <w:r>
        <w:rPr>
          <w:rFonts w:ascii="Times New Roman" w:hAnsi="Times New Roman" w:cs="Times New Roman" w:eastAsia="Times New Roman" w:hint="default"/>
        </w:rPr>
        <w:t>2017</w:t>
      </w:r>
      <w:r>
        <w:rPr/>
        <w:t>年我国云计算整体市场规模达</w:t>
      </w:r>
      <w:r>
        <w:rPr>
          <w:rFonts w:ascii="Times New Roman" w:hAnsi="Times New Roman" w:cs="Times New Roman" w:eastAsia="Times New Roman" w:hint="default"/>
        </w:rPr>
        <w:t>691.6</w:t>
      </w:r>
      <w:r>
        <w:rPr/>
        <w:t>亿元，增速达到</w:t>
      </w:r>
      <w:r>
        <w:rPr>
          <w:rFonts w:ascii="Times New Roman" w:hAnsi="Times New Roman" w:cs="Times New Roman" w:eastAsia="Times New Roman" w:hint="default"/>
        </w:rPr>
        <w:t>34.32%</w:t>
      </w:r>
      <w:r>
        <w:rPr/>
        <w:t>，其中公有云市场</w:t>
      </w:r>
      <w:r>
        <w:rPr>
          <w:spacing w:val="-62"/>
        </w:rPr>
        <w:t> </w:t>
      </w:r>
      <w:r>
        <w:rPr>
          <w:spacing w:val="-62"/>
        </w:rPr>
      </w:r>
      <w:r>
        <w:rPr>
          <w:spacing w:val="-1"/>
        </w:rPr>
        <w:t>增速超过</w:t>
      </w:r>
      <w:r>
        <w:rPr>
          <w:rFonts w:ascii="Times New Roman" w:hAnsi="Times New Roman" w:cs="Times New Roman" w:eastAsia="Times New Roman" w:hint="default"/>
          <w:spacing w:val="-1"/>
        </w:rPr>
        <w:t>50%</w:t>
      </w:r>
      <w:r>
        <w:rPr>
          <w:spacing w:val="-1"/>
        </w:rPr>
        <w:t>。在政策扶持与用户需求量不断增加的大环境下，云服务未来产业规模和应用规模将不断扩大，整体行业预计</w:t>
      </w:r>
      <w:r>
        <w:rPr/>
        <w:t> 保持高速稳定的增长趋势。</w:t>
      </w:r>
    </w:p>
    <w:p>
      <w:pPr>
        <w:pStyle w:val="BodyText"/>
        <w:spacing w:line="309" w:lineRule="auto" w:before="31"/>
        <w:ind w:right="1133" w:firstLine="419"/>
        <w:jc w:val="both"/>
      </w:pPr>
      <w:r>
        <w:rPr/>
        <w:t>公司依托在医疗、金融、智慧城市等领域的广泛布局和在云端市场科研方面的大量投入，</w:t>
      </w:r>
      <w:r>
        <w:rPr>
          <w:rFonts w:ascii="Times New Roman" w:hAnsi="Times New Roman" w:cs="Times New Roman" w:eastAsia="Times New Roman" w:hint="default"/>
        </w:rPr>
        <w:t>2019</w:t>
      </w:r>
      <w:r>
        <w:rPr/>
        <w:t>年将继续根据市场需求 </w:t>
      </w:r>
      <w:r>
        <w:rPr>
          <w:spacing w:val="-2"/>
        </w:rPr>
        <w:t>和行业发展趋势对已有的云产品进行不断优化并研发出新的产品，为云市场带来更优质的服务，实现企业向云服务商的战略</w:t>
      </w:r>
      <w:r>
        <w:rPr>
          <w:spacing w:val="-64"/>
        </w:rPr>
        <w:t> </w:t>
      </w:r>
      <w:r>
        <w:rPr>
          <w:spacing w:val="-64"/>
        </w:rPr>
      </w:r>
      <w:r>
        <w:rPr/>
        <w:t>转型。</w:t>
      </w:r>
    </w:p>
    <w:p>
      <w:pPr>
        <w:pStyle w:val="BodyText"/>
        <w:spacing w:line="468" w:lineRule="exact" w:before="16"/>
        <w:ind w:left="572" w:right="986"/>
        <w:jc w:val="left"/>
      </w:pPr>
      <w:r>
        <w:rPr>
          <w:rFonts w:ascii="宋体" w:hAnsi="宋体" w:cs="宋体" w:eastAsia="宋体" w:hint="default"/>
          <w:b/>
          <w:bCs/>
        </w:rPr>
        <w:t>（二）公司发展战略</w:t>
      </w:r>
      <w:r>
        <w:rPr>
          <w:rFonts w:ascii="宋体" w:hAnsi="宋体" w:cs="宋体" w:eastAsia="宋体" w:hint="default"/>
          <w:b/>
          <w:bCs/>
          <w:w w:val="99"/>
        </w:rPr>
        <w:t> </w:t>
      </w:r>
      <w:r>
        <w:rPr/>
        <w:t>公司上市以来，始终遵循</w:t>
      </w:r>
      <w:r>
        <w:rPr>
          <w:rFonts w:ascii="Times New Roman" w:hAnsi="Times New Roman" w:cs="Times New Roman" w:eastAsia="Times New Roman" w:hint="default"/>
        </w:rPr>
        <w:t>“</w:t>
      </w:r>
      <w:r>
        <w:rPr/>
        <w:t>唯实、创新、勤勉、诚信</w:t>
      </w:r>
      <w:r>
        <w:rPr>
          <w:rFonts w:ascii="Times New Roman" w:hAnsi="Times New Roman" w:cs="Times New Roman" w:eastAsia="Times New Roman" w:hint="default"/>
        </w:rPr>
        <w:t>”</w:t>
      </w:r>
      <w:r>
        <w:rPr/>
        <w:t>的发展理念，一贯秉持稳中求进、变中求新的市场态度，用心专</w:t>
      </w:r>
    </w:p>
    <w:p>
      <w:pPr>
        <w:pStyle w:val="BodyText"/>
        <w:spacing w:line="316" w:lineRule="auto" w:before="8"/>
        <w:ind w:right="1135"/>
        <w:jc w:val="both"/>
      </w:pPr>
      <w:r>
        <w:rPr>
          <w:spacing w:val="-2"/>
        </w:rPr>
        <w:t>注于软件研发，聚焦发力于信息科技。随着物联网、人工智能、云计算等新兴技术的发展与普及，公司当前和未来一个时期</w:t>
      </w:r>
      <w:r>
        <w:rPr>
          <w:spacing w:val="-67"/>
        </w:rPr>
        <w:t> </w:t>
      </w:r>
      <w:r>
        <w:rPr>
          <w:spacing w:val="-67"/>
        </w:rPr>
      </w:r>
      <w:r>
        <w:rPr/>
        <w:t>将致力于从传统软件与信息技术企业向解决方案和服务提供商的转型，总体发展战略为：</w:t>
      </w:r>
    </w:p>
    <w:p>
      <w:pPr>
        <w:pStyle w:val="BodyText"/>
        <w:spacing w:line="468" w:lineRule="exact" w:before="11"/>
        <w:ind w:left="572" w:right="986"/>
        <w:jc w:val="left"/>
      </w:pPr>
      <w:r>
        <w:rPr>
          <w:rFonts w:ascii="Times New Roman" w:hAnsi="Times New Roman" w:cs="Times New Roman" w:eastAsia="Times New Roman" w:hint="default"/>
          <w:b/>
          <w:bCs/>
        </w:rPr>
        <w:t>1</w:t>
      </w:r>
      <w:r>
        <w:rPr>
          <w:rFonts w:ascii="宋体" w:hAnsi="宋体" w:cs="宋体" w:eastAsia="宋体" w:hint="default"/>
          <w:b/>
          <w:bCs/>
        </w:rPr>
        <w:t>、在目标方向上</w:t>
      </w:r>
      <w:r>
        <w:rPr>
          <w:rFonts w:ascii="宋体" w:hAnsi="宋体" w:cs="宋体" w:eastAsia="宋体" w:hint="default"/>
          <w:b/>
          <w:bCs/>
          <w:w w:val="99"/>
        </w:rPr>
        <w:t> </w:t>
      </w:r>
      <w:r>
        <w:rPr/>
        <w:t>强化公司的技术优势和市场优势，专注发展在云计算、人工智能、大数据、物联网、区块链等新兴技术产业的市场拓</w:t>
      </w:r>
    </w:p>
    <w:p>
      <w:pPr>
        <w:pStyle w:val="BodyText"/>
        <w:spacing w:line="240" w:lineRule="auto" w:before="8"/>
        <w:ind w:right="0"/>
        <w:jc w:val="both"/>
      </w:pPr>
      <w:r>
        <w:rPr/>
        <w:t>展与产品研发，为客户提供优质高端的数字产品和信息化服务，实现公司向云服务商的战略转型。</w:t>
      </w:r>
    </w:p>
    <w:p>
      <w:pPr>
        <w:pStyle w:val="BodyText"/>
        <w:spacing w:line="450" w:lineRule="atLeast" w:before="31"/>
        <w:ind w:left="572" w:right="1026"/>
        <w:jc w:val="left"/>
      </w:pPr>
      <w:r>
        <w:rPr>
          <w:rFonts w:ascii="Times New Roman" w:hAnsi="Times New Roman" w:cs="Times New Roman" w:eastAsia="Times New Roman" w:hint="default"/>
          <w:b/>
          <w:bCs/>
        </w:rPr>
        <w:t>2</w:t>
      </w:r>
      <w:r>
        <w:rPr>
          <w:rFonts w:ascii="宋体" w:hAnsi="宋体" w:cs="宋体" w:eastAsia="宋体" w:hint="default"/>
          <w:b/>
          <w:bCs/>
        </w:rPr>
        <w:t>、在核心业务上</w:t>
      </w:r>
      <w:r>
        <w:rPr>
          <w:rFonts w:ascii="宋体" w:hAnsi="宋体" w:cs="宋体" w:eastAsia="宋体" w:hint="default"/>
          <w:b/>
          <w:bCs/>
          <w:w w:val="99"/>
        </w:rPr>
        <w:t> </w:t>
      </w:r>
      <w:r>
        <w:rPr>
          <w:spacing w:val="-1"/>
        </w:rPr>
        <w:t>巩固与扩大智慧医疗、智慧城市、智慧金融等核心业务的技术优势与市场份额，有机结合区块链、大数据等热点技术，</w:t>
      </w:r>
    </w:p>
    <w:p>
      <w:pPr>
        <w:pStyle w:val="BodyText"/>
        <w:spacing w:line="240" w:lineRule="auto" w:before="76"/>
        <w:ind w:right="0"/>
        <w:jc w:val="both"/>
      </w:pPr>
      <w:r>
        <w:rPr/>
        <w:t>重点发展云服务、人工智能、物联网等领域，优化配置技术资源，不断实现技术创新，提升公司在行业内的综合竞争力。</w:t>
      </w:r>
    </w:p>
    <w:p>
      <w:pPr>
        <w:pStyle w:val="BodyText"/>
        <w:spacing w:line="450" w:lineRule="atLeast" w:before="31"/>
        <w:ind w:left="572" w:right="986"/>
        <w:jc w:val="left"/>
      </w:pPr>
      <w:r>
        <w:rPr>
          <w:rFonts w:ascii="Times New Roman" w:hAnsi="Times New Roman" w:cs="Times New Roman" w:eastAsia="Times New Roman" w:hint="default"/>
          <w:b/>
          <w:bCs/>
        </w:rPr>
        <w:t>3</w:t>
      </w:r>
      <w:r>
        <w:rPr>
          <w:rFonts w:ascii="宋体" w:hAnsi="宋体" w:cs="宋体" w:eastAsia="宋体" w:hint="default"/>
          <w:b/>
          <w:bCs/>
        </w:rPr>
        <w:t>、在外部协同上</w:t>
      </w:r>
      <w:r>
        <w:rPr>
          <w:rFonts w:ascii="宋体" w:hAnsi="宋体" w:cs="宋体" w:eastAsia="宋体" w:hint="default"/>
          <w:b/>
          <w:bCs/>
          <w:w w:val="99"/>
        </w:rPr>
        <w:t> </w:t>
      </w:r>
      <w:r>
        <w:rPr/>
        <w:t>整合核心技术、市场资源、品牌优势等多个维度，继续深化与腾讯在多个领域的战略合作，推进与阿里、京东等知名</w:t>
      </w:r>
    </w:p>
    <w:p>
      <w:pPr>
        <w:pStyle w:val="BodyText"/>
        <w:spacing w:line="240" w:lineRule="auto" w:before="76"/>
        <w:ind w:right="0"/>
        <w:jc w:val="both"/>
      </w:pPr>
      <w:r>
        <w:rPr/>
        <w:t>企业的合作关系。与此同时，加大产业整合的力度，为核心业务提供有力有效的保障。</w:t>
      </w:r>
    </w:p>
    <w:p>
      <w:pPr>
        <w:pStyle w:val="BodyText"/>
        <w:spacing w:line="460" w:lineRule="atLeast" w:before="21"/>
        <w:ind w:left="572" w:right="986"/>
        <w:jc w:val="left"/>
      </w:pPr>
      <w:r>
        <w:rPr>
          <w:rFonts w:ascii="Times New Roman" w:hAnsi="Times New Roman" w:cs="Times New Roman" w:eastAsia="Times New Roman" w:hint="default"/>
          <w:b/>
          <w:bCs/>
        </w:rPr>
        <w:t>4</w:t>
      </w:r>
      <w:r>
        <w:rPr>
          <w:rFonts w:ascii="宋体" w:hAnsi="宋体" w:cs="宋体" w:eastAsia="宋体" w:hint="default"/>
          <w:b/>
          <w:bCs/>
        </w:rPr>
        <w:t>、在实现方式上</w:t>
      </w:r>
      <w:r>
        <w:rPr>
          <w:rFonts w:ascii="宋体" w:hAnsi="宋体" w:cs="宋体" w:eastAsia="宋体" w:hint="default"/>
          <w:b/>
          <w:bCs/>
          <w:w w:val="99"/>
        </w:rPr>
        <w:t> </w:t>
      </w:r>
      <w:r>
        <w:rPr/>
        <w:t>集中优势资源，加大研发投入，贯彻公司</w:t>
      </w:r>
      <w:r>
        <w:rPr>
          <w:rFonts w:ascii="Times New Roman" w:hAnsi="Times New Roman" w:cs="Times New Roman" w:eastAsia="Times New Roman" w:hint="default"/>
        </w:rPr>
        <w:t>“</w:t>
      </w:r>
      <w:r>
        <w:rPr/>
        <w:t>技术创新、产品创新、科技创新</w:t>
      </w:r>
      <w:r>
        <w:rPr>
          <w:rFonts w:ascii="Times New Roman" w:hAnsi="Times New Roman" w:cs="Times New Roman" w:eastAsia="Times New Roman" w:hint="default"/>
        </w:rPr>
        <w:t>”</w:t>
      </w:r>
      <w:r>
        <w:rPr/>
        <w:t>的发展战略。同时，不断完善企业激励约</w:t>
      </w:r>
    </w:p>
    <w:p>
      <w:pPr>
        <w:pStyle w:val="BodyText"/>
        <w:spacing w:line="316" w:lineRule="auto" w:before="62"/>
        <w:ind w:right="1133"/>
        <w:jc w:val="both"/>
      </w:pPr>
      <w:r>
        <w:rPr>
          <w:spacing w:val="-2"/>
        </w:rPr>
        <w:t>束机制，集中力量打造一批像东华智慧城市、东华医为、银企汇、东华云、东华惠生活、互联宜家等具有市场竞争力的自主</w:t>
      </w:r>
      <w:r>
        <w:rPr>
          <w:spacing w:val="-67"/>
        </w:rPr>
        <w:t> </w:t>
      </w:r>
      <w:r>
        <w:rPr>
          <w:spacing w:val="-67"/>
        </w:rPr>
      </w:r>
      <w:r>
        <w:rPr/>
        <w:t>品牌，形成企业快速成长的战略纵深。</w:t>
      </w:r>
    </w:p>
    <w:p>
      <w:pPr>
        <w:spacing w:line="240" w:lineRule="auto" w:before="5"/>
        <w:rPr>
          <w:rFonts w:ascii="宋体" w:hAnsi="宋体" w:cs="宋体" w:eastAsia="宋体" w:hint="default"/>
          <w:sz w:val="13"/>
          <w:szCs w:val="13"/>
        </w:rPr>
      </w:pPr>
    </w:p>
    <w:p>
      <w:pPr>
        <w:pStyle w:val="Heading5"/>
        <w:spacing w:line="240" w:lineRule="auto"/>
        <w:ind w:left="572" w:right="986"/>
        <w:jc w:val="left"/>
        <w:rPr>
          <w:b w:val="0"/>
          <w:bCs w:val="0"/>
        </w:rPr>
      </w:pPr>
      <w:r>
        <w:rPr/>
        <w:t>（三）经营计划</w:t>
      </w:r>
      <w:r>
        <w:rPr>
          <w:b w:val="0"/>
          <w:bCs w:val="0"/>
        </w:rPr>
      </w:r>
    </w:p>
    <w:p>
      <w:pPr>
        <w:spacing w:line="240" w:lineRule="auto" w:before="10"/>
        <w:rPr>
          <w:rFonts w:ascii="宋体" w:hAnsi="宋体" w:cs="宋体" w:eastAsia="宋体" w:hint="default"/>
          <w:b/>
          <w:bCs/>
          <w:sz w:val="17"/>
          <w:szCs w:val="17"/>
        </w:rPr>
      </w:pPr>
    </w:p>
    <w:p>
      <w:pPr>
        <w:pStyle w:val="BodyText"/>
        <w:spacing w:line="312" w:lineRule="auto"/>
        <w:ind w:right="1034" w:firstLine="419"/>
        <w:jc w:val="left"/>
      </w:pPr>
      <w:r>
        <w:rPr>
          <w:rFonts w:ascii="Times New Roman" w:hAnsi="Times New Roman" w:cs="Times New Roman" w:eastAsia="Times New Roman" w:hint="default"/>
        </w:rPr>
        <w:t>2019</w:t>
      </w:r>
      <w:r>
        <w:rPr/>
        <w:t>年，公司将继续整合在市场、人才、技术等多方面的资源和优势，高效运用云计算、大数据、物联网、人工智能 </w:t>
      </w:r>
      <w:r>
        <w:rPr>
          <w:spacing w:val="-2"/>
        </w:rPr>
        <w:t>等新兴技术，不断巩固和加强在智慧医疗、智慧城市、智慧金融、政府等领域的领先位置，保持公司在软件和信息技术行业</w:t>
      </w:r>
      <w:r>
        <w:rPr>
          <w:spacing w:val="-67"/>
        </w:rPr>
        <w:t> </w:t>
      </w:r>
      <w:r>
        <w:rPr>
          <w:spacing w:val="-67"/>
        </w:rPr>
      </w:r>
      <w:r>
        <w:rPr/>
        <w:t>的龙头地位。此外，公司将进一步加强企业管理和内部控制，对内强化公司治理、完善员工激励制度，对外规范信息披露、 做好投资者管理。</w:t>
      </w:r>
    </w:p>
    <w:p>
      <w:pPr>
        <w:pStyle w:val="BodyText"/>
        <w:spacing w:line="300" w:lineRule="auto" w:before="22"/>
        <w:ind w:right="986" w:firstLine="419"/>
        <w:jc w:val="left"/>
      </w:pPr>
      <w:r>
        <w:rPr>
          <w:rFonts w:ascii="Times New Roman" w:hAnsi="Times New Roman" w:cs="Times New Roman" w:eastAsia="Times New Roman" w:hint="default"/>
        </w:rPr>
        <w:t>2019</w:t>
      </w:r>
      <w:r>
        <w:rPr/>
        <w:t>年，公司将按照既定战略布局，继续保持主营业务优势，不断加大技术创新和产品研发投入，完善业务生态链， 全力提升公司综合竞争力。</w:t>
      </w:r>
    </w:p>
    <w:p>
      <w:pPr>
        <w:pStyle w:val="BodyText"/>
        <w:spacing w:line="240" w:lineRule="auto" w:before="31"/>
        <w:ind w:left="572" w:right="986"/>
        <w:jc w:val="left"/>
      </w:pPr>
      <w:r>
        <w:rPr>
          <w:rFonts w:ascii="Times New Roman" w:hAnsi="Times New Roman" w:cs="Times New Roman" w:eastAsia="Times New Roman" w:hint="default"/>
        </w:rPr>
        <w:t>2019</w:t>
      </w:r>
      <w:r>
        <w:rPr/>
        <w:t>年具体经营计划如下：</w:t>
      </w:r>
    </w:p>
    <w:p>
      <w:pPr>
        <w:spacing w:line="240" w:lineRule="auto" w:before="10"/>
        <w:rPr>
          <w:rFonts w:ascii="宋体" w:hAnsi="宋体" w:cs="宋体" w:eastAsia="宋体" w:hint="default"/>
          <w:sz w:val="16"/>
          <w:szCs w:val="16"/>
        </w:rPr>
      </w:pPr>
    </w:p>
    <w:p>
      <w:pPr>
        <w:pStyle w:val="Heading5"/>
        <w:spacing w:line="240" w:lineRule="auto"/>
        <w:ind w:left="572" w:right="986"/>
        <w:jc w:val="left"/>
        <w:rPr>
          <w:b w:val="0"/>
          <w:bCs w:val="0"/>
        </w:rPr>
      </w:pPr>
      <w:r>
        <w:rPr>
          <w:rFonts w:ascii="Times New Roman" w:hAnsi="Times New Roman" w:cs="Times New Roman" w:eastAsia="Times New Roman" w:hint="default"/>
        </w:rPr>
        <w:t>1</w:t>
      </w:r>
      <w:r>
        <w:rPr/>
        <w:t>、深耕主业加强创新，实现公司战略转型</w:t>
      </w:r>
      <w:r>
        <w:rPr>
          <w:b w:val="0"/>
          <w:bCs w:val="0"/>
        </w:rPr>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b/>
          <w:bCs/>
          <w:sz w:val="25"/>
          <w:szCs w:val="25"/>
        </w:rPr>
      </w:pPr>
    </w:p>
    <w:p>
      <w:pPr>
        <w:pStyle w:val="BodyText"/>
        <w:spacing w:line="312" w:lineRule="auto" w:before="44"/>
        <w:ind w:right="1034" w:firstLine="419"/>
        <w:jc w:val="left"/>
      </w:pPr>
      <w:r>
        <w:rPr/>
        <w:t>东华软件作为全国领先的综合性软件与信息技术服务提供商，始终坚持技术创新，为客户提供更前沿、更便捷、更符 合需求的服务和产品。</w:t>
      </w:r>
      <w:r>
        <w:rPr>
          <w:rFonts w:ascii="Times New Roman" w:hAnsi="Times New Roman" w:cs="Times New Roman" w:eastAsia="Times New Roman" w:hint="default"/>
        </w:rPr>
        <w:t>2019</w:t>
      </w:r>
      <w:r>
        <w:rPr/>
        <w:t>年，公司将继续加大技术创新和产品研发投入，加强自主创新研发，不断提升云计算、大数据、 </w:t>
      </w:r>
      <w:r>
        <w:rPr>
          <w:spacing w:val="-2"/>
        </w:rPr>
        <w:t>物联网、区块链等相关产品技术和服务能力，加快新产品开发和技术升级，提高核心竞争力，为公司在大数据和云计算领域</w:t>
      </w:r>
      <w:r>
        <w:rPr>
          <w:spacing w:val="-65"/>
        </w:rPr>
        <w:t> </w:t>
      </w:r>
      <w:r>
        <w:rPr>
          <w:spacing w:val="-65"/>
        </w:rPr>
      </w:r>
      <w:r>
        <w:rPr/>
        <w:t>方面的优势提供持久的动力，实现公司向云服务商的战略转型。</w:t>
      </w:r>
    </w:p>
    <w:p>
      <w:pPr>
        <w:spacing w:line="468" w:lineRule="exact" w:before="14"/>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、巩固优势地位，贯彻多行业全产业链延伸拓展</w:t>
      </w:r>
      <w:r>
        <w:rPr>
          <w:rFonts w:ascii="宋体" w:hAnsi="宋体" w:cs="宋体" w:eastAsia="宋体" w:hint="default"/>
          <w:b/>
          <w:bCs/>
          <w:w w:val="99"/>
          <w:sz w:val="18"/>
          <w:szCs w:val="18"/>
        </w:rPr>
        <w:t> </w:t>
      </w:r>
      <w:r>
        <w:rPr>
          <w:rFonts w:ascii="宋体" w:hAnsi="宋体" w:cs="宋体" w:eastAsia="宋体" w:hint="default"/>
          <w:sz w:val="18"/>
          <w:szCs w:val="18"/>
        </w:rPr>
        <w:t>公司以自主知识产权为核心竞争力，在医疗、金融、智慧城市、政府、交通等多个细分市场取得了技术及市场优势地</w:t>
      </w:r>
    </w:p>
    <w:p>
      <w:pPr>
        <w:pStyle w:val="BodyText"/>
        <w:spacing w:line="300" w:lineRule="auto" w:before="8"/>
        <w:ind w:right="986"/>
        <w:jc w:val="left"/>
      </w:pPr>
      <w:r>
        <w:rPr>
          <w:spacing w:val="-2"/>
        </w:rPr>
        <w:t>位。</w:t>
      </w:r>
      <w:r>
        <w:rPr>
          <w:rFonts w:ascii="Times New Roman" w:hAnsi="Times New Roman" w:cs="Times New Roman" w:eastAsia="Times New Roman" w:hint="default"/>
          <w:spacing w:val="-2"/>
        </w:rPr>
        <w:t>2019</w:t>
      </w:r>
      <w:r>
        <w:rPr>
          <w:spacing w:val="-2"/>
        </w:rPr>
        <w:t>年，公司将进一步巩固和加强在医疗、金融、智慧城市等领域的龙头地位，持续提升多行业细分业务的专业化、系</w:t>
      </w:r>
      <w:r>
        <w:rPr>
          <w:spacing w:val="-65"/>
        </w:rPr>
        <w:t> </w:t>
      </w:r>
      <w:r>
        <w:rPr>
          <w:spacing w:val="-65"/>
        </w:rPr>
      </w:r>
      <w:r>
        <w:rPr>
          <w:spacing w:val="-4"/>
        </w:rPr>
        <w:t>统化竞争能力和市场覆盖面，以优质高效的产品和服务提高客户满意度和品牌影响力，为客户提供全方位整理解决方案服务。</w:t>
      </w:r>
    </w:p>
    <w:p>
      <w:pPr>
        <w:spacing w:line="240" w:lineRule="auto" w:before="4"/>
        <w:rPr>
          <w:rFonts w:ascii="宋体" w:hAnsi="宋体" w:cs="宋体" w:eastAsia="宋体" w:hint="default"/>
          <w:sz w:val="14"/>
          <w:szCs w:val="14"/>
        </w:rPr>
      </w:pPr>
    </w:p>
    <w:p>
      <w:pPr>
        <w:pStyle w:val="Heading5"/>
        <w:spacing w:line="240" w:lineRule="auto"/>
        <w:ind w:left="572" w:right="986"/>
        <w:jc w:val="left"/>
        <w:rPr>
          <w:b w:val="0"/>
          <w:bCs w:val="0"/>
        </w:rPr>
      </w:pPr>
      <w:r>
        <w:rPr/>
        <w:t>（</w:t>
      </w:r>
      <w:r>
        <w:rPr>
          <w:rFonts w:ascii="Times New Roman" w:hAnsi="Times New Roman" w:cs="Times New Roman" w:eastAsia="Times New Roman" w:hint="default"/>
        </w:rPr>
        <w:t>1</w:t>
      </w:r>
      <w:r>
        <w:rPr/>
        <w:t>）聚焦智慧医疗，贯彻</w:t>
      </w:r>
      <w:r>
        <w:rPr>
          <w:rFonts w:ascii="Times New Roman" w:hAnsi="Times New Roman" w:cs="Times New Roman" w:eastAsia="Times New Roman" w:hint="default"/>
        </w:rPr>
        <w:t>“</w:t>
      </w:r>
      <w:r>
        <w:rPr/>
        <w:t>一链三云</w:t>
      </w:r>
      <w:r>
        <w:rPr>
          <w:rFonts w:ascii="Times New Roman" w:hAnsi="Times New Roman" w:cs="Times New Roman" w:eastAsia="Times New Roman" w:hint="default"/>
        </w:rPr>
        <w:t>”</w:t>
      </w:r>
      <w:r>
        <w:rPr/>
        <w:t>战略、捕捉</w:t>
      </w:r>
      <w:r>
        <w:rPr>
          <w:rFonts w:ascii="Times New Roman" w:hAnsi="Times New Roman" w:cs="Times New Roman" w:eastAsia="Times New Roman" w:hint="default"/>
        </w:rPr>
        <w:t>DRGs</w:t>
      </w:r>
      <w:r>
        <w:rPr/>
        <w:t>医改等机遇</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1130" w:firstLine="419"/>
        <w:jc w:val="both"/>
      </w:pPr>
      <w:r>
        <w:rPr>
          <w:rFonts w:ascii="Times New Roman" w:hAnsi="Times New Roman" w:cs="Times New Roman" w:eastAsia="Times New Roman" w:hint="default"/>
          <w:spacing w:val="-2"/>
        </w:rPr>
        <w:t>“</w:t>
      </w:r>
      <w:r>
        <w:rPr>
          <w:spacing w:val="-2"/>
        </w:rPr>
        <w:t>一链三云</w:t>
      </w:r>
      <w:r>
        <w:rPr>
          <w:rFonts w:ascii="Times New Roman" w:hAnsi="Times New Roman" w:cs="Times New Roman" w:eastAsia="Times New Roman" w:hint="default"/>
          <w:spacing w:val="-2"/>
        </w:rPr>
        <w:t>”</w:t>
      </w:r>
      <w:r>
        <w:rPr>
          <w:spacing w:val="-2"/>
        </w:rPr>
        <w:t>战略方面：东华医为将协同腾讯云，继续推进以健康链为纽带连接起卫生云、健康云、医疗云的</w:t>
      </w:r>
      <w:r>
        <w:rPr>
          <w:rFonts w:ascii="Times New Roman" w:hAnsi="Times New Roman" w:cs="Times New Roman" w:eastAsia="Times New Roman" w:hint="default"/>
          <w:spacing w:val="-2"/>
        </w:rPr>
        <w:t>“</w:t>
      </w:r>
      <w:r>
        <w:rPr>
          <w:spacing w:val="-2"/>
        </w:rPr>
        <w:t>一链三云</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战略落地，进一步完善、融合与腾讯的战略合作。在</w:t>
      </w:r>
      <w:r>
        <w:rPr>
          <w:rFonts w:ascii="Times New Roman" w:hAnsi="Times New Roman" w:cs="Times New Roman" w:eastAsia="Times New Roman" w:hint="default"/>
        </w:rPr>
        <w:t>“</w:t>
      </w:r>
      <w:r>
        <w:rPr/>
        <w:t>一链三云</w:t>
      </w:r>
      <w:r>
        <w:rPr>
          <w:rFonts w:ascii="Times New Roman" w:hAnsi="Times New Roman" w:cs="Times New Roman" w:eastAsia="Times New Roman" w:hint="default"/>
        </w:rPr>
        <w:t>”</w:t>
      </w:r>
      <w:r>
        <w:rPr/>
        <w:t>的战略框架下，公司将依托</w:t>
      </w:r>
      <w:r>
        <w:rPr>
          <w:rFonts w:ascii="Times New Roman" w:hAnsi="Times New Roman" w:cs="Times New Roman" w:eastAsia="Times New Roman" w:hint="default"/>
        </w:rPr>
        <w:t>2019</w:t>
      </w:r>
      <w:r>
        <w:rPr/>
        <w:t>年卫健委提出的发展</w:t>
      </w:r>
      <w:r>
        <w:rPr>
          <w:rFonts w:ascii="Times New Roman" w:hAnsi="Times New Roman" w:cs="Times New Roman" w:eastAsia="Times New Roman" w:hint="default"/>
        </w:rPr>
        <w:t>500</w:t>
      </w:r>
      <w:r>
        <w:rPr/>
        <w:t>家</w:t>
      </w:r>
      <w:r>
        <w:rPr>
          <w:spacing w:val="-67"/>
        </w:rPr>
        <w:t> </w:t>
      </w:r>
      <w:r>
        <w:rPr/>
        <w:t>县级医共体和</w:t>
      </w:r>
      <w:r>
        <w:rPr>
          <w:rFonts w:ascii="Times New Roman" w:hAnsi="Times New Roman" w:cs="Times New Roman" w:eastAsia="Times New Roman" w:hint="default"/>
        </w:rPr>
        <w:t>100</w:t>
      </w:r>
      <w:r>
        <w:rPr/>
        <w:t>家医疗集团的建设规划，面向医联体、医共体和中小医联机构，对全线产品进行云化，帮助基层医疗机构</w:t>
      </w:r>
      <w:r>
        <w:rPr>
          <w:spacing w:val="-85"/>
        </w:rPr>
        <w:t> </w:t>
      </w:r>
      <w:r>
        <w:rPr>
          <w:spacing w:val="-85"/>
        </w:rPr>
      </w:r>
      <w:r>
        <w:rPr/>
        <w:t>充分利用云计算、互联网、人工智能、</w:t>
      </w:r>
      <w:r>
        <w:rPr>
          <w:rFonts w:ascii="Times New Roman" w:hAnsi="Times New Roman" w:cs="Times New Roman" w:eastAsia="Times New Roman" w:hint="default"/>
        </w:rPr>
        <w:t>5G</w:t>
      </w:r>
      <w:r>
        <w:rPr/>
        <w:t>等新技术，从而提升大小医疗机构医疗信息化的能力，融入到产业生态中，通过</w:t>
      </w:r>
      <w:r>
        <w:rPr>
          <w:spacing w:val="-43"/>
        </w:rPr>
        <w:t> </w:t>
      </w:r>
      <w:r>
        <w:rPr>
          <w:spacing w:val="-43"/>
        </w:rPr>
      </w:r>
      <w:r>
        <w:rPr/>
        <w:t>实现医疗业务协同和数据协同，为患者提供优质、可持续的健康服务，同时实现企业向云服务的运营商和服务商转型。</w:t>
      </w:r>
    </w:p>
    <w:p>
      <w:pPr>
        <w:pStyle w:val="BodyText"/>
        <w:spacing w:line="300" w:lineRule="auto" w:before="31"/>
        <w:ind w:right="1132" w:firstLine="420"/>
        <w:jc w:val="both"/>
      </w:pPr>
      <w:r>
        <w:rPr>
          <w:rFonts w:ascii="Times New Roman" w:hAnsi="Times New Roman" w:cs="Times New Roman" w:eastAsia="Times New Roman" w:hint="default"/>
        </w:rPr>
        <w:t>iMedical</w:t>
      </w:r>
      <w:r>
        <w:rPr/>
        <w:t>云</w:t>
      </w:r>
      <w:r>
        <w:rPr>
          <w:rFonts w:ascii="Times New Roman" w:hAnsi="Times New Roman" w:cs="Times New Roman" w:eastAsia="Times New Roman" w:hint="default"/>
        </w:rPr>
        <w:t>HIS</w:t>
      </w:r>
      <w:r>
        <w:rPr/>
        <w:t>研发方面：随着医疗大健康产业的数字化进程进一步加快，市场对智慧医疗的需求日渐增大，对相关产 品的要求也逐步提高。为解决现在医疗机构的痛点，东华医为加大对云</w:t>
      </w:r>
      <w:r>
        <w:rPr>
          <w:rFonts w:ascii="Times New Roman" w:hAnsi="Times New Roman" w:cs="Times New Roman" w:eastAsia="Times New Roman" w:hint="default"/>
        </w:rPr>
        <w:t>HIS</w:t>
      </w:r>
      <w:r>
        <w:rPr/>
        <w:t>大健康医疗服务产品、互联网生态平台</w:t>
      </w:r>
      <w:r>
        <w:rPr>
          <w:rFonts w:ascii="Times New Roman" w:hAnsi="Times New Roman" w:cs="Times New Roman" w:eastAsia="Times New Roman" w:hint="default"/>
        </w:rPr>
        <w:t>iMedical</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rFonts w:ascii="Times New Roman" w:hAnsi="Times New Roman" w:cs="Times New Roman" w:eastAsia="Times New Roman" w:hint="default"/>
        </w:rPr>
        <w:t>Cloud</w:t>
      </w:r>
      <w:r>
        <w:rPr/>
        <w:t>的研发，并于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月联合腾讯云正式发布了</w:t>
      </w:r>
      <w:r>
        <w:rPr>
          <w:rFonts w:ascii="Times New Roman" w:hAnsi="Times New Roman" w:cs="Times New Roman" w:eastAsia="Times New Roman" w:hint="default"/>
        </w:rPr>
        <w:t>“iMedical</w:t>
      </w:r>
      <w:r>
        <w:rPr>
          <w:rFonts w:ascii="Times New Roman" w:hAnsi="Times New Roman" w:cs="Times New Roman" w:eastAsia="Times New Roman" w:hint="default"/>
          <w:spacing w:val="-29"/>
        </w:rPr>
        <w:t> </w:t>
      </w:r>
      <w:r>
        <w:rPr>
          <w:rFonts w:ascii="Times New Roman" w:hAnsi="Times New Roman" w:cs="Times New Roman" w:eastAsia="Times New Roman" w:hint="default"/>
        </w:rPr>
        <w:t>Cloud</w:t>
      </w:r>
      <w:r>
        <w:rPr/>
        <w:t>云</w:t>
      </w:r>
      <w:r>
        <w:rPr>
          <w:rFonts w:ascii="Times New Roman" w:hAnsi="Times New Roman" w:cs="Times New Roman" w:eastAsia="Times New Roman" w:hint="default"/>
        </w:rPr>
        <w:t>HIS</w:t>
      </w:r>
      <w:r>
        <w:rPr/>
        <w:t>生态系统</w:t>
      </w:r>
      <w:r>
        <w:rPr>
          <w:rFonts w:ascii="Times New Roman" w:hAnsi="Times New Roman" w:cs="Times New Roman" w:eastAsia="Times New Roman" w:hint="default"/>
        </w:rPr>
        <w:t>”</w:t>
      </w:r>
      <w:r>
        <w:rPr/>
        <w:t>，通过互联网的开放能力，结合人脸识 别、结构化临床诊断术语建模及知识库等创新应用，为客户提供安全、可控、按需的优质服务。</w:t>
      </w:r>
    </w:p>
    <w:p>
      <w:pPr>
        <w:pStyle w:val="BodyText"/>
        <w:spacing w:line="300" w:lineRule="auto" w:before="31"/>
        <w:ind w:right="1127" w:firstLine="419"/>
        <w:jc w:val="both"/>
      </w:pPr>
      <w:r>
        <w:rPr>
          <w:rFonts w:ascii="Times New Roman" w:hAnsi="Times New Roman" w:cs="Times New Roman" w:eastAsia="Times New Roman" w:hint="default"/>
        </w:rPr>
        <w:t>DRGs</w:t>
      </w:r>
      <w:r>
        <w:rPr/>
        <w:t>医改方面：公司凭借在</w:t>
      </w:r>
      <w:r>
        <w:rPr>
          <w:rFonts w:ascii="Times New Roman" w:hAnsi="Times New Roman" w:cs="Times New Roman" w:eastAsia="Times New Roman" w:hint="default"/>
        </w:rPr>
        <w:t>DRGs</w:t>
      </w:r>
      <w:r>
        <w:rPr/>
        <w:t>技术研究、产品研发和市场投入方面的优势，围绕医改新形势下医院自身发展面临 的管理难点、痛点为客户提供整体解决方案，初步完成了</w:t>
      </w:r>
      <w:r>
        <w:rPr>
          <w:rFonts w:ascii="Times New Roman" w:hAnsi="Times New Roman" w:cs="Times New Roman" w:eastAsia="Times New Roman" w:hint="default"/>
        </w:rPr>
        <w:t>DRGs</w:t>
      </w:r>
      <w:r>
        <w:rPr/>
        <w:t>高端产品的品牌打造。未来，公司将继续加大研发力量和销</w:t>
      </w:r>
      <w:r>
        <w:rPr>
          <w:spacing w:val="-86"/>
        </w:rPr>
        <w:t> </w:t>
      </w:r>
      <w:r>
        <w:rPr>
          <w:spacing w:val="-86"/>
        </w:rPr>
      </w:r>
      <w:r>
        <w:rPr/>
        <w:t>售力量，在医保局端和院端两块市场同时加大推动以</w:t>
      </w:r>
      <w:r>
        <w:rPr>
          <w:rFonts w:ascii="Times New Roman" w:hAnsi="Times New Roman" w:cs="Times New Roman" w:eastAsia="Times New Roman" w:hint="default"/>
        </w:rPr>
        <w:t>DRGs</w:t>
      </w:r>
      <w:r>
        <w:rPr/>
        <w:t>支付改革、</w:t>
      </w:r>
      <w:r>
        <w:rPr>
          <w:rFonts w:ascii="Times New Roman" w:hAnsi="Times New Roman" w:cs="Times New Roman" w:eastAsia="Times New Roman" w:hint="default"/>
        </w:rPr>
        <w:t>DRGs</w:t>
      </w:r>
      <w:r>
        <w:rPr/>
        <w:t>智能审核、医疗服务质量监测等为核心的医保</w:t>
      </w:r>
      <w:r>
        <w:rPr>
          <w:spacing w:val="-6"/>
        </w:rPr>
        <w:t> </w:t>
      </w:r>
      <w:r>
        <w:rPr>
          <w:spacing w:val="-6"/>
        </w:rPr>
      </w:r>
      <w:r>
        <w:rPr>
          <w:rFonts w:ascii="Times New Roman" w:hAnsi="Times New Roman" w:cs="Times New Roman" w:eastAsia="Times New Roman" w:hint="default"/>
        </w:rPr>
        <w:t>DRGs</w:t>
      </w:r>
      <w:r>
        <w:rPr/>
        <w:t>控费产品体系，为</w:t>
      </w:r>
      <w:r>
        <w:rPr>
          <w:rFonts w:ascii="Times New Roman" w:hAnsi="Times New Roman" w:cs="Times New Roman" w:eastAsia="Times New Roman" w:hint="default"/>
        </w:rPr>
        <w:t>DRGs</w:t>
      </w:r>
      <w:r>
        <w:rPr/>
        <w:t>付费改革试点城市的医保部门提供全方位、完善的</w:t>
      </w:r>
      <w:r>
        <w:rPr>
          <w:rFonts w:ascii="Times New Roman" w:hAnsi="Times New Roman" w:cs="Times New Roman" w:eastAsia="Times New Roman" w:hint="default"/>
        </w:rPr>
        <w:t>DRGs</w:t>
      </w:r>
      <w:r>
        <w:rPr/>
        <w:t>病组付费改革方案；为卫生行业监管 部门提供全视角、精准的行业监管产品；为医院提供医疗控费和医院管理等软件产品。</w:t>
      </w:r>
    </w:p>
    <w:p>
      <w:pPr>
        <w:spacing w:line="468" w:lineRule="exact" w:before="24"/>
        <w:ind w:left="572"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）专注智慧城市，深化战略合作、提升行业竞争力</w:t>
      </w:r>
      <w:r>
        <w:rPr>
          <w:rFonts w:ascii="宋体" w:hAnsi="宋体" w:cs="宋体" w:eastAsia="宋体" w:hint="default"/>
          <w:b/>
          <w:bCs/>
          <w:w w:val="99"/>
          <w:sz w:val="18"/>
          <w:szCs w:val="18"/>
        </w:rPr>
        <w:t> </w:t>
      </w:r>
      <w:r>
        <w:rPr>
          <w:rFonts w:ascii="宋体" w:hAnsi="宋体" w:cs="宋体" w:eastAsia="宋体" w:hint="default"/>
          <w:sz w:val="18"/>
          <w:szCs w:val="18"/>
        </w:rPr>
        <w:t>在国家政策的大力扶持下，智慧城市项目在全国各省、市、乡、镇全面开展建设，行业发展突飞猛进。公司作为行业</w:t>
      </w:r>
    </w:p>
    <w:p>
      <w:pPr>
        <w:pStyle w:val="BodyText"/>
        <w:spacing w:line="316" w:lineRule="auto" w:before="8"/>
        <w:ind w:right="986"/>
        <w:jc w:val="left"/>
      </w:pPr>
      <w:r>
        <w:rPr>
          <w:spacing w:val="-4"/>
        </w:rPr>
        <w:t>中的领跑者，将进一步贯彻全国布局的战略，充分利用各地的产业资源、技术资源、人才资源等，加大研发投入和销售力度，</w:t>
      </w:r>
      <w:r>
        <w:rPr>
          <w:spacing w:val="-43"/>
        </w:rPr>
        <w:t> </w:t>
      </w:r>
      <w:r>
        <w:rPr>
          <w:spacing w:val="-43"/>
        </w:rPr>
      </w:r>
      <w:r>
        <w:rPr/>
        <w:t>提升公司在智慧城市领域的市场份额和核心竞争力。</w:t>
      </w:r>
    </w:p>
    <w:p>
      <w:pPr>
        <w:pStyle w:val="BodyText"/>
        <w:spacing w:line="309" w:lineRule="auto" w:before="18"/>
        <w:ind w:right="1130" w:firstLine="419"/>
        <w:jc w:val="both"/>
      </w:pPr>
      <w:r>
        <w:rPr/>
        <w:t>出于用户对智慧城市服务的高标准、高需求，公司的智慧城市团队对标分析整个市场环境，确立了以实用性与高效率 </w:t>
      </w:r>
      <w:r>
        <w:rPr>
          <w:spacing w:val="-1"/>
        </w:rPr>
        <w:t>为核心目标的产品逻辑，启动了多数产品的优化升级，并通过和腾讯联合研发过程中积累的大量经验，率先在同行业实现</w:t>
      </w:r>
      <w:r>
        <w:rPr>
          <w:rFonts w:ascii="Times New Roman" w:hAnsi="Times New Roman" w:cs="Times New Roman" w:eastAsia="Times New Roman" w:hint="default"/>
          <w:spacing w:val="-1"/>
        </w:rPr>
        <w:t>B</w:t>
      </w:r>
      <w:r>
        <w:rPr>
          <w:rFonts w:ascii="Times New Roman" w:hAnsi="Times New Roman" w:cs="Times New Roman" w:eastAsia="Times New Roman" w:hint="default"/>
          <w:spacing w:val="-15"/>
        </w:rPr>
        <w:t> </w:t>
      </w:r>
      <w:r>
        <w:rPr>
          <w:spacing w:val="-1"/>
        </w:rPr>
        <w:t>端与</w:t>
      </w:r>
      <w:r>
        <w:rPr>
          <w:rFonts w:ascii="Times New Roman" w:hAnsi="Times New Roman" w:cs="Times New Roman" w:eastAsia="Times New Roman" w:hint="default"/>
          <w:spacing w:val="-1"/>
        </w:rPr>
        <w:t>C</w:t>
      </w:r>
      <w:r>
        <w:rPr>
          <w:spacing w:val="-1"/>
        </w:rPr>
        <w:t>端互联。同时，智慧城市团队不断优化内部结构，通过云化升级软件平台、建立云矩阵服务团队、对接双方优势资源</w:t>
      </w:r>
      <w:r>
        <w:rPr>
          <w:spacing w:val="-61"/>
        </w:rPr>
        <w:t> </w:t>
      </w:r>
      <w:r>
        <w:rPr>
          <w:spacing w:val="-61"/>
        </w:rPr>
      </w:r>
      <w:r>
        <w:rPr>
          <w:spacing w:val="-2"/>
        </w:rPr>
        <w:t>与数据等方式，提升智慧城市团队的服务能力和核心竞争力。与此同时，公司不断推出优质的产品与服务，如联合腾讯云等</w:t>
      </w:r>
      <w:r>
        <w:rPr>
          <w:spacing w:val="-64"/>
        </w:rPr>
        <w:t> </w:t>
      </w:r>
      <w:r>
        <w:rPr>
          <w:spacing w:val="-64"/>
        </w:rPr>
      </w:r>
      <w:r>
        <w:rPr/>
        <w:t>合作伙伴发布的</w:t>
      </w:r>
      <w:r>
        <w:rPr>
          <w:rFonts w:ascii="Times New Roman" w:hAnsi="Times New Roman" w:cs="Times New Roman" w:eastAsia="Times New Roman" w:hint="default"/>
        </w:rPr>
        <w:t>“Harrydata”</w:t>
      </w:r>
      <w:r>
        <w:rPr/>
        <w:t>大数据平台与</w:t>
      </w:r>
      <w:r>
        <w:rPr>
          <w:rFonts w:ascii="Times New Roman" w:hAnsi="Times New Roman" w:cs="Times New Roman" w:eastAsia="Times New Roman" w:hint="default"/>
        </w:rPr>
        <w:t>“</w:t>
      </w:r>
      <w:r>
        <w:rPr/>
        <w:t>东华智慧城市超级大脑</w:t>
      </w:r>
      <w:r>
        <w:rPr>
          <w:rFonts w:ascii="Times New Roman" w:hAnsi="Times New Roman" w:cs="Times New Roman" w:eastAsia="Times New Roman" w:hint="default"/>
        </w:rPr>
        <w:t>”</w:t>
      </w:r>
      <w:r>
        <w:rPr/>
        <w:t>，以继续提升公司在行业内的核心竞争力。</w:t>
      </w:r>
    </w:p>
    <w:p>
      <w:pPr>
        <w:pStyle w:val="Heading5"/>
        <w:spacing w:line="240" w:lineRule="auto" w:before="161"/>
        <w:ind w:left="572" w:right="986"/>
        <w:jc w:val="left"/>
        <w:rPr>
          <w:b w:val="0"/>
          <w:bCs w:val="0"/>
        </w:rPr>
      </w:pPr>
      <w:r>
        <w:rPr/>
        <w:t>（</w:t>
      </w:r>
      <w:r>
        <w:rPr>
          <w:rFonts w:ascii="Times New Roman" w:hAnsi="Times New Roman" w:cs="Times New Roman" w:eastAsia="Times New Roman" w:hint="default"/>
        </w:rPr>
        <w:t>3</w:t>
      </w:r>
      <w:r>
        <w:rPr/>
        <w:t>）深耕智慧金融，推进传统行业数字化转型</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1130" w:firstLine="419"/>
        <w:jc w:val="both"/>
      </w:pPr>
      <w:r>
        <w:rPr/>
        <w:t>近年来，在产业政策支持和社会经济需求下，金融科技领域应用范围和产业规模发展迅猛，人工智能、云计算、大数 </w:t>
      </w:r>
      <w:r>
        <w:rPr>
          <w:spacing w:val="-2"/>
        </w:rPr>
        <w:t>据、区块链等创新技术的不断提升进一步加速了信息技术和金融的融合。公司将以云计算应用和大数据风控为依托，与腾讯</w:t>
      </w:r>
      <w:r>
        <w:rPr>
          <w:spacing w:val="-63"/>
        </w:rPr>
        <w:t> </w:t>
      </w:r>
      <w:r>
        <w:rPr>
          <w:spacing w:val="-63"/>
        </w:rPr>
      </w:r>
      <w:r>
        <w:rPr>
          <w:spacing w:val="-2"/>
        </w:rPr>
        <w:t>云围绕传统行业数字化转型新需求，聚焦金融行业核心应用场景，在人工智能技术、金融大数据等方向进行深度合作，共同</w:t>
      </w:r>
      <w:r>
        <w:rPr>
          <w:spacing w:val="-64"/>
        </w:rPr>
        <w:t> </w:t>
      </w:r>
      <w:r>
        <w:rPr>
          <w:spacing w:val="-64"/>
        </w:rPr>
      </w:r>
      <w:r>
        <w:rPr/>
        <w:t>推动传统行业数字化转型升级。</w:t>
      </w:r>
    </w:p>
    <w:p>
      <w:pPr>
        <w:pStyle w:val="BodyText"/>
        <w:spacing w:line="309" w:lineRule="auto" w:before="18"/>
        <w:ind w:right="986" w:firstLine="420"/>
        <w:jc w:val="left"/>
      </w:pPr>
      <w:r>
        <w:rPr/>
        <w:t>公司将继续秉承对业务深耕细作的精神，在智慧金融行业持续多点发力，提升公司在行业内的市场竞争力。在互联网 </w:t>
      </w:r>
      <w:r>
        <w:rPr>
          <w:spacing w:val="-3"/>
        </w:rPr>
        <w:t>金融领域，</w:t>
      </w:r>
      <w:r>
        <w:rPr>
          <w:rFonts w:ascii="Times New Roman" w:hAnsi="Times New Roman" w:cs="Times New Roman" w:eastAsia="Times New Roman" w:hint="default"/>
          <w:spacing w:val="-3"/>
        </w:rPr>
        <w:t>“</w:t>
      </w:r>
      <w:r>
        <w:rPr>
          <w:spacing w:val="-3"/>
        </w:rPr>
        <w:t>银企汇</w:t>
      </w:r>
      <w:r>
        <w:rPr>
          <w:rFonts w:ascii="Times New Roman" w:hAnsi="Times New Roman" w:cs="Times New Roman" w:eastAsia="Times New Roman" w:hint="default"/>
          <w:spacing w:val="-3"/>
        </w:rPr>
        <w:t>”</w:t>
      </w:r>
      <w:r>
        <w:rPr>
          <w:spacing w:val="-3"/>
        </w:rPr>
        <w:t>继续重点打造</w:t>
      </w:r>
      <w:r>
        <w:rPr>
          <w:rFonts w:ascii="Times New Roman" w:hAnsi="Times New Roman" w:cs="Times New Roman" w:eastAsia="Times New Roman" w:hint="default"/>
          <w:spacing w:val="-3"/>
        </w:rPr>
        <w:t>“</w:t>
      </w:r>
      <w:r>
        <w:rPr>
          <w:spacing w:val="-3"/>
        </w:rPr>
        <w:t>一核三端</w:t>
      </w:r>
      <w:r>
        <w:rPr>
          <w:rFonts w:ascii="Times New Roman" w:hAnsi="Times New Roman" w:cs="Times New Roman" w:eastAsia="Times New Roman" w:hint="default"/>
          <w:spacing w:val="-3"/>
        </w:rPr>
        <w:t>”</w:t>
      </w:r>
      <w:r>
        <w:rPr>
          <w:spacing w:val="-3"/>
        </w:rPr>
        <w:t>产品系列，借助创意营销、权益营销、裂变营销等方式帮助银行实现品效合一，</w:t>
      </w:r>
      <w:r>
        <w:rPr>
          <w:spacing w:val="-53"/>
        </w:rPr>
        <w:t> </w:t>
      </w:r>
      <w:r>
        <w:rPr>
          <w:spacing w:val="-53"/>
        </w:rPr>
      </w:r>
      <w:r>
        <w:rPr>
          <w:spacing w:val="-2"/>
        </w:rPr>
        <w:t>解决传统银行金融产品创新难、品牌影响力弱等难点；在云托管领域，东华金云继续深化和腾讯云的合作，全面提升精准定</w:t>
      </w:r>
    </w:p>
    <w:p>
      <w:pPr>
        <w:spacing w:after="0" w:line="309"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jc w:val="both"/>
      </w:pPr>
      <w:r>
        <w:rPr>
          <w:spacing w:val="-2"/>
        </w:rPr>
        <w:t>位营销和精细运营运维的能力，助力小微银行在移动快捷支付领域高速发展；在金融信贷领域，公司将移动互联等相关前沿</w:t>
      </w:r>
      <w:r>
        <w:rPr>
          <w:spacing w:val="-63"/>
        </w:rPr>
        <w:t> </w:t>
      </w:r>
      <w:r>
        <w:rPr>
          <w:spacing w:val="-63"/>
        </w:rPr>
      </w:r>
      <w:r>
        <w:rPr>
          <w:spacing w:val="-2"/>
        </w:rPr>
        <w:t>技术运用到小微金融信贷业务中，利用自主研发的自助贷款产品和信贷产品为客户提供专业化、差异化的服务；在投融资业</w:t>
      </w:r>
      <w:r>
        <w:rPr>
          <w:spacing w:val="-66"/>
        </w:rPr>
        <w:t> </w:t>
      </w:r>
      <w:r>
        <w:rPr>
          <w:spacing w:val="-66"/>
        </w:rPr>
      </w:r>
      <w:r>
        <w:rPr>
          <w:spacing w:val="-2"/>
        </w:rPr>
        <w:t>务领域，公司将继续完善投融资产品的业务功能并加快产品实施周期，优化投融资平台提供投资组合的能力，提高财务公司</w:t>
      </w:r>
      <w:r>
        <w:rPr>
          <w:spacing w:val="-63"/>
        </w:rPr>
        <w:t> </w:t>
      </w:r>
      <w:r>
        <w:rPr>
          <w:spacing w:val="-63"/>
        </w:rPr>
      </w:r>
      <w:r>
        <w:rPr/>
        <w:t>投资匹配能力及财务投融资管理水平。</w:t>
      </w:r>
    </w:p>
    <w:p>
      <w:pPr>
        <w:spacing w:line="468" w:lineRule="exact" w:before="11"/>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、加强内部控制管理，完善员工激励制度</w:t>
      </w:r>
      <w:r>
        <w:rPr>
          <w:rFonts w:ascii="宋体" w:hAnsi="宋体" w:cs="宋体" w:eastAsia="宋体" w:hint="default"/>
          <w:b/>
          <w:bCs/>
          <w:w w:val="99"/>
          <w:sz w:val="18"/>
          <w:szCs w:val="18"/>
        </w:rPr>
        <w:t> </w:t>
      </w:r>
      <w:r>
        <w:rPr>
          <w:rFonts w:ascii="宋体" w:hAnsi="宋体" w:cs="宋体" w:eastAsia="宋体" w:hint="default"/>
          <w:sz w:val="18"/>
          <w:szCs w:val="18"/>
        </w:rPr>
        <w:t>随着公司资产规模、产销规模、人员规模持续扩大，公司在完善企业管理、加强集团治理的同时，秉承公司与个人共</w:t>
      </w:r>
    </w:p>
    <w:p>
      <w:pPr>
        <w:pStyle w:val="BodyText"/>
        <w:spacing w:line="316" w:lineRule="auto" w:before="8"/>
        <w:ind w:right="986"/>
        <w:jc w:val="left"/>
      </w:pPr>
      <w:r>
        <w:rPr>
          <w:spacing w:val="-2"/>
        </w:rPr>
        <w:t>同持续发展的理念，积极筹划员工持股和兜底式增持计划等内部激励工作。公司将持续完善内部激励机制，鼓励员工自主创</w:t>
      </w:r>
      <w:r>
        <w:rPr>
          <w:spacing w:val="-63"/>
        </w:rPr>
        <w:t> </w:t>
      </w:r>
      <w:r>
        <w:rPr>
          <w:spacing w:val="-63"/>
        </w:rPr>
      </w:r>
      <w:r>
        <w:rPr/>
        <w:t>新，调动员工工作积极性，引进业内优秀人才，全面提升员工的实力与素质，助力公司长期、持续、健康发展。</w:t>
      </w:r>
    </w:p>
    <w:p>
      <w:pPr>
        <w:spacing w:line="240" w:lineRule="auto" w:before="5"/>
        <w:rPr>
          <w:rFonts w:ascii="宋体" w:hAnsi="宋体" w:cs="宋体" w:eastAsia="宋体" w:hint="default"/>
          <w:sz w:val="13"/>
          <w:szCs w:val="13"/>
        </w:rPr>
      </w:pPr>
    </w:p>
    <w:p>
      <w:pPr>
        <w:pStyle w:val="Heading5"/>
        <w:spacing w:line="240" w:lineRule="auto"/>
        <w:ind w:left="572" w:right="986"/>
        <w:jc w:val="left"/>
        <w:rPr>
          <w:b w:val="0"/>
          <w:bCs w:val="0"/>
        </w:rPr>
      </w:pPr>
      <w:r>
        <w:rPr>
          <w:rFonts w:ascii="Times New Roman" w:hAnsi="Times New Roman" w:cs="Times New Roman" w:eastAsia="Times New Roman" w:hint="default"/>
        </w:rPr>
        <w:t>4</w:t>
      </w:r>
      <w:r>
        <w:rPr/>
        <w:t>、寻求优质合作伙伴，实施国际战略目标</w:t>
      </w:r>
      <w:r>
        <w:rPr>
          <w:b w:val="0"/>
          <w:bCs w:val="0"/>
        </w:rPr>
      </w:r>
    </w:p>
    <w:p>
      <w:pPr>
        <w:spacing w:line="240" w:lineRule="auto" w:before="9"/>
        <w:rPr>
          <w:rFonts w:ascii="宋体" w:hAnsi="宋体" w:cs="宋体" w:eastAsia="宋体" w:hint="default"/>
          <w:b/>
          <w:bCs/>
          <w:sz w:val="16"/>
          <w:szCs w:val="16"/>
        </w:rPr>
      </w:pPr>
    </w:p>
    <w:p>
      <w:pPr>
        <w:pStyle w:val="BodyText"/>
        <w:spacing w:line="309" w:lineRule="auto"/>
        <w:ind w:right="1130" w:firstLine="419"/>
        <w:jc w:val="both"/>
      </w:pPr>
      <w:r>
        <w:rPr>
          <w:rFonts w:ascii="Times New Roman" w:hAnsi="Times New Roman" w:cs="Times New Roman" w:eastAsia="Times New Roman" w:hint="default"/>
        </w:rPr>
        <w:t>2019</w:t>
      </w:r>
      <w:r>
        <w:rPr/>
        <w:t>年，公司将继续实施国际化战略，与优质的国际合作伙伴展开深度合作，进一步布局海外市场。同时，公司将积 </w:t>
      </w:r>
      <w:r>
        <w:rPr>
          <w:spacing w:val="-2"/>
        </w:rPr>
        <w:t>极寻找优质且与公司有协同效应的海外标的，拓展公司外延式发展战略。公司将积极推进国际化进程，以国内外资源整合手</w:t>
      </w:r>
      <w:r>
        <w:rPr>
          <w:spacing w:val="-63"/>
        </w:rPr>
        <w:t> </w:t>
      </w:r>
      <w:r>
        <w:rPr>
          <w:spacing w:val="-63"/>
        </w:rPr>
      </w:r>
      <w:r>
        <w:rPr/>
        <w:t>段，将公司打造成全球化的软件和信息技术服务提供商，树立和提升国际化品牌形象。</w:t>
      </w:r>
    </w:p>
    <w:p>
      <w:pPr>
        <w:spacing w:line="240" w:lineRule="auto" w:before="10"/>
        <w:rPr>
          <w:rFonts w:ascii="宋体" w:hAnsi="宋体" w:cs="宋体" w:eastAsia="宋体" w:hint="default"/>
          <w:sz w:val="13"/>
          <w:szCs w:val="13"/>
        </w:rPr>
      </w:pPr>
    </w:p>
    <w:p>
      <w:pPr>
        <w:pStyle w:val="Heading5"/>
        <w:spacing w:line="240" w:lineRule="auto"/>
        <w:ind w:left="572" w:right="986"/>
        <w:jc w:val="left"/>
        <w:rPr>
          <w:b w:val="0"/>
          <w:bCs w:val="0"/>
        </w:rPr>
      </w:pPr>
      <w:r>
        <w:rPr/>
        <w:t>（四）公司面临的风险因素与应对措施</w:t>
      </w:r>
      <w:r>
        <w:rPr>
          <w:b w:val="0"/>
          <w:bCs w:val="0"/>
        </w:rPr>
      </w:r>
    </w:p>
    <w:p>
      <w:pPr>
        <w:pStyle w:val="BodyText"/>
        <w:spacing w:line="450" w:lineRule="atLeast" w:before="31"/>
        <w:ind w:left="572" w:right="986"/>
        <w:jc w:val="left"/>
      </w:pPr>
      <w:r>
        <w:rPr>
          <w:rFonts w:ascii="Times New Roman" w:hAnsi="Times New Roman" w:cs="Times New Roman" w:eastAsia="Times New Roman" w:hint="default"/>
          <w:b/>
          <w:bCs/>
        </w:rPr>
        <w:t>1</w:t>
      </w:r>
      <w:r>
        <w:rPr>
          <w:rFonts w:ascii="宋体" w:hAnsi="宋体" w:cs="宋体" w:eastAsia="宋体" w:hint="default"/>
          <w:b/>
          <w:bCs/>
        </w:rPr>
        <w:t>、市场竞争风险</w:t>
      </w:r>
      <w:r>
        <w:rPr>
          <w:rFonts w:ascii="宋体" w:hAnsi="宋体" w:cs="宋体" w:eastAsia="宋体" w:hint="default"/>
          <w:b/>
          <w:bCs/>
          <w:w w:val="99"/>
        </w:rPr>
        <w:t> </w:t>
      </w:r>
      <w:r>
        <w:rPr/>
        <w:t>软件与信息技术服务行业创新和技术开发迭代速度快，激烈的市场竞争格局对公司的业务能力、发展模式提出更高的</w:t>
      </w:r>
    </w:p>
    <w:p>
      <w:pPr>
        <w:pStyle w:val="BodyText"/>
        <w:spacing w:line="316" w:lineRule="auto" w:before="76"/>
        <w:ind w:right="986"/>
        <w:jc w:val="left"/>
      </w:pPr>
      <w:r>
        <w:rPr>
          <w:spacing w:val="-2"/>
        </w:rPr>
        <w:t>要求。如果公司未来在这些方面不能有效适应市场的变化，将难以保持已有的优势地位及快速增长的良好趋势。为此，公司</w:t>
      </w:r>
      <w:r>
        <w:rPr>
          <w:spacing w:val="-64"/>
        </w:rPr>
        <w:t> </w:t>
      </w:r>
      <w:r>
        <w:rPr>
          <w:spacing w:val="-64"/>
        </w:rPr>
      </w:r>
      <w:r>
        <w:rPr>
          <w:spacing w:val="-4"/>
        </w:rPr>
        <w:t>将积极与客户进行深入的沟通，及时审视发展战略，在产品研发、客户服务、人才支撑等方面加大投入，保持市场竞争实力。</w:t>
      </w:r>
    </w:p>
    <w:p>
      <w:pPr>
        <w:pStyle w:val="BodyText"/>
        <w:spacing w:line="468" w:lineRule="exact" w:before="11"/>
        <w:ind w:left="572" w:right="986"/>
        <w:jc w:val="left"/>
      </w:pPr>
      <w:r>
        <w:rPr>
          <w:rFonts w:ascii="Times New Roman" w:hAnsi="Times New Roman" w:cs="Times New Roman" w:eastAsia="Times New Roman" w:hint="default"/>
          <w:b/>
          <w:bCs/>
        </w:rPr>
        <w:t>2</w:t>
      </w:r>
      <w:r>
        <w:rPr>
          <w:rFonts w:ascii="宋体" w:hAnsi="宋体" w:cs="宋体" w:eastAsia="宋体" w:hint="default"/>
          <w:b/>
          <w:bCs/>
        </w:rPr>
        <w:t>、技术风险</w:t>
      </w:r>
      <w:r>
        <w:rPr>
          <w:rFonts w:ascii="宋体" w:hAnsi="宋体" w:cs="宋体" w:eastAsia="宋体" w:hint="default"/>
          <w:b/>
          <w:bCs/>
          <w:w w:val="99"/>
        </w:rPr>
        <w:t> </w:t>
      </w:r>
      <w:r>
        <w:rPr/>
        <w:t>计算机及软件技术的更新及新产品的研发是公司的核心竞争要素。一旦公司对技术、市场发展趋势预测出现偏差或不</w:t>
      </w:r>
    </w:p>
    <w:p>
      <w:pPr>
        <w:pStyle w:val="BodyText"/>
        <w:spacing w:line="316" w:lineRule="auto" w:before="8"/>
        <w:ind w:right="1034"/>
        <w:jc w:val="left"/>
      </w:pPr>
      <w:r>
        <w:rPr/>
        <w:t>能及时进行技术升级与更新换代，前期的高额投入将无法产生预期效益，公司的技术优势或存在无法保持甚至减弱的可能。 </w:t>
      </w:r>
      <w:r>
        <w:rPr>
          <w:spacing w:val="-2"/>
        </w:rPr>
        <w:t>为此，公司将全面了解行业技术发展的最新趋势，及时跟踪技术的发展将储备技术开发成符合市场需求的新产品，保持灵活</w:t>
      </w:r>
      <w:r>
        <w:rPr>
          <w:spacing w:val="-63"/>
        </w:rPr>
        <w:t> </w:t>
      </w:r>
      <w:r>
        <w:rPr>
          <w:spacing w:val="-63"/>
        </w:rPr>
      </w:r>
      <w:r>
        <w:rPr>
          <w:spacing w:val="-2"/>
        </w:rPr>
        <w:t>的市场需求反应体系。同时，公司也有核心技术泄密或被侵权的风险，可能对经营产生较大负面影响，对此，公司将加大管</w:t>
      </w:r>
      <w:r>
        <w:rPr>
          <w:spacing w:val="-67"/>
        </w:rPr>
        <w:t> </w:t>
      </w:r>
      <w:r>
        <w:rPr>
          <w:spacing w:val="-67"/>
        </w:rPr>
      </w:r>
      <w:r>
        <w:rPr/>
        <w:t>控力度，尽力避免此类事件的发生。</w:t>
      </w:r>
    </w:p>
    <w:p>
      <w:pPr>
        <w:spacing w:line="240" w:lineRule="auto" w:before="5"/>
        <w:rPr>
          <w:rFonts w:ascii="宋体" w:hAnsi="宋体" w:cs="宋体" w:eastAsia="宋体" w:hint="default"/>
          <w:sz w:val="13"/>
          <w:szCs w:val="13"/>
        </w:rPr>
      </w:pPr>
    </w:p>
    <w:p>
      <w:pPr>
        <w:pStyle w:val="Heading5"/>
        <w:spacing w:line="240" w:lineRule="auto"/>
        <w:ind w:left="572" w:right="986"/>
        <w:jc w:val="left"/>
        <w:rPr>
          <w:b w:val="0"/>
          <w:bCs w:val="0"/>
        </w:rPr>
      </w:pPr>
      <w:r>
        <w:rPr>
          <w:rFonts w:ascii="Times New Roman" w:hAnsi="Times New Roman" w:cs="Times New Roman" w:eastAsia="Times New Roman" w:hint="default"/>
        </w:rPr>
        <w:t>3</w:t>
      </w:r>
      <w:r>
        <w:rPr/>
        <w:t>、人力资源风险</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left="572" w:right="986"/>
        <w:jc w:val="left"/>
      </w:pPr>
      <w:r>
        <w:rPr/>
        <w:t>（</w:t>
      </w:r>
      <w:r>
        <w:rPr>
          <w:rFonts w:ascii="Times New Roman" w:hAnsi="Times New Roman" w:cs="Times New Roman" w:eastAsia="Times New Roman" w:hint="default"/>
        </w:rPr>
        <w:t>1</w:t>
      </w:r>
      <w:r>
        <w:rPr/>
        <w:t>）核心人员流失风险 </w:t>
      </w:r>
      <w:r>
        <w:rPr>
          <w:spacing w:val="-2"/>
        </w:rPr>
        <w:t>软件行业属于知识密集、人才密集和技术密集型行业，核心技术与优秀领导团队是维持和提高公司竞争力的核心力量。</w:t>
      </w:r>
    </w:p>
    <w:p>
      <w:pPr>
        <w:pStyle w:val="BodyText"/>
        <w:spacing w:line="316" w:lineRule="auto" w:before="31"/>
        <w:ind w:right="986"/>
        <w:jc w:val="left"/>
      </w:pPr>
      <w:r>
        <w:rPr>
          <w:spacing w:val="-4"/>
        </w:rPr>
        <w:t>公司主要技术骨干流失所带来的风险不可忽视。为此，公司将持续完善薪酬激励政策，激发干事创业的热情，加大培训投入，</w:t>
      </w:r>
      <w:r>
        <w:rPr>
          <w:spacing w:val="-46"/>
        </w:rPr>
        <w:t> </w:t>
      </w:r>
      <w:r>
        <w:rPr>
          <w:spacing w:val="-46"/>
        </w:rPr>
      </w:r>
      <w:r>
        <w:rPr/>
        <w:t>为公司持续发展提供人才储备和保障。</w:t>
      </w:r>
    </w:p>
    <w:p>
      <w:pPr>
        <w:pStyle w:val="BodyText"/>
        <w:spacing w:line="300" w:lineRule="auto" w:before="18"/>
        <w:ind w:left="572" w:right="986"/>
        <w:jc w:val="left"/>
      </w:pPr>
      <w:r>
        <w:rPr/>
        <w:t>（</w:t>
      </w:r>
      <w:r>
        <w:rPr>
          <w:rFonts w:ascii="Times New Roman" w:hAnsi="Times New Roman" w:cs="Times New Roman" w:eastAsia="Times New Roman" w:hint="default"/>
        </w:rPr>
        <w:t>2</w:t>
      </w:r>
      <w:r>
        <w:rPr/>
        <w:t>）人力成本上升的风险 </w:t>
      </w:r>
      <w:r>
        <w:rPr>
          <w:spacing w:val="-2"/>
        </w:rPr>
        <w:t>公司发展高度依赖人力资源，人力成本为主要经营成本之一。随着我国经济的持续高速发展和劳动力供需关系的变化，</w:t>
      </w:r>
    </w:p>
    <w:p>
      <w:pPr>
        <w:pStyle w:val="BodyText"/>
        <w:spacing w:line="240" w:lineRule="auto" w:before="31"/>
        <w:ind w:right="986"/>
        <w:jc w:val="left"/>
      </w:pPr>
      <w:r>
        <w:rPr/>
        <w:t>人口红利逐渐消失，劳动力成本逐步提高，公司将面临人力成本上升从而导致利润水平下降的风险。</w:t>
      </w:r>
    </w:p>
    <w:p>
      <w:pPr>
        <w:spacing w:line="240" w:lineRule="auto" w:before="4"/>
        <w:rPr>
          <w:rFonts w:ascii="宋体" w:hAnsi="宋体" w:cs="宋体" w:eastAsia="宋体" w:hint="default"/>
          <w:sz w:val="25"/>
          <w:szCs w:val="25"/>
        </w:rPr>
      </w:pPr>
    </w:p>
    <w:p>
      <w:pPr>
        <w:pStyle w:val="Heading3"/>
        <w:spacing w:line="240" w:lineRule="auto"/>
        <w:ind w:right="986"/>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6"/>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0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0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0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0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0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w:t>
            </w:r>
            <w:r>
              <w:rPr>
                <w:rFonts w:ascii="宋体" w:hAnsi="宋体" w:cs="宋体" w:eastAsia="宋体" w:hint="default"/>
                <w:spacing w:val="-8"/>
                <w:sz w:val="18"/>
                <w:szCs w:val="18"/>
              </w:rPr>
              <w:t>记录表》，刊登于巨潮资讯网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114"/>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报告期内普通股利润分配政策，特别是现金分红政策的制定、执行或调整情况</w:t>
      </w:r>
    </w:p>
    <w:p>
      <w:pPr>
        <w:pStyle w:val="BodyText"/>
        <w:spacing w:line="338" w:lineRule="auto" w:before="117"/>
        <w:ind w:left="512" w:right="112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公司严格按照《公司章程》的规定制定现金分红方案。公司于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日召开第六届董事会第十五次会议审议通过</w:t>
      </w:r>
    </w:p>
    <w:p>
      <w:pPr>
        <w:pStyle w:val="BodyText"/>
        <w:spacing w:line="230" w:lineRule="exact"/>
        <w:ind w:right="986"/>
        <w:jc w:val="left"/>
        <w:rPr>
          <w:rFonts w:ascii="Times New Roman" w:hAnsi="Times New Roman" w:cs="Times New Roman" w:eastAsia="Times New Roman" w:hint="default"/>
        </w:rPr>
      </w:pPr>
      <w:r>
        <w:rPr/>
        <w:t>了《</w:t>
      </w:r>
      <w:r>
        <w:rPr>
          <w:rFonts w:ascii="Times New Roman" w:hAnsi="Times New Roman" w:cs="Times New Roman" w:eastAsia="Times New Roman" w:hint="default"/>
        </w:rPr>
        <w:t>2017</w:t>
      </w:r>
      <w:r>
        <w:rPr/>
        <w:t>年度利润分配预案》，以公司权益分派登记日的公司股本为股份基数，向全体股东每</w:t>
      </w:r>
      <w:r>
        <w:rPr>
          <w:rFonts w:ascii="Times New Roman" w:hAnsi="Times New Roman" w:cs="Times New Roman" w:eastAsia="Times New Roman" w:hint="default"/>
        </w:rPr>
        <w:t>10</w:t>
      </w:r>
      <w:r>
        <w:rPr/>
        <w:t>股派发现金股利人民币</w:t>
      </w:r>
      <w:r>
        <w:rPr>
          <w:spacing w:val="-40"/>
        </w:rPr>
        <w:t> </w:t>
      </w:r>
      <w:r>
        <w:rPr>
          <w:rFonts w:ascii="Times New Roman" w:hAnsi="Times New Roman" w:cs="Times New Roman" w:eastAsia="Times New Roman" w:hint="default"/>
        </w:rPr>
        <w:t>1.0</w:t>
      </w:r>
    </w:p>
    <w:p>
      <w:pPr>
        <w:pStyle w:val="BodyText"/>
        <w:spacing w:line="240" w:lineRule="auto" w:before="62"/>
        <w:ind w:right="986"/>
        <w:jc w:val="left"/>
      </w:pPr>
      <w:r>
        <w:rPr/>
        <w:t>元（含税）。本方案已于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日实施完毕。</w:t>
      </w:r>
    </w:p>
    <w:p>
      <w:pPr>
        <w:spacing w:line="240" w:lineRule="auto" w:before="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86"/>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460" w:lineRule="atLeast" w:before="8"/>
        <w:ind w:left="512" w:right="1124"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年度利润分配方案</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日召开第六届董事会第四次会议审议通过了《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年度利润分配预案》，以公司权益分派登记日的</w:t>
      </w:r>
    </w:p>
    <w:p>
      <w:pPr>
        <w:pStyle w:val="BodyText"/>
        <w:spacing w:line="300" w:lineRule="auto" w:before="62"/>
        <w:ind w:right="986"/>
        <w:jc w:val="left"/>
      </w:pPr>
      <w:r>
        <w:rPr>
          <w:spacing w:val="-2"/>
        </w:rPr>
        <w:t>公司股本为股份基数</w:t>
      </w:r>
      <w:r>
        <w:rPr>
          <w:rFonts w:ascii="Times New Roman" w:hAnsi="Times New Roman" w:cs="Times New Roman" w:eastAsia="Times New Roman" w:hint="default"/>
          <w:spacing w:val="-2"/>
        </w:rPr>
        <w:t>,</w:t>
      </w:r>
      <w:r>
        <w:rPr>
          <w:spacing w:val="-2"/>
        </w:rPr>
        <w:t>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1.50</w:t>
      </w:r>
      <w:r>
        <w:rPr>
          <w:spacing w:val="-2"/>
        </w:rPr>
        <w:t>元（含税），同时以送红股方式向全体股东每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10</w:t>
      </w:r>
      <w:r>
        <w:rPr>
          <w:spacing w:val="-2"/>
        </w:rPr>
        <w:t>股，共</w:t>
      </w:r>
      <w:r>
        <w:rPr>
          <w:spacing w:val="-78"/>
        </w:rPr>
        <w:t> </w:t>
      </w:r>
      <w:r>
        <w:rPr>
          <w:spacing w:val="-78"/>
        </w:rPr>
      </w:r>
      <w:r>
        <w:rPr/>
        <w:t>计派发现金股利</w:t>
      </w:r>
      <w:r>
        <w:rPr>
          <w:rFonts w:ascii="Times New Roman" w:hAnsi="Times New Roman" w:cs="Times New Roman" w:eastAsia="Times New Roman" w:hint="default"/>
        </w:rPr>
        <w:t>235,484,067</w:t>
      </w:r>
      <w:r>
        <w:rPr/>
        <w:t>元，红股</w:t>
      </w:r>
      <w:r>
        <w:rPr>
          <w:rFonts w:ascii="Times New Roman" w:hAnsi="Times New Roman" w:cs="Times New Roman" w:eastAsia="Times New Roman" w:hint="default"/>
        </w:rPr>
        <w:t>1,569,893,780</w:t>
      </w:r>
      <w:r>
        <w:rPr/>
        <w:t>股。本方案已于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日实施完毕。</w:t>
      </w:r>
    </w:p>
    <w:p>
      <w:pPr>
        <w:spacing w:line="240" w:lineRule="auto" w:before="12"/>
        <w:rPr>
          <w:rFonts w:ascii="宋体" w:hAnsi="宋体" w:cs="宋体" w:eastAsia="宋体" w:hint="default"/>
          <w:sz w:val="12"/>
          <w:szCs w:val="12"/>
        </w:rPr>
      </w:pPr>
    </w:p>
    <w:p>
      <w:pPr>
        <w:pStyle w:val="Heading5"/>
        <w:spacing w:line="240" w:lineRule="auto"/>
        <w:ind w:left="510" w:right="986"/>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440" w:right="986"/>
        <w:jc w:val="left"/>
      </w:pPr>
      <w:r>
        <w:rPr>
          <w:spacing w:val="7"/>
        </w:rPr>
        <w:t>公司于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20</w:t>
      </w:r>
      <w:r>
        <w:rPr>
          <w:spacing w:val="7"/>
        </w:rPr>
        <w:t>日召开第六届董事会第十五次会议审议通过了《</w:t>
      </w:r>
      <w:r>
        <w:rPr>
          <w:rFonts w:ascii="Times New Roman" w:hAnsi="Times New Roman" w:cs="Times New Roman" w:eastAsia="Times New Roman" w:hint="default"/>
          <w:spacing w:val="7"/>
        </w:rPr>
        <w:t>2017</w:t>
      </w:r>
      <w:r>
        <w:rPr>
          <w:spacing w:val="7"/>
        </w:rPr>
        <w:t>年度利润分配预案》，以公司现有总股本</w:t>
      </w:r>
      <w:r>
        <w:rPr/>
      </w:r>
    </w:p>
    <w:p>
      <w:pPr>
        <w:pStyle w:val="BodyText"/>
        <w:spacing w:line="240" w:lineRule="auto" w:before="62"/>
        <w:ind w:right="986"/>
        <w:jc w:val="left"/>
      </w:pPr>
      <w:r>
        <w:rPr>
          <w:rFonts w:ascii="Times New Roman" w:hAnsi="Times New Roman" w:cs="Times New Roman" w:eastAsia="Times New Roman" w:hint="default"/>
        </w:rPr>
        <w:t>3,139,787,560</w:t>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元（含税），本方案已于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日实施完毕。</w:t>
      </w:r>
    </w:p>
    <w:p>
      <w:pPr>
        <w:spacing w:line="460" w:lineRule="atLeast" w:before="8"/>
        <w:ind w:left="440" w:right="986" w:firstLine="1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年度利润分配方案</w:t>
      </w:r>
      <w:r>
        <w:rPr>
          <w:rFonts w:ascii="宋体" w:hAnsi="宋体" w:cs="宋体" w:eastAsia="宋体" w:hint="default"/>
          <w:b/>
          <w:bCs/>
          <w:w w:val="99"/>
          <w:sz w:val="18"/>
          <w:szCs w:val="18"/>
        </w:rPr>
        <w:t> </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29</w:t>
      </w:r>
      <w:r>
        <w:rPr>
          <w:rFonts w:ascii="宋体" w:hAnsi="宋体" w:cs="宋体" w:eastAsia="宋体" w:hint="default"/>
          <w:spacing w:val="4"/>
          <w:sz w:val="18"/>
          <w:szCs w:val="18"/>
        </w:rPr>
        <w:t>日召开第六届董事会第二十六次会议审议通过了《</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年度利润分配预案》，以公司现有总股本</w:t>
      </w:r>
      <w:r>
        <w:rPr>
          <w:rFonts w:ascii="宋体" w:hAnsi="宋体" w:cs="宋体" w:eastAsia="宋体" w:hint="default"/>
          <w:sz w:val="18"/>
          <w:szCs w:val="18"/>
        </w:rPr>
      </w:r>
    </w:p>
    <w:p>
      <w:pPr>
        <w:pStyle w:val="BodyText"/>
        <w:spacing w:line="338" w:lineRule="auto" w:before="62"/>
        <w:ind w:right="1484"/>
        <w:jc w:val="left"/>
      </w:pPr>
      <w:r>
        <w:rPr>
          <w:rFonts w:ascii="Times New Roman" w:hAnsi="Times New Roman" w:cs="Times New Roman" w:eastAsia="Times New Roman" w:hint="default"/>
        </w:rPr>
        <w:t>3,115,482,375</w:t>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元（含税），该方案尚需提交</w:t>
      </w:r>
      <w:r>
        <w:rPr>
          <w:rFonts w:ascii="Times New Roman" w:hAnsi="Times New Roman" w:cs="Times New Roman" w:eastAsia="Times New Roman" w:hint="default"/>
        </w:rPr>
        <w:t>2018</w:t>
      </w:r>
      <w:r>
        <w:rPr/>
        <w:t>年度股东大会审议批准。 公司近三年（包括本报告期）普通股现金分红情况表</w:t>
      </w:r>
    </w:p>
    <w:p>
      <w:pPr>
        <w:pStyle w:val="BodyText"/>
        <w:spacing w:line="240" w:lineRule="auto" w:before="43"/>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274"/>
        <w:gridCol w:w="1277"/>
        <w:gridCol w:w="1380"/>
        <w:gridCol w:w="1030"/>
        <w:gridCol w:w="1274"/>
        <w:gridCol w:w="1284"/>
        <w:gridCol w:w="1198"/>
      </w:tblGrid>
      <w:tr>
        <w:trPr>
          <w:trHeight w:val="1649" w:hRule="exact"/>
        </w:trPr>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23" w:right="95"/>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0"/>
              <w:ind w:left="23" w:right="158"/>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w:t>
            </w:r>
          </w:p>
        </w:tc>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23" w:right="-1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23" w:right="83"/>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1277"/>
        <w:gridCol w:w="1380"/>
        <w:gridCol w:w="1030"/>
        <w:gridCol w:w="1274"/>
        <w:gridCol w:w="1284"/>
        <w:gridCol w:w="1198"/>
      </w:tblGrid>
      <w:tr>
        <w:trPr>
          <w:trHeight w:val="674"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3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净利润的比例</w:t>
            </w:r>
          </w:p>
        </w:tc>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
              <w:ind w:left="23" w:right="83"/>
              <w:jc w:val="left"/>
              <w:rPr>
                <w:rFonts w:ascii="宋体" w:hAnsi="宋体" w:cs="宋体" w:eastAsia="宋体" w:hint="default"/>
                <w:sz w:val="18"/>
                <w:szCs w:val="18"/>
              </w:rPr>
            </w:pPr>
            <w:r>
              <w:rPr>
                <w:rFonts w:ascii="宋体" w:hAnsi="宋体" w:cs="宋体" w:eastAsia="宋体" w:hint="default"/>
                <w:sz w:val="18"/>
                <w:szCs w:val="18"/>
              </w:rPr>
              <w:t>股东的净利润 的比率</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311,548,237.50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806,409,576.38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38.63%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8"/>
                <w:szCs w:val="18"/>
              </w:rPr>
            </w:pPr>
            <w:r>
              <w:rPr>
                <w:rFonts w:ascii="Times New Roman"/>
                <w:sz w:val="18"/>
              </w:rPr>
              <w:t>311,548,237.50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38.63%</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313,978,756.00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663,799,645.53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47.30%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313,978,756.00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47.30%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235,484,067.00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899,647,231.24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26.18%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235,484,067.00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26.18%</w:t>
            </w:r>
          </w:p>
        </w:tc>
      </w:tr>
    </w:tbl>
    <w:p>
      <w:pPr>
        <w:pStyle w:val="BodyText"/>
        <w:spacing w:line="240" w:lineRule="auto" w:before="51"/>
        <w:ind w:right="986"/>
        <w:jc w:val="left"/>
      </w:pPr>
      <w:r>
        <w:rPr/>
        <w:t>公司报告期内盈利且母公司可供普通股股东分配利润为正但未提出普通股现金红利分配预案</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35"/>
        <w:jc w:val="right"/>
      </w:pPr>
      <w:r>
        <w:rPr/>
        <w:pict>
          <v:shape style="position:absolute;margin-left:56.400002pt;margin-top:-257.649261pt;width:479.2pt;height:277.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316"/>
                  </w:tblGrid>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3,115,482,375</w:t>
                        </w:r>
                        <w:r>
                          <w:rPr>
                            <w:rFonts w:ascii="Times New Roman"/>
                            <w:sz w:val="18"/>
                          </w:rPr>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311,548,237.50</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311,548,237.50</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2,042,389,774.74</w:t>
                        </w:r>
                      </w:p>
                    </w:tc>
                  </w:tr>
                  <w:tr>
                    <w:trPr>
                      <w:trHeight w:val="408"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召开第六届董事会第二十六次会议审议通过了《</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利</w:t>
                        </w:r>
                        <w:r>
                          <w:rPr>
                            <w:rFonts w:ascii="宋体" w:hAnsi="宋体" w:cs="宋体" w:eastAsia="宋体" w:hint="default"/>
                            <w:sz w:val="18"/>
                            <w:szCs w:val="18"/>
                          </w:rPr>
                          <w:t>润分配预案</w:t>
                        </w:r>
                        <w:r>
                          <w:rPr>
                            <w:rFonts w:ascii="宋体" w:hAnsi="宋体" w:cs="宋体" w:eastAsia="宋体" w:hint="default"/>
                            <w:spacing w:val="-92"/>
                            <w:sz w:val="18"/>
                            <w:szCs w:val="18"/>
                          </w:rPr>
                          <w:t>》</w:t>
                        </w:r>
                        <w:r>
                          <w:rPr>
                            <w:rFonts w:ascii="宋体" w:hAnsi="宋体" w:cs="宋体" w:eastAsia="宋体" w:hint="default"/>
                            <w:sz w:val="18"/>
                            <w:szCs w:val="18"/>
                          </w:rPr>
                          <w:t>，以公司现有总股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为基数</w:t>
                        </w:r>
                        <w:r>
                          <w:rPr>
                            <w:rFonts w:ascii="宋体" w:hAnsi="宋体" w:cs="宋体" w:eastAsia="宋体" w:hint="default"/>
                            <w:spacing w:val="-36"/>
                            <w:sz w:val="18"/>
                            <w:szCs w:val="18"/>
                          </w:rPr>
                          <w:t>，</w:t>
                        </w:r>
                        <w:r>
                          <w:rPr>
                            <w:rFonts w:ascii="宋体" w:hAnsi="宋体" w:cs="宋体" w:eastAsia="宋体" w:hint="default"/>
                            <w:sz w:val="18"/>
                            <w:szCs w:val="18"/>
                          </w:rPr>
                          <w:t>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该方案尚需提交</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w:t>
                        </w:r>
                      </w:p>
                    </w:tc>
                  </w:tr>
                </w:tbl>
                <w:p>
                  <w:pPr/>
                </w:p>
              </w:txbxContent>
            </v:textbox>
            <w10:wrap type="none"/>
          </v:shape>
        </w:pict>
      </w:r>
      <w:r>
        <w:rPr/>
        <w:t>。</w:t>
      </w:r>
    </w:p>
    <w:p>
      <w:pPr>
        <w:spacing w:line="240" w:lineRule="auto" w:before="2"/>
        <w:rPr>
          <w:rFonts w:ascii="宋体" w:hAnsi="宋体" w:cs="宋体" w:eastAsia="宋体" w:hint="default"/>
          <w:sz w:val="27"/>
          <w:szCs w:val="27"/>
        </w:rPr>
      </w:pPr>
    </w:p>
    <w:p>
      <w:pPr>
        <w:pStyle w:val="Heading3"/>
        <w:spacing w:line="240" w:lineRule="auto" w:before="26"/>
        <w:ind w:right="986"/>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4"/>
        <w:spacing w:line="259" w:lineRule="auto"/>
        <w:ind w:right="986"/>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86"/>
        <w:jc w:val="left"/>
      </w:pPr>
      <w:r>
        <w:rPr/>
        <w:pict>
          <v:shape style="position:absolute;margin-left:391.200012pt;margin-top:37.751717pt;width:48pt;height:95.55pt;mso-position-horizontal-relative:page;mso-position-vertical-relative:paragraph;z-index:-9439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397.200012pt;margin-top:37.751717pt;width:42pt;height:95.55pt;mso-position-horizontal-relative:page;mso-position-vertical-relative:paragraph;z-index:-943888" coordorigin="7944,755" coordsize="840,1911">
            <v:group style="position:absolute;left:7944;top:755;width:840;height:1911" coordorigin="7944,755" coordsize="840,1911">
              <v:shape style="position:absolute;left:7944;top:755;width:840;height:1911" coordorigin="7944,755" coordsize="840,1911" path="m7944,2665l8784,2665,8784,755,7944,755,7944,2665xe" filled="true" fillcolor="#ffffff" stroked="false">
                <v:path arrowok="t"/>
                <v:fill type="solid"/>
              </v:shape>
            </v:group>
            <v:group style="position:absolute;left:7966;top:1357;width:795;height:353" coordorigin="7966,1357" coordsize="795,353">
              <v:shape style="position:absolute;left:7966;top:1357;width:795;height:353" coordorigin="7966,1357" coordsize="795,353" path="m7966,1710l8760,1710,8760,1357,7966,1357,7966,1710xe" filled="true" fillcolor="#ffffff" stroked="false">
                <v:path arrowok="t"/>
                <v:fill type="solid"/>
              </v:shape>
            </v:group>
            <v:group style="position:absolute;left:7966;top:1710;width:795;height:353" coordorigin="7966,1710" coordsize="795,353">
              <v:shape style="position:absolute;left:7966;top:1710;width:795;height:353" coordorigin="7966,1710" coordsize="795,353" path="m7966,2063l8760,2063,8760,1710,7966,1710,7966,2063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991"/>
        <w:gridCol w:w="1135"/>
        <w:gridCol w:w="1841"/>
        <w:gridCol w:w="852"/>
        <w:gridCol w:w="850"/>
        <w:gridCol w:w="1061"/>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10"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55"/>
              <w:jc w:val="both"/>
              <w:rPr>
                <w:rFonts w:ascii="宋体" w:hAnsi="宋体" w:cs="宋体" w:eastAsia="宋体" w:hint="default"/>
                <w:sz w:val="18"/>
                <w:szCs w:val="18"/>
              </w:rPr>
            </w:pPr>
            <w:r>
              <w:rPr>
                <w:rFonts w:ascii="宋体" w:hAnsi="宋体" w:cs="宋体" w:eastAsia="宋体" w:hint="default"/>
                <w:sz w:val="18"/>
                <w:szCs w:val="18"/>
              </w:rPr>
              <w:t>章云芳、刘 玉龙、苏美 娴、杨铭、 李旭东、红 塔创新投资 股份有限公</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841" w:type="dxa"/>
            <w:vMerge w:val="restart"/>
            <w:tcBorders>
              <w:top w:val="single" w:sz="4" w:space="0" w:color="000000"/>
              <w:left w:val="single" w:sz="4" w:space="0" w:color="000000"/>
              <w:right w:val="single" w:sz="4" w:space="0" w:color="000000"/>
            </w:tcBorders>
          </w:tcPr>
          <w:p>
            <w:pPr>
              <w:pStyle w:val="TableParagraph"/>
              <w:spacing w:line="312" w:lineRule="auto" w:before="53"/>
              <w:ind w:left="23"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）业绩承诺方（章 云芳、刘玉龙、杨铭、 苏美娴）承诺标的资产 </w:t>
            </w:r>
            <w:r>
              <w:rPr>
                <w:rFonts w:ascii="Times New Roman" w:hAnsi="Times New Roman" w:cs="Times New Roman" w:eastAsia="Times New Roman" w:hint="default"/>
                <w:sz w:val="18"/>
                <w:szCs w:val="18"/>
              </w:rPr>
              <w:t>2014 </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2016</w:t>
            </w:r>
            <w:r>
              <w:rPr>
                <w:rFonts w:ascii="Times New Roman" w:hAnsi="Times New Roman" w:cs="Times New Roman" w:eastAsia="Times New Roman" w:hint="default"/>
                <w:sz w:val="18"/>
                <w:szCs w:val="18"/>
              </w:rPr>
            </w:r>
          </w:p>
          <w:p>
            <w:pPr>
              <w:pStyle w:val="TableParagraph"/>
              <w:spacing w:line="300" w:lineRule="auto" w:before="3"/>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年实现扣除非经 常性损益后归属于母</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6"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99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607"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8" w:footer="977" w:top="1060" w:bottom="1160" w:left="980" w:right="0"/>
        </w:sectPr>
      </w:pPr>
    </w:p>
    <w:p>
      <w:pPr>
        <w:pStyle w:val="BodyText"/>
        <w:spacing w:line="316" w:lineRule="auto" w:before="44"/>
        <w:ind w:left="3018" w:right="31"/>
        <w:jc w:val="both"/>
      </w:pPr>
      <w:r>
        <w:rPr/>
        <w:t>司、深圳市 招商局科技 投资有限公 司、深圳市 光启松禾超 材料创业投 资合伙企业</w:t>
      </w:r>
    </w:p>
    <w:p>
      <w:pPr>
        <w:pStyle w:val="BodyText"/>
        <w:spacing w:line="316" w:lineRule="auto" w:before="19"/>
        <w:ind w:left="3018" w:right="-16"/>
        <w:jc w:val="left"/>
      </w:pPr>
      <w:r>
        <w:rPr/>
        <w:t>（有限合 </w:t>
      </w:r>
      <w:r>
        <w:rPr>
          <w:spacing w:val="-25"/>
        </w:rPr>
        <w:t>伙）、新疆锦</w:t>
      </w:r>
      <w:r>
        <w:rPr>
          <w:spacing w:val="-88"/>
        </w:rPr>
        <w:t> </w:t>
      </w:r>
      <w:r>
        <w:rPr>
          <w:spacing w:val="-88"/>
        </w:rPr>
      </w:r>
      <w:r>
        <w:rPr/>
        <w:t>尚睦合股权 投资有限合 伙企业</w:t>
      </w:r>
    </w:p>
    <w:p>
      <w:pPr>
        <w:pStyle w:val="BodyText"/>
        <w:spacing w:line="316" w:lineRule="auto" w:before="44"/>
        <w:ind w:left="1152" w:right="4010"/>
        <w:jc w:val="left"/>
      </w:pPr>
      <w:r>
        <w:rPr/>
        <w:br w:type="column"/>
      </w:r>
      <w:r>
        <w:rPr/>
        <w:t>公司股东的净利润分 别不低于</w:t>
      </w:r>
      <w:r>
        <w:rPr>
          <w:spacing w:val="-47"/>
        </w:rPr>
        <w:t> </w:t>
      </w:r>
      <w:r>
        <w:rPr>
          <w:rFonts w:ascii="Times New Roman" w:hAnsi="Times New Roman" w:cs="Times New Roman" w:eastAsia="Times New Roman" w:hint="default"/>
        </w:rPr>
        <w:t>6,840</w:t>
      </w:r>
      <w:r>
        <w:rPr>
          <w:rFonts w:ascii="Times New Roman" w:hAnsi="Times New Roman" w:cs="Times New Roman" w:eastAsia="Times New Roman" w:hint="default"/>
          <w:spacing w:val="-1"/>
        </w:rPr>
        <w:t> </w:t>
      </w:r>
      <w:r>
        <w:rPr/>
        <w:t>万元、</w:t>
      </w:r>
    </w:p>
    <w:p>
      <w:pPr>
        <w:pStyle w:val="BodyText"/>
        <w:spacing w:line="248" w:lineRule="exact"/>
        <w:ind w:left="1152" w:right="4010"/>
        <w:jc w:val="left"/>
      </w:pPr>
      <w:r>
        <w:rPr>
          <w:rFonts w:ascii="Times New Roman" w:hAnsi="Times New Roman" w:cs="Times New Roman" w:eastAsia="Times New Roman" w:hint="default"/>
        </w:rPr>
        <w:t>8,438 </w:t>
      </w:r>
      <w:r>
        <w:rPr/>
        <w:t>万元、</w:t>
      </w:r>
      <w:r>
        <w:rPr>
          <w:rFonts w:ascii="Times New Roman" w:hAnsi="Times New Roman" w:cs="Times New Roman" w:eastAsia="Times New Roman" w:hint="default"/>
        </w:rPr>
        <w:t>10,544</w:t>
      </w:r>
      <w:r>
        <w:rPr>
          <w:rFonts w:ascii="Times New Roman" w:hAnsi="Times New Roman" w:cs="Times New Roman" w:eastAsia="Times New Roman" w:hint="default"/>
          <w:spacing w:val="-3"/>
        </w:rPr>
        <w:t> </w:t>
      </w:r>
      <w:r>
        <w:rPr/>
        <w:t>万</w:t>
      </w:r>
    </w:p>
    <w:p>
      <w:pPr>
        <w:pStyle w:val="BodyText"/>
        <w:spacing w:line="309" w:lineRule="auto" w:before="63"/>
        <w:ind w:left="1152" w:right="3962"/>
        <w:jc w:val="left"/>
      </w:pPr>
      <w:r>
        <w:rPr>
          <w:spacing w:val="-1"/>
        </w:rPr>
        <w:t>元、</w:t>
      </w:r>
      <w:r>
        <w:rPr>
          <w:rFonts w:ascii="Times New Roman" w:hAnsi="Times New Roman" w:cs="Times New Roman" w:eastAsia="Times New Roman" w:hint="default"/>
          <w:spacing w:val="-1"/>
        </w:rPr>
        <w:t>12,653</w:t>
      </w:r>
      <w:r>
        <w:rPr>
          <w:rFonts w:ascii="Times New Roman" w:hAnsi="Times New Roman" w:cs="Times New Roman" w:eastAsia="Times New Roman" w:hint="default"/>
          <w:spacing w:val="11"/>
        </w:rPr>
        <w:t> </w:t>
      </w:r>
      <w:r>
        <w:rPr>
          <w:spacing w:val="-16"/>
        </w:rPr>
        <w:t>万元；（</w:t>
      </w:r>
      <w:r>
        <w:rPr>
          <w:rFonts w:ascii="Times New Roman" w:hAnsi="Times New Roman" w:cs="Times New Roman" w:eastAsia="Times New Roman" w:hint="default"/>
          <w:spacing w:val="-16"/>
        </w:rPr>
        <w:t>2</w:t>
      </w:r>
      <w:r>
        <w:rPr>
          <w:spacing w:val="-16"/>
        </w:rPr>
        <w:t>）</w:t>
      </w:r>
      <w:r>
        <w:rPr/>
        <w:t> 本次交易获得的股份 自上市之日起三十六 </w:t>
      </w:r>
      <w:r>
        <w:rPr>
          <w:spacing w:val="-9"/>
        </w:rPr>
        <w:t>个月内不得转让；（</w:t>
      </w:r>
      <w:r>
        <w:rPr>
          <w:rFonts w:ascii="Times New Roman" w:hAnsi="Times New Roman" w:cs="Times New Roman" w:eastAsia="Times New Roman" w:hint="default"/>
          <w:spacing w:val="-9"/>
        </w:rPr>
        <w:t>3</w:t>
      </w:r>
      <w:r>
        <w:rPr>
          <w:spacing w:val="-9"/>
        </w:rPr>
        <w:t>）</w:t>
      </w:r>
      <w:r>
        <w:rPr>
          <w:spacing w:val="-82"/>
        </w:rPr>
        <w:t> </w:t>
      </w:r>
      <w:r>
        <w:rPr/>
        <w:t>避免同业竞争的承诺；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未实现盈利预测按 补偿安排对本公司进 行补偿。</w:t>
      </w:r>
    </w:p>
    <w:p>
      <w:pPr>
        <w:spacing w:after="0" w:line="309" w:lineRule="auto"/>
        <w:jc w:val="left"/>
        <w:sectPr>
          <w:type w:val="continuous"/>
          <w:pgSz w:w="11910" w:h="16840"/>
          <w:pgMar w:top="1060" w:bottom="1160" w:left="980" w:right="0"/>
          <w:cols w:num="2" w:equalWidth="0">
            <w:col w:w="3953" w:space="40"/>
            <w:col w:w="693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1"/>
        <w:ind w:left="181" w:right="-20"/>
        <w:jc w:val="left"/>
      </w:pPr>
      <w:r>
        <w:rPr/>
        <w:t>首次公开发行或再融资时所作承诺</w:t>
      </w:r>
    </w:p>
    <w:p>
      <w:pPr>
        <w:pStyle w:val="BodyText"/>
        <w:spacing w:line="316" w:lineRule="auto" w:before="110"/>
        <w:ind w:left="96" w:right="14"/>
        <w:jc w:val="left"/>
      </w:pPr>
      <w:r>
        <w:rPr/>
        <w:br w:type="column"/>
      </w:r>
      <w:r>
        <w:rPr/>
        <w:t>薛向东、北 京东华诚信 电脑科技发 展有限公 司、北京东 华诚信工业 设备中心</w:t>
      </w:r>
    </w:p>
    <w:p>
      <w:pPr>
        <w:pStyle w:val="BodyText"/>
        <w:spacing w:line="316" w:lineRule="auto" w:before="19"/>
        <w:ind w:left="96" w:right="-16"/>
        <w:jc w:val="left"/>
      </w:pPr>
      <w:r>
        <w:rPr/>
        <w:t>（有限合 </w:t>
      </w:r>
      <w:r>
        <w:rPr>
          <w:spacing w:val="-25"/>
        </w:rPr>
        <w:t>伙）、北京合</w:t>
      </w:r>
      <w:r>
        <w:rPr>
          <w:spacing w:val="-88"/>
        </w:rPr>
        <w:t> </w:t>
      </w:r>
      <w:r>
        <w:rPr>
          <w:spacing w:val="-88"/>
        </w:rPr>
      </w:r>
      <w:r>
        <w:rPr/>
        <w:t>创电商投资 顾问中心</w:t>
      </w:r>
    </w:p>
    <w:p>
      <w:pPr>
        <w:pStyle w:val="BodyText"/>
        <w:spacing w:line="316" w:lineRule="auto" w:before="19"/>
        <w:ind w:left="96" w:right="14"/>
        <w:jc w:val="left"/>
      </w:pPr>
      <w:r>
        <w:rPr/>
        <w:t>（有限合 伙）</w:t>
      </w:r>
    </w:p>
    <w:p>
      <w:pPr>
        <w:pStyle w:val="BodyText"/>
        <w:spacing w:line="316" w:lineRule="auto" w:before="107"/>
        <w:ind w:left="96" w:right="31"/>
        <w:jc w:val="both"/>
      </w:pPr>
      <w:r>
        <w:rPr/>
        <w:t>薛向东、北 京东华诚信 电脑科技发 展有限公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316" w:lineRule="auto"/>
        <w:ind w:left="17" w:right="-16"/>
        <w:jc w:val="left"/>
      </w:pPr>
      <w:r>
        <w:rPr/>
        <w:t>关于同业竞 争、关联交 </w:t>
      </w:r>
      <w:r>
        <w:rPr>
          <w:spacing w:val="-1"/>
        </w:rPr>
        <w:t>易、资金占用</w:t>
      </w:r>
      <w:r>
        <w:rPr>
          <w:spacing w:val="-87"/>
        </w:rPr>
        <w:t> </w:t>
      </w:r>
      <w:r>
        <w:rPr>
          <w:spacing w:val="-87"/>
        </w:rPr>
      </w:r>
      <w:r>
        <w:rPr/>
        <w:t>方面的承诺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181" w:right="-20"/>
        <w:jc w:val="left"/>
      </w:pPr>
      <w:r>
        <w:rPr/>
        <w:t>不竞争承诺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181" w:right="-17"/>
        <w:jc w:val="left"/>
        <w:rPr>
          <w:rFonts w:ascii="Times New Roman" w:hAnsi="Times New Roman" w:cs="Times New Roman" w:eastAsia="Times New Roman" w:hint="default"/>
        </w:rPr>
      </w:pPr>
      <w:r>
        <w:rPr>
          <w:rFonts w:ascii="Times New Roman" w:hAnsi="Times New Roman" w:cs="Times New Roman" w:eastAsia="Times New Roman" w:hint="default"/>
        </w:rPr>
        <w:t>2005 </w:t>
      </w:r>
      <w:r>
        <w:rPr/>
        <w:t>年</w:t>
      </w:r>
      <w:r>
        <w:rPr>
          <w:spacing w:val="-64"/>
        </w:rPr>
        <w:t> </w:t>
      </w:r>
      <w:r>
        <w:rPr>
          <w:rFonts w:ascii="Times New Roman" w:hAnsi="Times New Roman" w:cs="Times New Roman" w:eastAsia="Times New Roman" w:hint="default"/>
        </w:rPr>
        <w:t>10</w:t>
      </w:r>
    </w:p>
    <w:p>
      <w:pPr>
        <w:pStyle w:val="BodyText"/>
        <w:spacing w:line="240" w:lineRule="auto" w:before="63"/>
        <w:ind w:left="181" w:right="-17"/>
        <w:jc w:val="left"/>
      </w:pP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tabs>
          <w:tab w:pos="867" w:val="left" w:leader="none"/>
        </w:tabs>
        <w:spacing w:line="240" w:lineRule="auto"/>
        <w:ind w:left="181" w:right="0"/>
        <w:jc w:val="left"/>
      </w:pPr>
      <w:r>
        <w:rPr/>
        <w:t>长期</w:t>
        <w:tab/>
        <w:t>正常履行中</w:t>
      </w:r>
    </w:p>
    <w:p>
      <w:pPr>
        <w:spacing w:after="0" w:line="240" w:lineRule="auto"/>
        <w:jc w:val="left"/>
        <w:sectPr>
          <w:type w:val="continuous"/>
          <w:pgSz w:w="11910" w:h="16840"/>
          <w:pgMar w:top="1060" w:bottom="1160" w:left="980" w:right="0"/>
          <w:cols w:num="6" w:equalWidth="0">
            <w:col w:w="2882" w:space="40"/>
            <w:col w:w="1031" w:space="40"/>
            <w:col w:w="1096" w:space="317"/>
            <w:col w:w="1082" w:space="317"/>
            <w:col w:w="976" w:space="92"/>
            <w:col w:w="3057"/>
          </w:cols>
        </w:sectPr>
      </w:pPr>
    </w:p>
    <w:p>
      <w:pPr>
        <w:pStyle w:val="BodyText"/>
        <w:spacing w:line="316" w:lineRule="auto" w:before="19"/>
        <w:ind w:left="3018" w:right="-20"/>
        <w:jc w:val="left"/>
      </w:pPr>
      <w:r>
        <w:rPr/>
        <w:t>司、北京东</w:t>
      </w:r>
      <w:r>
        <w:rPr>
          <w:spacing w:val="1"/>
        </w:rPr>
        <w:t> </w:t>
      </w:r>
      <w:r>
        <w:rPr/>
        <w:t>关于同业竞</w:t>
      </w:r>
      <w:r>
        <w:rPr/>
        <w:t> 华诚信工业</w:t>
      </w:r>
      <w:r>
        <w:rPr>
          <w:spacing w:val="1"/>
        </w:rPr>
        <w:t> </w:t>
      </w:r>
      <w:r>
        <w:rPr/>
        <w:t>争、关联交</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9"/>
          <w:szCs w:val="19"/>
        </w:rPr>
      </w:pPr>
    </w:p>
    <w:p>
      <w:pPr>
        <w:pStyle w:val="BodyText"/>
        <w:spacing w:line="212" w:lineRule="exact"/>
        <w:ind w:left="367" w:right="-19"/>
        <w:jc w:val="left"/>
      </w:pPr>
      <w:r>
        <w:rPr/>
        <w:t>避免同业竞争承诺</w:t>
      </w:r>
    </w:p>
    <w:p>
      <w:pPr>
        <w:spacing w:line="240" w:lineRule="auto" w:before="4"/>
        <w:rPr>
          <w:rFonts w:ascii="宋体" w:hAnsi="宋体" w:cs="宋体" w:eastAsia="宋体" w:hint="default"/>
          <w:sz w:val="25"/>
          <w:szCs w:val="25"/>
        </w:rPr>
      </w:pPr>
      <w:r>
        <w:rPr/>
        <w:br w:type="column"/>
      </w:r>
      <w:r>
        <w:rPr>
          <w:rFonts w:ascii="宋体"/>
          <w:sz w:val="25"/>
        </w:rPr>
      </w:r>
    </w:p>
    <w:p>
      <w:pPr>
        <w:pStyle w:val="BodyText"/>
        <w:spacing w:line="240" w:lineRule="auto"/>
        <w:ind w:left="187" w:right="-16"/>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w:t>
      </w:r>
      <w:r>
        <w:rPr>
          <w:spacing w:val="-64"/>
        </w:rPr>
        <w:t> </w:t>
      </w:r>
      <w:r>
        <w:rPr>
          <w:rFonts w:ascii="Times New Roman" w:hAnsi="Times New Roman" w:cs="Times New Roman" w:eastAsia="Times New Roman" w:hint="default"/>
        </w:rPr>
        <w:t>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4"/>
        <w:rPr>
          <w:rFonts w:ascii="Times New Roman" w:hAnsi="Times New Roman" w:cs="Times New Roman" w:eastAsia="Times New Roman" w:hint="default"/>
          <w:sz w:val="24"/>
          <w:szCs w:val="24"/>
        </w:rPr>
      </w:pPr>
    </w:p>
    <w:p>
      <w:pPr>
        <w:pStyle w:val="BodyText"/>
        <w:tabs>
          <w:tab w:pos="920" w:val="left" w:leader="none"/>
        </w:tabs>
        <w:spacing w:line="212" w:lineRule="exact"/>
        <w:ind w:left="233" w:right="0"/>
        <w:jc w:val="left"/>
      </w:pPr>
      <w:r>
        <w:rPr/>
        <w:t>长期</w:t>
        <w:tab/>
        <w:t>正常履行中</w:t>
      </w:r>
    </w:p>
    <w:p>
      <w:pPr>
        <w:spacing w:after="0" w:line="212" w:lineRule="exact"/>
        <w:jc w:val="left"/>
        <w:sectPr>
          <w:type w:val="continuous"/>
          <w:pgSz w:w="11910" w:h="16840"/>
          <w:pgMar w:top="1060" w:bottom="1160" w:left="980" w:right="0"/>
          <w:cols w:num="4" w:equalWidth="0">
            <w:col w:w="4910" w:space="40"/>
            <w:col w:w="1809" w:space="40"/>
            <w:col w:w="983" w:space="40"/>
            <w:col w:w="3108"/>
          </w:cols>
        </w:sectPr>
      </w:pPr>
    </w:p>
    <w:p>
      <w:pPr>
        <w:pStyle w:val="BodyText"/>
        <w:spacing w:line="180" w:lineRule="exact"/>
        <w:ind w:left="0" w:right="211"/>
        <w:jc w:val="right"/>
      </w:pPr>
      <w:r>
        <w:rPr/>
        <w:t>设备中心</w:t>
      </w:r>
    </w:p>
    <w:p>
      <w:pPr>
        <w:pStyle w:val="BodyText"/>
        <w:spacing w:line="316" w:lineRule="auto" w:before="76"/>
        <w:ind w:left="3018" w:right="-16"/>
        <w:jc w:val="left"/>
      </w:pPr>
      <w:r>
        <w:rPr/>
        <w:t>（有限合 </w:t>
      </w:r>
      <w:r>
        <w:rPr>
          <w:spacing w:val="-25"/>
        </w:rPr>
        <w:t>伙）、北京合</w:t>
      </w:r>
      <w:r>
        <w:rPr>
          <w:spacing w:val="-88"/>
        </w:rPr>
        <w:t> </w:t>
      </w:r>
      <w:r>
        <w:rPr>
          <w:spacing w:val="-88"/>
        </w:rPr>
      </w:r>
      <w:r>
        <w:rPr/>
        <w:t>创电商投资 顾问中心</w:t>
      </w:r>
    </w:p>
    <w:p>
      <w:pPr>
        <w:pStyle w:val="BodyText"/>
        <w:spacing w:line="240" w:lineRule="auto" w:before="19"/>
        <w:ind w:left="0" w:right="31"/>
        <w:jc w:val="right"/>
      </w:pPr>
      <w:r>
        <w:rPr/>
        <w:t>（有限合伙</w:t>
      </w:r>
    </w:p>
    <w:p>
      <w:pPr>
        <w:pStyle w:val="BodyText"/>
        <w:spacing w:line="180" w:lineRule="exact"/>
        <w:ind w:left="17" w:right="-16"/>
        <w:jc w:val="left"/>
      </w:pPr>
      <w:r>
        <w:rPr>
          <w:spacing w:val="-1"/>
        </w:rPr>
        <w:br w:type="column"/>
      </w:r>
      <w:r>
        <w:rPr>
          <w:spacing w:val="-1"/>
        </w:rPr>
        <w:t>易、资金占用</w:t>
      </w:r>
    </w:p>
    <w:p>
      <w:pPr>
        <w:pStyle w:val="BodyText"/>
        <w:spacing w:line="240" w:lineRule="auto" w:before="76"/>
        <w:ind w:left="17" w:right="-16"/>
        <w:jc w:val="left"/>
      </w:pPr>
      <w:r>
        <w:rPr/>
        <w:t>方面的承诺</w:t>
      </w:r>
    </w:p>
    <w:p>
      <w:pPr>
        <w:pStyle w:val="BodyText"/>
        <w:spacing w:line="194" w:lineRule="exact"/>
        <w:ind w:left="1858" w:right="0"/>
        <w:jc w:val="left"/>
      </w:pPr>
      <w:r>
        <w:rPr/>
        <w:br w:type="column"/>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spacing w:after="0" w:line="194" w:lineRule="exact"/>
        <w:jc w:val="left"/>
        <w:sectPr>
          <w:type w:val="continuous"/>
          <w:pgSz w:w="11910" w:h="16840"/>
          <w:pgMar w:top="1060" w:bottom="1160" w:left="980" w:right="0"/>
          <w:cols w:num="3" w:equalWidth="0">
            <w:col w:w="3953" w:space="40"/>
            <w:col w:w="1096" w:space="40"/>
            <w:col w:w="5801"/>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209" w:lineRule="exact"/>
        <w:ind w:left="181" w:right="-20"/>
        <w:jc w:val="left"/>
      </w:pPr>
      <w:r>
        <w:rPr/>
        <w:t>其他对公司中小股东所作承诺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spacing w:line="310" w:lineRule="atLeast"/>
        <w:ind w:left="181" w:right="-20"/>
        <w:jc w:val="left"/>
      </w:pPr>
      <w:r>
        <w:rPr/>
        <w:t>薛向东先生</w:t>
      </w:r>
      <w:r>
        <w:rPr>
          <w:spacing w:val="1"/>
        </w:rPr>
        <w:t> </w:t>
      </w:r>
      <w:r>
        <w:rPr/>
        <w:t>关于增持公</w:t>
      </w:r>
      <w:r>
        <w:rPr/>
        <w:t> 及其一致行</w:t>
      </w:r>
      <w:r>
        <w:rPr>
          <w:spacing w:val="1"/>
        </w:rPr>
        <w:t> </w:t>
      </w:r>
      <w:r>
        <w:rPr/>
        <w:t>司股份的承</w:t>
      </w:r>
    </w:p>
    <w:p>
      <w:pPr>
        <w:pStyle w:val="BodyText"/>
        <w:spacing w:line="316" w:lineRule="auto" w:before="44"/>
        <w:ind w:left="181" w:right="1850"/>
        <w:jc w:val="left"/>
      </w:pPr>
      <w:r>
        <w:rPr/>
        <w:br w:type="column"/>
      </w:r>
      <w:r>
        <w:rPr/>
        <w:t>基于对公司未来发展 前景的信心及公司价</w:t>
      </w:r>
    </w:p>
    <w:p>
      <w:pPr>
        <w:pStyle w:val="BodyText"/>
        <w:spacing w:line="254" w:lineRule="exact"/>
        <w:ind w:left="181" w:right="-9"/>
        <w:jc w:val="left"/>
        <w:rPr>
          <w:rFonts w:ascii="Times New Roman" w:hAnsi="Times New Roman" w:cs="Times New Roman" w:eastAsia="Times New Roman" w:hint="default"/>
        </w:rPr>
      </w:pPr>
      <w:r>
        <w:rPr/>
        <w:pict>
          <v:shape style="position:absolute;margin-left:354.959717pt;margin-top:-32.825630pt;width:84.25pt;height:95.65pt;mso-position-horizontal-relative:page;mso-position-vertical-relative:paragraph;z-index:-943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健康发展，</w:t>
                  </w:r>
                </w:p>
              </w:txbxContent>
            </v:textbox>
            <w10:wrap type="none"/>
          </v:shape>
        </w:pict>
      </w:r>
      <w:r>
        <w:rPr/>
        <w:t>值的认可，为促进公司</w:t>
      </w:r>
      <w:r>
        <w:rPr>
          <w:spacing w:val="-39"/>
        </w:rPr>
        <w:t> </w:t>
      </w:r>
      <w:r>
        <w:rPr>
          <w:rFonts w:ascii="Times New Roman" w:hAnsi="Times New Roman" w:cs="Times New Roman" w:eastAsia="Times New Roman" w:hint="default"/>
          <w:position w:val="2"/>
        </w:rPr>
        <w:t>2017</w:t>
      </w:r>
      <w:r>
        <w:rPr>
          <w:rFonts w:ascii="Times New Roman" w:hAnsi="Times New Roman" w:cs="Times New Roman" w:eastAsia="Times New Roman" w:hint="default"/>
          <w:spacing w:val="-11"/>
          <w:position w:val="2"/>
        </w:rPr>
        <w:t> </w:t>
      </w:r>
      <w:r>
        <w:rPr>
          <w:position w:val="2"/>
        </w:rPr>
        <w:t>年</w:t>
      </w:r>
      <w:r>
        <w:rPr>
          <w:spacing w:val="-55"/>
          <w:position w:val="2"/>
        </w:rPr>
        <w:t> </w:t>
      </w:r>
      <w:r>
        <w:rPr>
          <w:rFonts w:ascii="Times New Roman" w:hAnsi="Times New Roman" w:cs="Times New Roman" w:eastAsia="Times New Roman" w:hint="default"/>
          <w:position w:val="2"/>
        </w:rPr>
        <w:t>12</w:t>
      </w:r>
      <w:r>
        <w:rPr>
          <w:rFonts w:ascii="Times New Roman" w:hAnsi="Times New Roman" w:cs="Times New Roman" w:eastAsia="Times New Roman" w:hint="default"/>
          <w:spacing w:val="7"/>
          <w:position w:val="2"/>
        </w:rPr>
        <w:t> </w:t>
      </w:r>
      <w:r>
        <w:rPr>
          <w:rFonts w:ascii="Times New Roman" w:hAnsi="Times New Roman" w:cs="Times New Roman" w:eastAsia="Times New Roman" w:hint="default"/>
          <w:position w:val="2"/>
        </w:rPr>
        <w:t>2019</w:t>
      </w:r>
      <w:r>
        <w:rPr>
          <w:rFonts w:ascii="Times New Roman" w:hAnsi="Times New Roman" w:cs="Times New Roman" w:eastAsia="Times New Roman" w:hint="default"/>
          <w:spacing w:val="-11"/>
          <w:position w:val="2"/>
        </w:rPr>
        <w:t> </w:t>
      </w:r>
      <w:r>
        <w:rPr>
          <w:position w:val="2"/>
        </w:rPr>
        <w:t>年</w:t>
      </w:r>
      <w:r>
        <w:rPr>
          <w:spacing w:val="-57"/>
          <w:position w:val="2"/>
        </w:rPr>
        <w:t> </w:t>
      </w:r>
      <w:r>
        <w:rPr>
          <w:rFonts w:ascii="Times New Roman" w:hAnsi="Times New Roman" w:cs="Times New Roman" w:eastAsia="Times New Roman" w:hint="default"/>
          <w:position w:val="2"/>
        </w:rPr>
        <w:t>12</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pStyle w:val="BodyText"/>
        <w:spacing w:line="209" w:lineRule="exact"/>
        <w:ind w:left="65" w:right="0"/>
        <w:jc w:val="left"/>
      </w:pPr>
      <w:r>
        <w:rPr/>
        <w:t>正常履行中</w:t>
      </w:r>
    </w:p>
    <w:p>
      <w:pPr>
        <w:spacing w:after="0" w:line="209" w:lineRule="exact"/>
        <w:jc w:val="left"/>
        <w:sectPr>
          <w:type w:val="continuous"/>
          <w:pgSz w:w="11910" w:h="16840"/>
          <w:pgMar w:top="1060" w:bottom="1160" w:left="980" w:right="0"/>
          <w:cols w:num="4" w:equalWidth="0">
            <w:col w:w="2522" w:space="315"/>
            <w:col w:w="2073" w:space="53"/>
            <w:col w:w="3672" w:space="40"/>
            <w:col w:w="2255"/>
          </w:cols>
        </w:sectPr>
      </w:pPr>
    </w:p>
    <w:p>
      <w:pPr>
        <w:pStyle w:val="BodyText"/>
        <w:tabs>
          <w:tab w:pos="991" w:val="left" w:leader="none"/>
        </w:tabs>
        <w:spacing w:line="240" w:lineRule="auto" w:before="76"/>
        <w:ind w:left="0" w:right="0"/>
        <w:jc w:val="right"/>
      </w:pPr>
      <w:r>
        <w:rPr/>
        <w:pict>
          <v:group style="position:absolute;margin-left:56.400002pt;margin-top:71.758484pt;width:478.85pt;height:685.85pt;mso-position-horizontal-relative:page;mso-position-vertical-relative:page;z-index:-943816" coordorigin="1128,1435" coordsize="9577,13717">
            <v:group style="position:absolute;left:1140;top:1450;width:2825;height:3785" coordorigin="1140,1450" coordsize="2825,3785">
              <v:shape style="position:absolute;left:1140;top:1450;width:2825;height:3785" coordorigin="1140,1450" coordsize="2825,3785" path="m1140,5234l3965,5234,3965,1450,1140,1450,1140,5234xe" filled="true" fillcolor="#d4d4d4" stroked="false">
                <v:path arrowok="t"/>
                <v:fill type="solid"/>
              </v:shape>
            </v:group>
            <v:group style="position:absolute;left:1138;top:1445;width:2828;height:2" coordorigin="1138,1445" coordsize="2828,2">
              <v:shape style="position:absolute;left:1138;top:1445;width:2828;height:2" coordorigin="1138,1445" coordsize="2828,0" path="m1138,1445l3965,1445e" filled="false" stroked="true" strokeweight=".481pt" strokecolor="#000000">
                <v:path arrowok="t"/>
              </v:shape>
            </v:group>
            <v:group style="position:absolute;left:3974;top:1445;width:982;height:2" coordorigin="3974,1445" coordsize="982,2">
              <v:shape style="position:absolute;left:3974;top:1445;width:982;height:2" coordorigin="3974,1445" coordsize="982,0" path="m3974,1445l4956,1445e" filled="false" stroked="true" strokeweight=".481pt" strokecolor="#000000">
                <v:path arrowok="t"/>
              </v:shape>
            </v:group>
            <v:group style="position:absolute;left:4966;top:1445;width:1126;height:2" coordorigin="4966,1445" coordsize="1126,2">
              <v:shape style="position:absolute;left:4966;top:1445;width:1126;height:2" coordorigin="4966,1445" coordsize="1126,0" path="m4966,1445l6091,1445e" filled="false" stroked="true" strokeweight=".481pt" strokecolor="#000000">
                <v:path arrowok="t"/>
              </v:shape>
            </v:group>
            <v:group style="position:absolute;left:6101;top:1445;width:1832;height:2" coordorigin="6101,1445" coordsize="1832,2">
              <v:shape style="position:absolute;left:6101;top:1445;width:1832;height:2" coordorigin="6101,1445" coordsize="1832,0" path="m6101,1445l7932,1445e" filled="false" stroked="true" strokeweight=".481pt" strokecolor="#000000">
                <v:path arrowok="t"/>
              </v:shape>
            </v:group>
            <v:group style="position:absolute;left:7942;top:1445;width:843;height:2" coordorigin="7942,1445" coordsize="843,2">
              <v:shape style="position:absolute;left:7942;top:1445;width:843;height:2" coordorigin="7942,1445" coordsize="843,0" path="m7942,1445l8784,1445e" filled="false" stroked="true" strokeweight=".481pt" strokecolor="#000000">
                <v:path arrowok="t"/>
              </v:shape>
            </v:group>
            <v:group style="position:absolute;left:8794;top:1445;width:840;height:2" coordorigin="8794,1445" coordsize="840,2">
              <v:shape style="position:absolute;left:8794;top:1445;width:840;height:2" coordorigin="8794,1445" coordsize="840,0" path="m8794,1445l9634,1445e" filled="false" stroked="true" strokeweight=".481pt" strokecolor="#000000">
                <v:path arrowok="t"/>
              </v:shape>
            </v:group>
            <v:group style="position:absolute;left:9643;top:1445;width:1052;height:2" coordorigin="9643,1445" coordsize="1052,2">
              <v:shape style="position:absolute;left:9643;top:1445;width:1052;height:2" coordorigin="9643,1445" coordsize="1052,0" path="m9643,1445l10694,1445e" filled="false" stroked="true" strokeweight=".481pt" strokecolor="#000000">
                <v:path arrowok="t"/>
              </v:shape>
            </v:group>
            <v:group style="position:absolute;left:1140;top:5244;width:2825;height:3790" coordorigin="1140,5244" coordsize="2825,3790">
              <v:shape style="position:absolute;left:1140;top:5244;width:2825;height:3790" coordorigin="1140,5244" coordsize="2825,3790" path="m1140,9034l3965,9034,3965,5244,1140,5244,1140,9034xe" filled="true" fillcolor="#d4d4d4" stroked="false">
                <v:path arrowok="t"/>
                <v:fill type="solid"/>
              </v:shape>
            </v:group>
            <v:group style="position:absolute;left:1140;top:9425;width:2825;height:3790" coordorigin="1140,9425" coordsize="2825,3790">
              <v:shape style="position:absolute;left:1140;top:9425;width:2825;height:3790" coordorigin="1140,9425" coordsize="2825,3790" path="m1140,13214l3965,13214,3965,9425,1140,9425,1140,13214xe" filled="true" fillcolor="#d4d4d4" stroked="false">
                <v:path arrowok="t"/>
                <v:fill type="solid"/>
              </v:shape>
            </v:group>
            <v:group style="position:absolute;left:1162;top:9034;width:2780;height:392" coordorigin="1162,9034" coordsize="2780,392">
              <v:shape style="position:absolute;left:1162;top:9034;width:2780;height:392" coordorigin="1162,9034" coordsize="2780,392" path="m1162,9425l3941,9425,3941,9034,1162,9034,1162,9425xe" filled="true" fillcolor="#d4d4d4" stroked="false">
                <v:path arrowok="t"/>
                <v:fill type="solid"/>
              </v:shape>
            </v:group>
            <v:group style="position:absolute;left:1138;top:5239;width:2828;height:2" coordorigin="1138,5239" coordsize="2828,2">
              <v:shape style="position:absolute;left:1138;top:5239;width:2828;height:2" coordorigin="1138,5239" coordsize="2828,0" path="m1138,5239l3965,5239e" filled="false" stroked="true" strokeweight=".481pt" strokecolor="#000000">
                <v:path arrowok="t"/>
              </v:shape>
            </v:group>
            <v:group style="position:absolute;left:3974;top:5239;width:982;height:2" coordorigin="3974,5239" coordsize="982,2">
              <v:shape style="position:absolute;left:3974;top:5239;width:982;height:2" coordorigin="3974,5239" coordsize="982,0" path="m3974,5239l4956,5239e" filled="false" stroked="true" strokeweight=".481pt" strokecolor="#000000">
                <v:path arrowok="t"/>
              </v:shape>
            </v:group>
            <v:group style="position:absolute;left:4966;top:5239;width:1126;height:2" coordorigin="4966,5239" coordsize="1126,2">
              <v:shape style="position:absolute;left:4966;top:5239;width:1126;height:2" coordorigin="4966,5239" coordsize="1126,0" path="m4966,5239l6091,5239e" filled="false" stroked="true" strokeweight=".481pt" strokecolor="#000000">
                <v:path arrowok="t"/>
              </v:shape>
            </v:group>
            <v:group style="position:absolute;left:6101;top:5239;width:1832;height:2" coordorigin="6101,5239" coordsize="1832,2">
              <v:shape style="position:absolute;left:6101;top:5239;width:1832;height:2" coordorigin="6101,5239" coordsize="1832,0" path="m6101,5239l7932,5239e" filled="false" stroked="true" strokeweight=".481pt" strokecolor="#000000">
                <v:path arrowok="t"/>
              </v:shape>
            </v:group>
            <v:group style="position:absolute;left:7942;top:5239;width:843;height:2" coordorigin="7942,5239" coordsize="843,2">
              <v:shape style="position:absolute;left:7942;top:5239;width:843;height:2" coordorigin="7942,5239" coordsize="843,0" path="m7942,5239l8784,5239e" filled="false" stroked="true" strokeweight=".481pt" strokecolor="#000000">
                <v:path arrowok="t"/>
              </v:shape>
            </v:group>
            <v:group style="position:absolute;left:8794;top:5239;width:840;height:2" coordorigin="8794,5239" coordsize="840,2">
              <v:shape style="position:absolute;left:8794;top:5239;width:840;height:2" coordorigin="8794,5239" coordsize="840,0" path="m8794,5239l9634,5239e" filled="false" stroked="true" strokeweight=".481pt" strokecolor="#000000">
                <v:path arrowok="t"/>
              </v:shape>
            </v:group>
            <v:group style="position:absolute;left:9643;top:5239;width:1052;height:2" coordorigin="9643,5239" coordsize="1052,2">
              <v:shape style="position:absolute;left:9643;top:5239;width:1052;height:2" coordorigin="9643,5239" coordsize="1052,0" path="m9643,5239l10694,5239e" filled="false" stroked="true" strokeweight=".481pt" strokecolor="#000000">
                <v:path arrowok="t"/>
              </v:shape>
            </v:group>
            <v:group style="position:absolute;left:3974;top:9384;width:982;height:2" coordorigin="3974,9384" coordsize="982,2">
              <v:shape style="position:absolute;left:3974;top:9384;width:982;height:2" coordorigin="3974,9384" coordsize="982,0" path="m3974,9384l4956,9384e" filled="false" stroked="true" strokeweight=".48pt" strokecolor="#000000">
                <v:path arrowok="t"/>
              </v:shape>
            </v:group>
            <v:group style="position:absolute;left:4966;top:9384;width:1126;height:2" coordorigin="4966,9384" coordsize="1126,2">
              <v:shape style="position:absolute;left:4966;top:9384;width:1126;height:2" coordorigin="4966,9384" coordsize="1126,0" path="m4966,9384l6091,9384e" filled="false" stroked="true" strokeweight=".48pt" strokecolor="#000000">
                <v:path arrowok="t"/>
              </v:shape>
            </v:group>
            <v:group style="position:absolute;left:6101;top:9384;width:1832;height:2" coordorigin="6101,9384" coordsize="1832,2">
              <v:shape style="position:absolute;left:6101;top:9384;width:1832;height:2" coordorigin="6101,9384" coordsize="1832,0" path="m6101,9384l7932,9384e" filled="false" stroked="true" strokeweight=".48pt" strokecolor="#000000">
                <v:path arrowok="t"/>
              </v:shape>
            </v:group>
            <v:group style="position:absolute;left:7942;top:9384;width:843;height:2" coordorigin="7942,9384" coordsize="843,2">
              <v:shape style="position:absolute;left:7942;top:9384;width:843;height:2" coordorigin="7942,9384" coordsize="843,0" path="m7942,9384l8784,9384e" filled="false" stroked="true" strokeweight=".48pt" strokecolor="#000000">
                <v:path arrowok="t"/>
              </v:shape>
            </v:group>
            <v:group style="position:absolute;left:8794;top:9384;width:840;height:2" coordorigin="8794,9384" coordsize="840,2">
              <v:shape style="position:absolute;left:8794;top:9384;width:840;height:2" coordorigin="8794,9384" coordsize="840,0" path="m8794,9384l9634,9384e" filled="false" stroked="true" strokeweight=".48pt" strokecolor="#000000">
                <v:path arrowok="t"/>
              </v:shape>
            </v:group>
            <v:group style="position:absolute;left:9643;top:9384;width:1052;height:2" coordorigin="9643,9384" coordsize="1052,2">
              <v:shape style="position:absolute;left:9643;top:9384;width:1052;height:2" coordorigin="9643,9384" coordsize="1052,0" path="m9643,9384l10694,9384e" filled="false" stroked="true" strokeweight=".48pt" strokecolor="#000000">
                <v:path arrowok="t"/>
              </v:shape>
            </v:group>
            <v:group style="position:absolute;left:1140;top:13224;width:2825;height:761" coordorigin="1140,13224" coordsize="2825,761">
              <v:shape style="position:absolute;left:1140;top:13224;width:2825;height:761" coordorigin="1140,13224" coordsize="2825,761" path="m1140,13985l3965,13985,3965,13224,1140,13224,1140,13985xe" filled="true" fillcolor="#d4d4d4" stroked="false">
                <v:path arrowok="t"/>
                <v:fill type="solid"/>
              </v:shape>
            </v:group>
            <v:group style="position:absolute;left:1140;top:14376;width:2825;height:761" coordorigin="1140,14376" coordsize="2825,761">
              <v:shape style="position:absolute;left:1140;top:14376;width:2825;height:761" coordorigin="1140,14376" coordsize="2825,761" path="m1140,15137l3965,15137,3965,14376,1140,14376,1140,15137xe" filled="true" fillcolor="#d4d4d4" stroked="false">
                <v:path arrowok="t"/>
                <v:fill type="solid"/>
              </v:shape>
            </v:group>
            <v:group style="position:absolute;left:1162;top:13985;width:2780;height:392" coordorigin="1162,13985" coordsize="2780,392">
              <v:shape style="position:absolute;left:1162;top:13985;width:2780;height:392" coordorigin="1162,13985" coordsize="2780,392" path="m1162,14376l3941,14376,3941,13985,1162,13985,1162,14376xe" filled="true" fillcolor="#d4d4d4" stroked="false">
                <v:path arrowok="t"/>
                <v:fill type="solid"/>
              </v:shape>
            </v:group>
            <v:group style="position:absolute;left:7944;top:13224;width:840;height:1913" coordorigin="7944,13224" coordsize="840,1913">
              <v:shape style="position:absolute;left:7944;top:13224;width:840;height:1913" coordorigin="7944,13224" coordsize="840,1913" path="m7944,15137l8784,15137,8784,13224,7944,13224,7944,15137xe" filled="true" fillcolor="#ffffff" stroked="false">
                <v:path arrowok="t"/>
                <v:fill type="solid"/>
              </v:shape>
            </v:group>
            <v:group style="position:absolute;left:7966;top:13829;width:795;height:351" coordorigin="7966,13829" coordsize="795,351">
              <v:shape style="position:absolute;left:7966;top:13829;width:795;height:351" coordorigin="7966,13829" coordsize="795,351" path="m7966,14179l8760,14179,8760,13829,7966,13829,7966,14179xe" filled="true" fillcolor="#ffffff" stroked="false">
                <v:path arrowok="t"/>
                <v:fill type="solid"/>
              </v:shape>
            </v:group>
            <v:group style="position:absolute;left:7966;top:14179;width:795;height:353" coordorigin="7966,14179" coordsize="795,353">
              <v:shape style="position:absolute;left:7966;top:14179;width:795;height:353" coordorigin="7966,14179" coordsize="795,353" path="m7966,14532l8760,14532,8760,14179,7966,14179,7966,14532xe" filled="true" fillcolor="#ffffff" stroked="false">
                <v:path arrowok="t"/>
                <v:fill type="solid"/>
              </v:shape>
            </v:group>
            <v:group style="position:absolute;left:1138;top:13219;width:2828;height:2" coordorigin="1138,13219" coordsize="2828,2">
              <v:shape style="position:absolute;left:1138;top:13219;width:2828;height:2" coordorigin="1138,13219" coordsize="2828,0" path="m1138,13219l3965,13219e" filled="false" stroked="true" strokeweight=".48pt" strokecolor="#000000">
                <v:path arrowok="t"/>
              </v:shape>
            </v:group>
            <v:group style="position:absolute;left:3974;top:13219;width:982;height:2" coordorigin="3974,13219" coordsize="982,2">
              <v:shape style="position:absolute;left:3974;top:13219;width:982;height:2" coordorigin="3974,13219" coordsize="982,0" path="m3974,13219l4956,13219e" filled="false" stroked="true" strokeweight=".48pt" strokecolor="#000000">
                <v:path arrowok="t"/>
              </v:shape>
            </v:group>
            <v:group style="position:absolute;left:4966;top:13219;width:1126;height:2" coordorigin="4966,13219" coordsize="1126,2">
              <v:shape style="position:absolute;left:4966;top:13219;width:1126;height:2" coordorigin="4966,13219" coordsize="1126,0" path="m4966,13219l6091,13219e" filled="false" stroked="true" strokeweight=".48pt" strokecolor="#000000">
                <v:path arrowok="t"/>
              </v:shape>
            </v:group>
            <v:group style="position:absolute;left:6101;top:13219;width:1832;height:2" coordorigin="6101,13219" coordsize="1832,2">
              <v:shape style="position:absolute;left:6101;top:13219;width:1832;height:2" coordorigin="6101,13219" coordsize="1832,0" path="m6101,13219l7932,13219e" filled="false" stroked="true" strokeweight=".48pt" strokecolor="#000000">
                <v:path arrowok="t"/>
              </v:shape>
            </v:group>
            <v:group style="position:absolute;left:7942;top:13219;width:843;height:2" coordorigin="7942,13219" coordsize="843,2">
              <v:shape style="position:absolute;left:7942;top:13219;width:843;height:2" coordorigin="7942,13219" coordsize="843,0" path="m7942,13219l8784,13219e" filled="false" stroked="true" strokeweight=".48pt" strokecolor="#000000">
                <v:path arrowok="t"/>
              </v:shape>
            </v:group>
            <v:group style="position:absolute;left:8794;top:13219;width:840;height:2" coordorigin="8794,13219" coordsize="840,2">
              <v:shape style="position:absolute;left:8794;top:13219;width:840;height:2" coordorigin="8794,13219" coordsize="840,0" path="m8794,13219l9634,13219e" filled="false" stroked="true" strokeweight=".48pt" strokecolor="#000000">
                <v:path arrowok="t"/>
              </v:shape>
            </v:group>
            <v:group style="position:absolute;left:9643;top:13219;width:1052;height:2" coordorigin="9643,13219" coordsize="1052,2">
              <v:shape style="position:absolute;left:9643;top:13219;width:1052;height:2" coordorigin="9643,13219" coordsize="1052,0" path="m9643,13219l10694,13219e" filled="false" stroked="true" strokeweight=".48pt" strokecolor="#000000">
                <v:path arrowok="t"/>
              </v:shape>
            </v:group>
            <v:group style="position:absolute;left:1133;top:1440;width:2;height:13707" coordorigin="1133,1440" coordsize="2,13707">
              <v:shape style="position:absolute;left:1133;top:1440;width:2;height:13707" coordorigin="1133,1440" coordsize="0,13707" path="m1133,1440l1133,15146e" filled="false" stroked="true" strokeweight=".48pt" strokecolor="#000000">
                <v:path arrowok="t"/>
              </v:shape>
            </v:group>
            <v:group style="position:absolute;left:1138;top:15142;width:2828;height:2" coordorigin="1138,15142" coordsize="2828,2">
              <v:shape style="position:absolute;left:1138;top:15142;width:2828;height:2" coordorigin="1138,15142" coordsize="2828,0" path="m1138,15142l3965,15142e" filled="false" stroked="true" strokeweight=".48pt" strokecolor="#000000">
                <v:path arrowok="t"/>
              </v:shape>
            </v:group>
            <v:group style="position:absolute;left:3970;top:1440;width:2;height:13707" coordorigin="3970,1440" coordsize="2,13707">
              <v:shape style="position:absolute;left:3970;top:1440;width:2;height:13707" coordorigin="3970,1440" coordsize="0,13707" path="m3970,1440l3970,15146e" filled="false" stroked="true" strokeweight=".48pt" strokecolor="#000000">
                <v:path arrowok="t"/>
              </v:shape>
            </v:group>
            <v:group style="position:absolute;left:3974;top:15142;width:982;height:2" coordorigin="3974,15142" coordsize="982,2">
              <v:shape style="position:absolute;left:3974;top:15142;width:982;height:2" coordorigin="3974,15142" coordsize="982,0" path="m3974,15142l4956,15142e" filled="false" stroked="true" strokeweight=".48pt" strokecolor="#000000">
                <v:path arrowok="t"/>
              </v:shape>
            </v:group>
            <v:group style="position:absolute;left:4961;top:1440;width:2;height:13707" coordorigin="4961,1440" coordsize="2,13707">
              <v:shape style="position:absolute;left:4961;top:1440;width:2;height:13707" coordorigin="4961,1440" coordsize="0,13707" path="m4961,1440l4961,15146e" filled="false" stroked="true" strokeweight=".481pt" strokecolor="#000000">
                <v:path arrowok="t"/>
              </v:shape>
            </v:group>
            <v:group style="position:absolute;left:4966;top:15142;width:1126;height:2" coordorigin="4966,15142" coordsize="1126,2">
              <v:shape style="position:absolute;left:4966;top:15142;width:1126;height:2" coordorigin="4966,15142" coordsize="1126,0" path="m4966,15142l6091,15142e" filled="false" stroked="true" strokeweight=".48pt" strokecolor="#000000">
                <v:path arrowok="t"/>
              </v:shape>
            </v:group>
            <v:group style="position:absolute;left:6096;top:1440;width:2;height:13707" coordorigin="6096,1440" coordsize="2,13707">
              <v:shape style="position:absolute;left:6096;top:1440;width:2;height:13707" coordorigin="6096,1440" coordsize="0,13707" path="m6096,1440l6096,15146e" filled="false" stroked="true" strokeweight=".48pt" strokecolor="#000000">
                <v:path arrowok="t"/>
              </v:shape>
            </v:group>
            <v:group style="position:absolute;left:6101;top:15142;width:1832;height:2" coordorigin="6101,15142" coordsize="1832,2">
              <v:shape style="position:absolute;left:6101;top:15142;width:1832;height:2" coordorigin="6101,15142" coordsize="1832,0" path="m6101,15142l7932,15142e" filled="false" stroked="true" strokeweight=".48pt" strokecolor="#000000">
                <v:path arrowok="t"/>
              </v:shape>
            </v:group>
            <v:group style="position:absolute;left:7937;top:1440;width:2;height:13707" coordorigin="7937,1440" coordsize="2,13707">
              <v:shape style="position:absolute;left:7937;top:1440;width:2;height:13707" coordorigin="7937,1440" coordsize="0,13707" path="m7937,1440l7937,15146e" filled="false" stroked="true" strokeweight=".48pt" strokecolor="#000000">
                <v:path arrowok="t"/>
              </v:shape>
            </v:group>
            <v:group style="position:absolute;left:7942;top:15142;width:843;height:2" coordorigin="7942,15142" coordsize="843,2">
              <v:shape style="position:absolute;left:7942;top:15142;width:843;height:2" coordorigin="7942,15142" coordsize="843,0" path="m7942,15142l8784,15142e" filled="false" stroked="true" strokeweight=".48pt" strokecolor="#000000">
                <v:path arrowok="t"/>
              </v:shape>
            </v:group>
            <v:group style="position:absolute;left:8789;top:1440;width:2;height:13707" coordorigin="8789,1440" coordsize="2,13707">
              <v:shape style="position:absolute;left:8789;top:1440;width:2;height:13707" coordorigin="8789,1440" coordsize="0,13707" path="m8789,1440l8789,15146e" filled="false" stroked="true" strokeweight=".48pt" strokecolor="#000000">
                <v:path arrowok="t"/>
              </v:shape>
            </v:group>
            <v:group style="position:absolute;left:8794;top:15142;width:840;height:2" coordorigin="8794,15142" coordsize="840,2">
              <v:shape style="position:absolute;left:8794;top:15142;width:840;height:2" coordorigin="8794,15142" coordsize="840,0" path="m8794,15142l9634,15142e" filled="false" stroked="true" strokeweight=".48pt" strokecolor="#000000">
                <v:path arrowok="t"/>
              </v:shape>
            </v:group>
            <v:group style="position:absolute;left:9638;top:1440;width:2;height:13707" coordorigin="9638,1440" coordsize="2,13707">
              <v:shape style="position:absolute;left:9638;top:1440;width:2;height:13707" coordorigin="9638,1440" coordsize="0,13707" path="m9638,1440l9638,15146e" filled="false" stroked="true" strokeweight=".48pt" strokecolor="#000000">
                <v:path arrowok="t"/>
              </v:shape>
            </v:group>
            <v:group style="position:absolute;left:9643;top:15142;width:1052;height:2" coordorigin="9643,15142" coordsize="1052,2">
              <v:shape style="position:absolute;left:9643;top:15142;width:1052;height:2" coordorigin="9643,15142" coordsize="1052,0" path="m9643,15142l10694,15142e" filled="false" stroked="true" strokeweight=".48pt" strokecolor="#000000">
                <v:path arrowok="t"/>
              </v:shape>
            </v:group>
            <v:group style="position:absolute;left:10699;top:1440;width:2;height:13707" coordorigin="10699,1440" coordsize="2,13707">
              <v:shape style="position:absolute;left:10699;top:1440;width:2;height:13707" coordorigin="10699,1440" coordsize="0,13707" path="m10699,1440l10699,15146e" filled="false" stroked="true" strokeweight=".481pt" strokecolor="#000000">
                <v:path arrowok="t"/>
              </v:shape>
            </v:group>
            <w10:wrap type="none"/>
          </v:group>
        </w:pict>
      </w:r>
      <w:r>
        <w:rPr/>
        <w:t>动人</w:t>
        <w:tab/>
        <w:t>诺</w:t>
      </w:r>
    </w:p>
    <w:p>
      <w:pPr>
        <w:pStyle w:val="BodyText"/>
        <w:spacing w:line="178" w:lineRule="exact"/>
        <w:ind w:left="915" w:right="-15"/>
        <w:jc w:val="left"/>
      </w:pPr>
      <w:r>
        <w:rPr>
          <w:spacing w:val="-9"/>
        </w:rPr>
        <w:br w:type="column"/>
      </w:r>
      <w:r>
        <w:rPr>
          <w:spacing w:val="-9"/>
        </w:rPr>
        <w:t>持续、稳定、</w:t>
      </w:r>
    </w:p>
    <w:p>
      <w:pPr>
        <w:pStyle w:val="BodyText"/>
        <w:spacing w:line="316" w:lineRule="auto" w:before="76"/>
        <w:ind w:left="915" w:right="-15"/>
        <w:jc w:val="left"/>
      </w:pPr>
      <w:r>
        <w:rPr>
          <w:spacing w:val="-2"/>
        </w:rPr>
        <w:t>维护公司股价稳定、增</w:t>
      </w:r>
      <w:r>
        <w:rPr>
          <w:spacing w:val="-85"/>
        </w:rPr>
        <w:t> </w:t>
      </w:r>
      <w:r>
        <w:rPr>
          <w:spacing w:val="-85"/>
        </w:rPr>
      </w:r>
      <w:r>
        <w:rPr>
          <w:spacing w:val="-2"/>
        </w:rPr>
        <w:t>强投资者信心，薛向东</w:t>
      </w:r>
    </w:p>
    <w:p>
      <w:pPr>
        <w:pStyle w:val="BodyText"/>
        <w:spacing w:line="170" w:lineRule="exact"/>
        <w:ind w:left="15" w:right="-18"/>
        <w:jc w:val="left"/>
      </w:pPr>
      <w:r>
        <w:rPr/>
        <w:br w:type="column"/>
      </w:r>
      <w:r>
        <w:rPr/>
        <w:t>月</w:t>
      </w:r>
      <w:r>
        <w:rPr>
          <w:spacing w:val="-45"/>
        </w:rPr>
        <w:t> </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日</w:t>
      </w:r>
    </w:p>
    <w:p>
      <w:pPr>
        <w:pStyle w:val="BodyText"/>
        <w:spacing w:line="170" w:lineRule="exact"/>
        <w:ind w:left="178" w:right="0"/>
        <w:jc w:val="left"/>
      </w:pPr>
      <w:r>
        <w:rPr/>
        <w:br w:type="column"/>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170" w:lineRule="exact"/>
        <w:jc w:val="left"/>
        <w:sectPr>
          <w:type w:val="continuous"/>
          <w:pgSz w:w="11910" w:h="16840"/>
          <w:pgMar w:top="1060" w:bottom="1160" w:left="980" w:right="0"/>
          <w:cols w:num="4" w:equalWidth="0">
            <w:col w:w="4190" w:space="40"/>
            <w:col w:w="2701" w:space="40"/>
            <w:col w:w="649" w:space="40"/>
            <w:col w:w="3270"/>
          </w:cols>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991"/>
        <w:gridCol w:w="1135"/>
        <w:gridCol w:w="1841"/>
        <w:gridCol w:w="852"/>
        <w:gridCol w:w="850"/>
        <w:gridCol w:w="1061"/>
      </w:tblGrid>
      <w:tr>
        <w:trPr>
          <w:trHeight w:val="285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先生及其一致行动人 计划，自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日起通过深圳证 券交易所交易系统允 </w:t>
            </w:r>
            <w:r>
              <w:rPr>
                <w:rFonts w:ascii="宋体" w:hAnsi="宋体" w:cs="宋体" w:eastAsia="宋体" w:hint="default"/>
                <w:spacing w:val="-2"/>
                <w:sz w:val="18"/>
                <w:szCs w:val="18"/>
              </w:rPr>
              <w:t>许的方式（包括但不限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于集中竞价和大宗交 </w:t>
            </w:r>
            <w:r>
              <w:rPr>
                <w:rFonts w:ascii="宋体" w:hAnsi="宋体" w:cs="宋体" w:eastAsia="宋体" w:hint="default"/>
                <w:spacing w:val="-2"/>
                <w:sz w:val="18"/>
                <w:szCs w:val="18"/>
              </w:rPr>
              <w:t>易）增持公司股份，拟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增持金额不低于人民 币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关于增持倡 议方面的承 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
              <w:jc w:val="left"/>
              <w:rPr>
                <w:rFonts w:ascii="宋体" w:hAnsi="宋体" w:cs="宋体" w:eastAsia="宋体" w:hint="default"/>
                <w:sz w:val="18"/>
                <w:szCs w:val="18"/>
              </w:rPr>
            </w:pPr>
            <w:r>
              <w:rPr>
                <w:rFonts w:ascii="宋体" w:hAnsi="宋体" w:cs="宋体" w:eastAsia="宋体" w:hint="default"/>
                <w:sz w:val="18"/>
                <w:szCs w:val="18"/>
              </w:rPr>
              <w:t>公司及下属全资子公 司、控股子公司全体员 工经公司证券部事先 登记确认拟购买数量， 并在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 </w:t>
            </w:r>
            <w:r>
              <w:rPr>
                <w:rFonts w:ascii="Times New Roman" w:hAnsi="Times New Roman" w:cs="Times New Roman" w:eastAsia="Times New Roman" w:hint="default"/>
                <w:sz w:val="18"/>
                <w:szCs w:val="18"/>
              </w:rPr>
              <w:t>13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点后至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期间完成净买入东华 软件股票，连续持有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个月以上，且持有 期间连续在东华软件 </w:t>
            </w:r>
            <w:r>
              <w:rPr>
                <w:rFonts w:ascii="宋体" w:hAnsi="宋体" w:cs="宋体" w:eastAsia="宋体" w:hint="default"/>
                <w:spacing w:val="-2"/>
                <w:sz w:val="18"/>
                <w:szCs w:val="18"/>
              </w:rPr>
              <w:t>履职的，该等东华软件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股票的收益归员工个 </w:t>
            </w:r>
            <w:r>
              <w:rPr>
                <w:rFonts w:ascii="宋体" w:hAnsi="宋体" w:cs="宋体" w:eastAsia="宋体" w:hint="default"/>
                <w:spacing w:val="-2"/>
                <w:sz w:val="18"/>
                <w:szCs w:val="18"/>
              </w:rPr>
              <w:t>人所有，若该等股票产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生的亏损，由本人予以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全额补偿。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59" w:lineRule="auto" w:before="36"/>
        <w:ind w:right="986"/>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986"/>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30" w:firstLine="360"/>
        <w:jc w:val="both"/>
        <w:rPr>
          <w:rFonts w:ascii="宋体" w:hAnsi="宋体" w:cs="宋体" w:eastAsia="宋体" w:hint="default"/>
        </w:rPr>
      </w:pPr>
      <w:r>
        <w:rPr/>
        <w:t>财政部于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15 </w:t>
      </w:r>
      <w:r>
        <w:rPr/>
        <w:t>日发布《关于修订印发 </w:t>
      </w:r>
      <w:r>
        <w:rPr>
          <w:rFonts w:ascii="Times New Roman" w:hAnsi="Times New Roman" w:cs="Times New Roman" w:eastAsia="Times New Roman" w:hint="default"/>
        </w:rPr>
        <w:t>2018 </w:t>
      </w:r>
      <w:r>
        <w:rPr/>
        <w:t>年度一般企业财务报表格式的通知》（财会</w:t>
      </w:r>
      <w:r>
        <w:rPr>
          <w:rFonts w:ascii="Times New Roman" w:hAnsi="Times New Roman" w:cs="Times New Roman" w:eastAsia="Times New Roman" w:hint="default"/>
        </w:rPr>
        <w:t>[2018]15</w:t>
      </w:r>
      <w:r>
        <w:rPr>
          <w:rFonts w:ascii="Times New Roman" w:hAnsi="Times New Roman" w:cs="Times New Roman" w:eastAsia="Times New Roman" w:hint="default"/>
          <w:spacing w:val="34"/>
        </w:rPr>
        <w:t> </w:t>
      </w:r>
      <w:r>
        <w:rPr>
          <w:spacing w:val="-5"/>
        </w:rPr>
        <w:t>号），对</w:t>
      </w:r>
      <w:r>
        <w:rPr/>
        <w:t> 一般企业财务报表格式进行了修订。根据《关于修订印发 </w:t>
      </w:r>
      <w:r>
        <w:rPr>
          <w:rFonts w:ascii="Times New Roman" w:hAnsi="Times New Roman" w:cs="Times New Roman" w:eastAsia="Times New Roman" w:hint="default"/>
        </w:rPr>
        <w:t>2018 </w:t>
      </w:r>
      <w:r>
        <w:rPr/>
        <w:t>年度一般企业财务报表格式的通知》（财会</w:t>
      </w:r>
      <w:r>
        <w:rPr>
          <w:rFonts w:ascii="Times New Roman" w:hAnsi="Times New Roman" w:cs="Times New Roman" w:eastAsia="Times New Roman" w:hint="default"/>
        </w:rPr>
        <w:t>[2018]15</w:t>
      </w:r>
      <w:r>
        <w:rPr>
          <w:rFonts w:ascii="Times New Roman" w:hAnsi="Times New Roman" w:cs="Times New Roman" w:eastAsia="Times New Roman" w:hint="default"/>
          <w:spacing w:val="-9"/>
        </w:rPr>
        <w:t> </w:t>
      </w:r>
      <w:r>
        <w:rPr>
          <w:spacing w:val="-9"/>
        </w:rPr>
        <w:t>号）的</w:t>
      </w:r>
      <w:r>
        <w:rPr>
          <w:spacing w:val="-13"/>
        </w:rPr>
        <w:t> </w:t>
      </w:r>
      <w:r>
        <w:rPr/>
        <w:t>规定，公司调整以下财务报表的列报，并对可比期间的比较数据相应进行调整：</w:t>
      </w:r>
      <w:r>
        <w:rPr>
          <w:rFonts w:ascii="宋体" w:hAnsi="宋体" w:cs="宋体" w:eastAsia="宋体" w:hint="default"/>
        </w:rPr>
        <w:t> </w:t>
      </w:r>
    </w:p>
    <w:p>
      <w:pPr>
        <w:pStyle w:val="BodyText"/>
        <w:spacing w:line="240" w:lineRule="auto" w:before="31"/>
        <w:ind w:right="986"/>
        <w:jc w:val="left"/>
        <w:rPr>
          <w:rFonts w:ascii="宋体" w:hAnsi="宋体" w:cs="宋体" w:eastAsia="宋体" w:hint="default"/>
        </w:rPr>
      </w:pPr>
      <w:r>
        <w:rPr/>
        <w:t>（</w:t>
      </w: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rPr>
          <w:rFonts w:ascii="宋体" w:hAnsi="宋体" w:cs="宋体" w:eastAsia="宋体" w:hint="default"/>
        </w:rPr>
      </w:pPr>
      <w:r>
        <w:rPr/>
        <w:t>（</w:t>
      </w:r>
      <w:r>
        <w:rPr>
          <w:rFonts w:ascii="Times New Roman" w:hAnsi="Times New Roman" w:cs="Times New Roman" w:eastAsia="Times New Roman" w:hint="default"/>
        </w:rPr>
        <w:t>8</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r>
        <w:rPr>
          <w:rFonts w:ascii="宋体" w:hAnsi="宋体" w:cs="宋体" w:eastAsia="宋体" w:hint="default"/>
        </w:rPr>
        <w:t> </w:t>
      </w:r>
    </w:p>
    <w:p>
      <w:pPr>
        <w:pStyle w:val="BodyText"/>
        <w:spacing w:line="240" w:lineRule="auto" w:before="62"/>
        <w:ind w:right="986"/>
        <w:jc w:val="left"/>
      </w:pPr>
      <w:r>
        <w:rPr/>
        <w:t>（</w:t>
      </w:r>
      <w:r>
        <w:rPr>
          <w:rFonts w:ascii="Times New Roman" w:hAnsi="Times New Roman" w:cs="Times New Roman" w:eastAsia="Times New Roman" w:hint="default"/>
        </w:rPr>
        <w:t>9</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986"/>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40" w:right="986"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本报告期内合并范围子公司包括</w:t>
      </w:r>
      <w:r>
        <w:rPr>
          <w:rFonts w:ascii="Times New Roman" w:hAnsi="Times New Roman" w:cs="Times New Roman" w:eastAsia="Times New Roman" w:hint="default"/>
          <w:spacing w:val="-1"/>
        </w:rPr>
        <w:t>59</w:t>
      </w:r>
      <w:r>
        <w:rPr>
          <w:spacing w:val="-1"/>
        </w:rPr>
        <w:t>家，新增</w:t>
      </w:r>
      <w:r>
        <w:rPr>
          <w:rFonts w:ascii="Times New Roman" w:hAnsi="Times New Roman" w:cs="Times New Roman" w:eastAsia="Times New Roman" w:hint="default"/>
          <w:spacing w:val="-1"/>
        </w:rPr>
        <w:t>9</w:t>
      </w:r>
      <w:r>
        <w:rPr>
          <w:spacing w:val="-1"/>
        </w:rPr>
        <w:t>家子公司，减少</w:t>
      </w:r>
      <w:r>
        <w:rPr>
          <w:rFonts w:ascii="Times New Roman" w:hAnsi="Times New Roman" w:cs="Times New Roman" w:eastAsia="Times New Roman" w:hint="default"/>
          <w:spacing w:val="-1"/>
        </w:rPr>
        <w:t>1</w:t>
      </w:r>
      <w:r>
        <w:rPr>
          <w:spacing w:val="-1"/>
        </w:rPr>
        <w:t>家。新增子公司包括安阳东华软件有限公司、东华智城云</w:t>
      </w:r>
    </w:p>
    <w:p>
      <w:pPr>
        <w:pStyle w:val="BodyText"/>
        <w:spacing w:line="215" w:lineRule="exact"/>
        <w:ind w:left="153" w:right="986"/>
        <w:jc w:val="left"/>
      </w:pPr>
      <w:r>
        <w:rPr/>
        <w:t>计算有限公司、东华至高通信技术有限公司、安徽东华智慧城市信息技术有限责任公司、陕西空港云谷科技有限公司、哈密</w:t>
      </w:r>
    </w:p>
    <w:p>
      <w:pPr>
        <w:pStyle w:val="BodyText"/>
        <w:spacing w:line="316" w:lineRule="auto" w:before="76"/>
        <w:ind w:left="153" w:right="986"/>
        <w:jc w:val="left"/>
      </w:pPr>
      <w:r>
        <w:rPr>
          <w:spacing w:val="-2"/>
        </w:rPr>
        <w:t>东华软件有限公司、东华鲁信计算机技术有限公司、北京银企汇科技有限公司、河南东华大数据有限公司；减少子公司包括</w:t>
      </w:r>
      <w:r>
        <w:rPr>
          <w:spacing w:val="-65"/>
        </w:rPr>
        <w:t> </w:t>
      </w:r>
      <w:r>
        <w:rPr>
          <w:spacing w:val="-65"/>
        </w:rPr>
      </w:r>
      <w:r>
        <w:rPr/>
        <w:t>东华博雅软件股份有限公司。</w:t>
      </w:r>
    </w:p>
    <w:p>
      <w:pPr>
        <w:pStyle w:val="BodyText"/>
        <w:spacing w:line="240" w:lineRule="auto" w:before="18"/>
        <w:ind w:left="134" w:right="2116"/>
        <w:jc w:val="center"/>
      </w:pPr>
      <w:r>
        <w:rPr/>
        <w:t>具体内容详见本报告第十一节财务报告附注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肖丽娟、邢博晖</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986"/>
        <w:jc w:val="left"/>
      </w:pPr>
      <w:r>
        <w:rPr/>
        <w:t>当期是否改聘会计师事务所</w:t>
      </w:r>
    </w:p>
    <w:p>
      <w:pPr>
        <w:pStyle w:val="BodyText"/>
        <w:spacing w:line="338" w:lineRule="auto" w:before="117"/>
        <w:ind w:right="62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986"/>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440" w:right="986"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报告期内，公司及控股股东、实际控制人依法诚信经营，信用状态良好，不存在未履行的法院生效判决、所负数额较大</w:t>
      </w:r>
    </w:p>
    <w:p>
      <w:pPr>
        <w:pStyle w:val="BodyText"/>
        <w:spacing w:line="240" w:lineRule="auto" w:before="2"/>
        <w:ind w:right="986"/>
        <w:jc w:val="left"/>
      </w:pPr>
      <w:r>
        <w:rPr/>
        <w:t>的债务到期未清偿等情况。</w:t>
      </w:r>
    </w:p>
    <w:p>
      <w:pPr>
        <w:spacing w:line="240" w:lineRule="auto" w:before="3"/>
        <w:rPr>
          <w:rFonts w:ascii="宋体" w:hAnsi="宋体" w:cs="宋体" w:eastAsia="宋体" w:hint="default"/>
          <w:sz w:val="25"/>
          <w:szCs w:val="25"/>
        </w:rPr>
      </w:pPr>
    </w:p>
    <w:p>
      <w:pPr>
        <w:pStyle w:val="Heading3"/>
        <w:spacing w:line="240" w:lineRule="auto"/>
        <w:ind w:right="986"/>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440" w:right="986"/>
        <w:jc w:val="left"/>
      </w:pPr>
      <w:r>
        <w:rPr>
          <w:rFonts w:ascii="Times New Roman" w:hAnsi="Times New Roman" w:cs="Times New Roman" w:eastAsia="Times New Roman" w:hint="default"/>
        </w:rPr>
        <w:t>1</w:t>
      </w:r>
      <w:r>
        <w:rPr/>
        <w:t>、公司员工持股计划进展情况</w:t>
      </w:r>
    </w:p>
    <w:p>
      <w:pPr>
        <w:pStyle w:val="BodyText"/>
        <w:spacing w:line="300" w:lineRule="auto" w:before="62"/>
        <w:ind w:left="153" w:right="1043" w:firstLine="287"/>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日，公司第六届董事会第十三次会议审议通过了《东华软件股份公司</w:t>
      </w:r>
      <w:r>
        <w:rPr>
          <w:rFonts w:ascii="Times New Roman" w:hAnsi="Times New Roman" w:cs="Times New Roman" w:eastAsia="Times New Roman" w:hint="default"/>
        </w:rPr>
        <w:t>2018</w:t>
      </w:r>
      <w:r>
        <w:rPr/>
        <w:t>员工持股计划（草案）及摘要的议 </w:t>
      </w:r>
      <w:r>
        <w:rPr>
          <w:spacing w:val="-2"/>
        </w:rPr>
        <w:t>案》、《关于提请股东大会授权董事会全权办理公司员工持股计划的相关事宜的议案》、《东华软件股份公司</w:t>
      </w:r>
      <w:r>
        <w:rPr>
          <w:rFonts w:ascii="Times New Roman" w:hAnsi="Times New Roman" w:cs="Times New Roman" w:eastAsia="Times New Roman" w:hint="default"/>
          <w:spacing w:val="-2"/>
        </w:rPr>
        <w:t>2018</w:t>
      </w:r>
      <w:r>
        <w:rPr>
          <w:spacing w:val="-2"/>
        </w:rPr>
        <w:t>年员工持</w:t>
      </w:r>
      <w:r>
        <w:rPr>
          <w:spacing w:val="-64"/>
        </w:rPr>
        <w:t> </w:t>
      </w:r>
      <w:r>
        <w:rPr>
          <w:spacing w:val="-64"/>
        </w:rPr>
      </w:r>
      <w:r>
        <w:rPr>
          <w:spacing w:val="-4"/>
        </w:rPr>
        <w:t>股计划管理办法的议案》。公司独立董事对公司《东华软件股份公司</w:t>
      </w:r>
      <w:r>
        <w:rPr>
          <w:rFonts w:ascii="Times New Roman" w:hAnsi="Times New Roman" w:cs="Times New Roman" w:eastAsia="Times New Roman" w:hint="default"/>
          <w:spacing w:val="-4"/>
        </w:rPr>
        <w:t>2018</w:t>
      </w:r>
      <w:r>
        <w:rPr>
          <w:spacing w:val="-4"/>
        </w:rPr>
        <w:t>员工持股计划（草案）》及其摘要发表了独立意见。</w:t>
      </w:r>
    </w:p>
    <w:p>
      <w:pPr>
        <w:pStyle w:val="BodyText"/>
        <w:spacing w:line="300" w:lineRule="auto" w:before="13"/>
        <w:ind w:left="153" w:right="1063"/>
        <w:jc w:val="left"/>
      </w:pPr>
      <w:r>
        <w:rPr/>
        <w:t>（公告编号：</w:t>
      </w:r>
      <w:r>
        <w:rPr>
          <w:rFonts w:ascii="Times New Roman" w:hAnsi="Times New Roman" w:cs="Times New Roman" w:eastAsia="Times New Roman" w:hint="default"/>
        </w:rPr>
        <w:t>2018-001</w:t>
      </w:r>
      <w:r>
        <w:rPr/>
        <w:t>）。同日，公司第六届监事会第五次会议审议通过了《东华软件股份公司</w:t>
      </w:r>
      <w:r>
        <w:rPr>
          <w:rFonts w:ascii="Times New Roman" w:hAnsi="Times New Roman" w:cs="Times New Roman" w:eastAsia="Times New Roman" w:hint="default"/>
        </w:rPr>
        <w:t>2018</w:t>
      </w:r>
      <w:r>
        <w:rPr/>
        <w:t>员工持股计划（草案） 及摘要的议案》》、《东华软件股份公司</w:t>
      </w:r>
      <w:r>
        <w:rPr>
          <w:rFonts w:ascii="Times New Roman" w:hAnsi="Times New Roman" w:cs="Times New Roman" w:eastAsia="Times New Roman" w:hint="default"/>
        </w:rPr>
        <w:t>2018</w:t>
      </w:r>
      <w:r>
        <w:rPr/>
        <w:t>年员工持股计划管理办法的议案》。</w:t>
      </w:r>
    </w:p>
    <w:p>
      <w:pPr>
        <w:pStyle w:val="BodyText"/>
        <w:spacing w:line="302" w:lineRule="auto" w:before="13"/>
        <w:ind w:right="1041" w:firstLine="28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2018</w:t>
      </w:r>
      <w:r>
        <w:rPr/>
        <w:t>年第一次临时股东大会审议通过了《东华软件股份公司</w:t>
      </w:r>
      <w:r>
        <w:rPr>
          <w:rFonts w:ascii="Times New Roman" w:hAnsi="Times New Roman" w:cs="Times New Roman" w:eastAsia="Times New Roman" w:hint="default"/>
        </w:rPr>
        <w:t>2018</w:t>
      </w:r>
      <w:r>
        <w:rPr/>
        <w:t>员工持股计划（草案）及摘要的 </w:t>
      </w:r>
      <w:r>
        <w:rPr>
          <w:spacing w:val="-2"/>
        </w:rPr>
        <w:t>议案》、《关于提请股东大会授权董事会全权办理公司员工持股计划的相关事宜的议案》、《东华软件股份公司</w:t>
      </w:r>
      <w:r>
        <w:rPr>
          <w:rFonts w:ascii="Times New Roman" w:hAnsi="Times New Roman" w:cs="Times New Roman" w:eastAsia="Times New Roman" w:hint="default"/>
          <w:spacing w:val="-2"/>
        </w:rPr>
        <w:t>2018</w:t>
      </w:r>
      <w:r>
        <w:rPr>
          <w:spacing w:val="-2"/>
        </w:rPr>
        <w:t>年员工</w:t>
      </w:r>
      <w:r>
        <w:rPr>
          <w:spacing w:val="-63"/>
        </w:rPr>
        <w:t> </w:t>
      </w:r>
      <w:r>
        <w:rPr>
          <w:spacing w:val="-63"/>
        </w:rPr>
      </w:r>
      <w:r>
        <w:rPr>
          <w:spacing w:val="-2"/>
        </w:rPr>
        <w:t>持股计划管理办法的议案》。公司将稳中有序地推进本次员工持股计划。根据中国证监会《关于上市公司实施员工持股计划</w:t>
      </w:r>
      <w:r>
        <w:rPr>
          <w:spacing w:val="-64"/>
        </w:rPr>
        <w:t> </w:t>
      </w:r>
      <w:r>
        <w:rPr>
          <w:spacing w:val="-64"/>
        </w:rPr>
      </w:r>
      <w:r>
        <w:rPr/>
        <w:t>试点的指导意见》及深圳证券交易所《中小企业板信息披露业务备忘录第</w:t>
      </w:r>
      <w:r>
        <w:rPr>
          <w:rFonts w:ascii="Times New Roman" w:hAnsi="Times New Roman" w:cs="Times New Roman" w:eastAsia="Times New Roman" w:hint="default"/>
        </w:rPr>
        <w:t>7</w:t>
      </w:r>
      <w:r>
        <w:rPr/>
        <w:t>号：员工持股计划》的相关规定，截至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2"/>
        </w:rPr>
        <w:t>月</w:t>
      </w:r>
      <w:r>
        <w:rPr>
          <w:rFonts w:ascii="Times New Roman" w:hAnsi="Times New Roman" w:cs="Times New Roman" w:eastAsia="Times New Roman" w:hint="default"/>
          <w:spacing w:val="-2"/>
        </w:rPr>
        <w:t>2</w:t>
      </w:r>
      <w:r>
        <w:rPr>
          <w:spacing w:val="-2"/>
        </w:rPr>
        <w:t>日，公司</w:t>
      </w:r>
      <w:r>
        <w:rPr>
          <w:rFonts w:ascii="Times New Roman" w:hAnsi="Times New Roman" w:cs="Times New Roman" w:eastAsia="Times New Roman" w:hint="default"/>
          <w:spacing w:val="-2"/>
        </w:rPr>
        <w:t>2018</w:t>
      </w:r>
      <w:r>
        <w:rPr>
          <w:spacing w:val="-2"/>
        </w:rPr>
        <w:t>年员工持股计划（中信证券东华软件</w:t>
      </w:r>
      <w:r>
        <w:rPr>
          <w:rFonts w:ascii="Times New Roman" w:hAnsi="Times New Roman" w:cs="Times New Roman" w:eastAsia="Times New Roman" w:hint="default"/>
          <w:spacing w:val="-2"/>
        </w:rPr>
        <w:t>1</w:t>
      </w:r>
      <w:r>
        <w:rPr>
          <w:spacing w:val="-2"/>
        </w:rPr>
        <w:t>号定向资产管理计划）通过二级市场集中竞价交易方式购买公司股票</w:t>
      </w:r>
      <w:r>
        <w:rPr>
          <w:spacing w:val="-63"/>
        </w:rPr>
        <w:t> </w:t>
      </w:r>
      <w:r>
        <w:rPr>
          <w:spacing w:val="-63"/>
        </w:rPr>
      </w:r>
      <w:r>
        <w:rPr/>
        <w:t>合计</w:t>
      </w:r>
      <w:r>
        <w:rPr>
          <w:rFonts w:ascii="Times New Roman" w:hAnsi="Times New Roman" w:cs="Times New Roman" w:eastAsia="Times New Roman" w:hint="default"/>
        </w:rPr>
        <w:t>26,412,422</w:t>
      </w:r>
      <w:r>
        <w:rPr/>
        <w:t>股，占公司总股本的</w:t>
      </w:r>
      <w:r>
        <w:rPr>
          <w:rFonts w:ascii="Times New Roman" w:hAnsi="Times New Roman" w:cs="Times New Roman" w:eastAsia="Times New Roman" w:hint="default"/>
        </w:rPr>
        <w:t>0.8412%</w:t>
      </w:r>
      <w:r>
        <w:rPr/>
        <w:t>，成交金额合计为 </w:t>
      </w:r>
      <w:r>
        <w:rPr>
          <w:rFonts w:ascii="Times New Roman" w:hAnsi="Times New Roman" w:cs="Times New Roman" w:eastAsia="Times New Roman" w:hint="default"/>
        </w:rPr>
        <w:t>200,039,950.79</w:t>
      </w:r>
      <w:r>
        <w:rPr>
          <w:rFonts w:ascii="Times New Roman" w:hAnsi="Times New Roman" w:cs="Times New Roman" w:eastAsia="Times New Roman" w:hint="default"/>
          <w:spacing w:val="-18"/>
        </w:rPr>
        <w:t> </w:t>
      </w:r>
      <w:r>
        <w:rPr/>
        <w:t>元人民币，公司员工持股计划顺利实施完成。 具体内容详情参见巨潮资讯网（</w:t>
      </w:r>
      <w:hyperlink r:id="rId13">
        <w:r>
          <w:rPr>
            <w:rFonts w:ascii="Times New Roman" w:hAnsi="Times New Roman" w:cs="Times New Roman" w:eastAsia="Times New Roman" w:hint="default"/>
          </w:rPr>
          <w:t>www.cninfo.com.cn/</w:t>
        </w:r>
      </w:hyperlink>
      <w:r>
        <w:rPr/>
        <w:t>）《关于公司</w:t>
      </w:r>
      <w:r>
        <w:rPr>
          <w:rFonts w:ascii="Times New Roman" w:hAnsi="Times New Roman" w:cs="Times New Roman" w:eastAsia="Times New Roman" w:hint="default"/>
        </w:rPr>
        <w:t>2018</w:t>
      </w:r>
      <w:r>
        <w:rPr/>
        <w:t>年员工持股计划完成股票购买的公告》（公告编号：</w:t>
      </w:r>
      <w:r>
        <w:rPr>
          <w:spacing w:val="-76"/>
        </w:rPr>
        <w:t> </w:t>
      </w:r>
      <w:r>
        <w:rPr>
          <w:spacing w:val="-76"/>
        </w:rPr>
      </w:r>
      <w:r>
        <w:rPr>
          <w:rFonts w:ascii="Times New Roman" w:hAnsi="Times New Roman" w:cs="Times New Roman" w:eastAsia="Times New Roman" w:hint="default"/>
        </w:rPr>
        <w:t>2018-019</w:t>
      </w:r>
      <w:r>
        <w:rPr/>
        <w:t>）。</w:t>
      </w:r>
    </w:p>
    <w:p>
      <w:pPr>
        <w:pStyle w:val="BodyText"/>
        <w:spacing w:line="240" w:lineRule="auto" w:before="11"/>
        <w:ind w:left="440" w:right="986"/>
        <w:jc w:val="left"/>
      </w:pPr>
      <w:r>
        <w:rPr>
          <w:spacing w:val="-3"/>
        </w:rPr>
        <w:t>截至本报告披露日，公司员工持股计划锁定期于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w:t>
      </w:r>
      <w:r>
        <w:rPr>
          <w:spacing w:val="-3"/>
        </w:rPr>
        <w:t>日届满。具体内容详情参见巨潮资讯网（</w:t>
      </w:r>
      <w:hyperlink r:id="rId13">
        <w:r>
          <w:rPr>
            <w:rFonts w:ascii="Times New Roman" w:hAnsi="Times New Roman" w:cs="Times New Roman" w:eastAsia="Times New Roman" w:hint="default"/>
            <w:spacing w:val="-3"/>
          </w:rPr>
          <w:t>www.cninfo.com.cn/</w:t>
        </w:r>
      </w:hyperlink>
      <w:r>
        <w:rPr>
          <w:spacing w:val="-3"/>
        </w:rPr>
        <w:t>）</w:t>
      </w:r>
    </w:p>
    <w:p>
      <w:pPr>
        <w:pStyle w:val="BodyText"/>
        <w:spacing w:line="240" w:lineRule="auto" w:before="62"/>
        <w:ind w:left="153" w:right="986"/>
        <w:jc w:val="left"/>
      </w:pPr>
      <w:r>
        <w:rPr/>
        <w:t>《关于</w:t>
      </w:r>
      <w:r>
        <w:rPr>
          <w:rFonts w:ascii="Times New Roman" w:hAnsi="Times New Roman" w:cs="Times New Roman" w:eastAsia="Times New Roman" w:hint="default"/>
        </w:rPr>
        <w:t>2018</w:t>
      </w:r>
      <w:r>
        <w:rPr/>
        <w:t>年员工持股计划锁定期满的提示性公告》（公告编号：</w:t>
      </w:r>
      <w:r>
        <w:rPr>
          <w:rFonts w:ascii="Times New Roman" w:hAnsi="Times New Roman" w:cs="Times New Roman" w:eastAsia="Times New Roman" w:hint="default"/>
        </w:rPr>
        <w:t>2019-007</w:t>
      </w:r>
      <w:r>
        <w:rPr/>
        <w:t>）。</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440" w:right="986"/>
        <w:jc w:val="left"/>
      </w:pPr>
      <w:r>
        <w:rPr>
          <w:rFonts w:ascii="Times New Roman" w:hAnsi="Times New Roman" w:cs="Times New Roman" w:eastAsia="Times New Roman" w:hint="default"/>
        </w:rPr>
        <w:t>2</w:t>
      </w:r>
      <w:r>
        <w:rPr/>
        <w:t>、公司员工增持计划简述及进展情况 </w:t>
      </w:r>
      <w:r>
        <w:rPr>
          <w:spacing w:val="-1"/>
        </w:rPr>
        <w:t>基于对公司未来发展前景的信心和对公司股票长期投资价值的高度认可，为坚定维护全体股东利益及资本市场稳定，促</w:t>
      </w:r>
    </w:p>
    <w:p>
      <w:pPr>
        <w:pStyle w:val="BodyText"/>
        <w:spacing w:line="307" w:lineRule="auto" w:before="31"/>
        <w:ind w:right="1034"/>
        <w:jc w:val="left"/>
      </w:pPr>
      <w:r>
        <w:rPr>
          <w:spacing w:val="-2"/>
        </w:rPr>
        <w:t>进公司持续、稳定、健康发展，公司董事长薛向东先生倡议：公司及下属全资子公司、控股子公司全体员工积极买入公司股</w:t>
      </w:r>
      <w:r>
        <w:rPr>
          <w:spacing w:val="-67"/>
        </w:rPr>
        <w:t> </w:t>
      </w:r>
      <w:r>
        <w:rPr>
          <w:spacing w:val="-67"/>
        </w:rPr>
      </w:r>
      <w:r>
        <w:rPr>
          <w:spacing w:val="-2"/>
        </w:rPr>
        <w:t>票。薛向东先生郑重承诺，公司及下属全资子公司、控股子公司全体员工经公司证券部事先登记确认拟购买数量，并在</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13</w:t>
      </w:r>
      <w:r>
        <w:rPr/>
        <w:t>点后至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日期间完成净买入公司股票，连续持有</w:t>
      </w:r>
      <w:r>
        <w:rPr>
          <w:rFonts w:ascii="Times New Roman" w:hAnsi="Times New Roman" w:cs="Times New Roman" w:eastAsia="Times New Roman" w:hint="default"/>
        </w:rPr>
        <w:t>12</w:t>
      </w:r>
      <w:r>
        <w:rPr/>
        <w:t>个月以上，且持有期间连续在东华软件履职的， 该等公司股票的收益归员工个人所有，若该等股票产生的亏损，由薛向东先生予以全额补偿。</w:t>
      </w:r>
    </w:p>
    <w:p>
      <w:pPr>
        <w:pStyle w:val="BodyText"/>
        <w:spacing w:line="300" w:lineRule="auto" w:before="26"/>
        <w:ind w:right="1080" w:firstLine="288"/>
        <w:jc w:val="both"/>
      </w:pP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日，公司及全资子公司、控股子公司全体员工中，共有</w:t>
      </w:r>
      <w:r>
        <w:rPr>
          <w:rFonts w:ascii="Times New Roman" w:hAnsi="Times New Roman" w:cs="Times New Roman" w:eastAsia="Times New Roman" w:hint="default"/>
        </w:rPr>
        <w:t>114</w:t>
      </w:r>
      <w:r>
        <w:rPr/>
        <w:t>位员工通过二级市场增持 </w:t>
      </w:r>
      <w:r>
        <w:rPr>
          <w:spacing w:val="-1"/>
        </w:rPr>
        <w:t>公司股票，累计增持股票</w:t>
      </w:r>
      <w:r>
        <w:rPr>
          <w:rFonts w:ascii="Times New Roman" w:hAnsi="Times New Roman" w:cs="Times New Roman" w:eastAsia="Times New Roman" w:hint="default"/>
          <w:spacing w:val="-1"/>
        </w:rPr>
        <w:t>14,032,511</w:t>
      </w:r>
      <w:r>
        <w:rPr>
          <w:spacing w:val="-1"/>
        </w:rPr>
        <w:t>股，增持总金额为</w:t>
      </w:r>
      <w:r>
        <w:rPr>
          <w:rFonts w:ascii="Times New Roman" w:hAnsi="Times New Roman" w:cs="Times New Roman" w:eastAsia="Times New Roman" w:hint="default"/>
          <w:spacing w:val="-1"/>
        </w:rPr>
        <w:t>109,121,871.66</w:t>
      </w:r>
      <w:r>
        <w:rPr>
          <w:spacing w:val="-1"/>
        </w:rPr>
        <w:t>元。截至本报告披露日，本次员工增持计划顺利实施完</w:t>
      </w:r>
      <w:r>
        <w:rPr>
          <w:spacing w:val="-73"/>
        </w:rPr>
        <w:t> </w:t>
      </w:r>
      <w:r>
        <w:rPr>
          <w:spacing w:val="-73"/>
        </w:rPr>
      </w:r>
      <w:r>
        <w:rPr/>
        <w:t>成。具体内容详情参见巨潮资讯网（</w:t>
      </w:r>
      <w:hyperlink r:id="rId13">
        <w:r>
          <w:rPr>
            <w:rFonts w:ascii="Times New Roman" w:hAnsi="Times New Roman" w:cs="Times New Roman" w:eastAsia="Times New Roman" w:hint="default"/>
          </w:rPr>
          <w:t>www.cninfo.com.cn/</w:t>
        </w:r>
      </w:hyperlink>
      <w:r>
        <w:rPr/>
        <w:t>）《关于公司控股股东、实际控制人向员工发出增持公司股票倡议</w:t>
      </w:r>
      <w:r>
        <w:rPr>
          <w:spacing w:val="-79"/>
        </w:rPr>
        <w:t> </w:t>
      </w:r>
      <w:r>
        <w:rPr>
          <w:spacing w:val="-79"/>
        </w:rPr>
      </w:r>
      <w:r>
        <w:rPr/>
        <w:t>书的公告》（公告编号：</w:t>
      </w:r>
      <w:r>
        <w:rPr>
          <w:rFonts w:ascii="Times New Roman" w:hAnsi="Times New Roman" w:cs="Times New Roman" w:eastAsia="Times New Roman" w:hint="default"/>
        </w:rPr>
        <w:t>2018-079</w:t>
      </w:r>
      <w:r>
        <w:rPr/>
        <w:t>）及《关于公司控股股东、实际控制人向公司员工发出增持公司股票倡议书的进展公告》</w:t>
      </w:r>
    </w:p>
    <w:p>
      <w:pPr>
        <w:pStyle w:val="BodyText"/>
        <w:spacing w:line="240" w:lineRule="auto" w:before="13"/>
        <w:ind w:right="986"/>
        <w:jc w:val="left"/>
      </w:pPr>
      <w:r>
        <w:rPr/>
        <w:t>（公告编号：</w:t>
      </w:r>
      <w:r>
        <w:rPr>
          <w:rFonts w:ascii="Times New Roman" w:hAnsi="Times New Roman" w:cs="Times New Roman" w:eastAsia="Times New Roman" w:hint="default"/>
        </w:rPr>
        <w:t>2018-094</w:t>
      </w:r>
      <w:r>
        <w:rPr/>
        <w:t>）。</w:t>
      </w:r>
    </w:p>
    <w:p>
      <w:pPr>
        <w:pStyle w:val="BodyText"/>
        <w:spacing w:line="240" w:lineRule="auto" w:before="103"/>
        <w:ind w:right="98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
        <w:rPr>
          <w:rFonts w:ascii="宋体" w:hAnsi="宋体" w:cs="宋体" w:eastAsia="宋体" w:hint="default"/>
          <w:sz w:val="24"/>
          <w:szCs w:val="24"/>
        </w:rPr>
      </w:pPr>
    </w:p>
    <w:p>
      <w:pPr>
        <w:pStyle w:val="Heading3"/>
        <w:spacing w:line="240" w:lineRule="auto"/>
        <w:ind w:right="986"/>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4"/>
        <w:spacing w:line="240" w:lineRule="auto"/>
        <w:ind w:right="986"/>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986"/>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986"/>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986"/>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38"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986"/>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986"/>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
        <w:rPr>
          <w:rFonts w:ascii="宋体" w:hAnsi="宋体" w:cs="宋体" w:eastAsia="宋体" w:hint="default"/>
          <w:sz w:val="21"/>
          <w:szCs w:val="21"/>
        </w:rPr>
      </w:pPr>
    </w:p>
    <w:p>
      <w:pPr>
        <w:pStyle w:val="Heading4"/>
        <w:spacing w:line="240" w:lineRule="auto"/>
        <w:ind w:right="986"/>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单位：万元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767"/>
        <w:gridCol w:w="1560"/>
        <w:gridCol w:w="850"/>
        <w:gridCol w:w="1140"/>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1" w:right="10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6" w:right="10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 w:right="53"/>
              <w:jc w:val="left"/>
              <w:rPr>
                <w:rFonts w:ascii="宋体" w:hAnsi="宋体" w:cs="宋体" w:eastAsia="宋体" w:hint="default"/>
                <w:sz w:val="18"/>
                <w:szCs w:val="18"/>
              </w:rPr>
            </w:pPr>
            <w:r>
              <w:rPr>
                <w:rFonts w:ascii="宋体" w:hAnsi="宋体" w:cs="宋体" w:eastAsia="宋体" w:hint="default"/>
                <w:sz w:val="18"/>
                <w:szCs w:val="18"/>
              </w:rPr>
              <w:t>北京神州新桥科技有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6,978.47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北京神州新桥科技有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7,966.87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9"/>
              <w:jc w:val="center"/>
              <w:rPr>
                <w:rFonts w:ascii="宋体" w:hAnsi="宋体" w:cs="宋体" w:eastAsia="宋体" w:hint="default"/>
                <w:sz w:val="18"/>
                <w:szCs w:val="18"/>
              </w:rPr>
            </w:pPr>
            <w:r>
              <w:rPr>
                <w:rFonts w:ascii="宋体" w:hAnsi="宋体" w:cs="宋体" w:eastAsia="宋体" w:hint="default"/>
                <w:sz w:val="18"/>
                <w:szCs w:val="18"/>
              </w:rPr>
              <w:t>北京东华合创科技有</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17,423.68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777"/>
        <w:gridCol w:w="1557"/>
        <w:gridCol w:w="853"/>
        <w:gridCol w:w="1140"/>
        <w:gridCol w:w="1046"/>
        <w:gridCol w:w="790"/>
        <w:gridCol w:w="785"/>
      </w:tblGrid>
      <w:tr>
        <w:trPr>
          <w:trHeight w:val="16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53"/>
              <w:jc w:val="both"/>
              <w:rPr>
                <w:rFonts w:ascii="宋体" w:hAnsi="宋体" w:cs="宋体" w:eastAsia="宋体" w:hint="default"/>
                <w:sz w:val="18"/>
                <w:szCs w:val="18"/>
              </w:rPr>
            </w:pPr>
            <w:r>
              <w:rPr>
                <w:rFonts w:ascii="宋体" w:hAnsi="宋体" w:cs="宋体" w:eastAsia="宋体" w:hint="default"/>
                <w:sz w:val="18"/>
                <w:szCs w:val="18"/>
              </w:rPr>
              <w:t>限公司、北京联银通 科技有限公司、北京 神州新桥科技有限公 司、北京威锐达测控 系统有限公司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北京神州新桥科技有 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both"/>
              <w:rPr>
                <w:rFonts w:ascii="宋体" w:hAnsi="宋体" w:cs="宋体" w:eastAsia="宋体" w:hint="default"/>
                <w:sz w:val="18"/>
                <w:szCs w:val="18"/>
              </w:rPr>
            </w:pPr>
            <w:r>
              <w:rPr>
                <w:rFonts w:ascii="宋体" w:hAnsi="宋体" w:cs="宋体" w:eastAsia="宋体" w:hint="default"/>
                <w:sz w:val="18"/>
                <w:szCs w:val="18"/>
              </w:rPr>
              <w:t>北京东华合创科技有 限公司、北京神州新 桥科技有限公司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2,337.46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北京神州新桥科技有 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4,432.37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北京神州新桥科技有 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7,043.76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3"/>
              <w:jc w:val="both"/>
              <w:rPr>
                <w:rFonts w:ascii="宋体" w:hAnsi="宋体" w:cs="宋体" w:eastAsia="宋体" w:hint="default"/>
                <w:sz w:val="18"/>
                <w:szCs w:val="18"/>
              </w:rPr>
            </w:pPr>
            <w:r>
              <w:rPr>
                <w:rFonts w:ascii="宋体" w:hAnsi="宋体" w:cs="宋体" w:eastAsia="宋体" w:hint="default"/>
                <w:sz w:val="18"/>
                <w:szCs w:val="18"/>
              </w:rPr>
              <w:t>北京东华合创科技有 限公司、北京联银通 科技有限公司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2,000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1,055.09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34"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54,800</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6" w:right="12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29,668.68</w:t>
            </w:r>
          </w:p>
        </w:tc>
      </w:tr>
      <w:tr>
        <w:trPr>
          <w:trHeight w:val="71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34"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107,800</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6" w:right="155"/>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62,037.7</w:t>
            </w:r>
          </w:p>
        </w:tc>
      </w:tr>
      <w:tr>
        <w:trPr>
          <w:trHeight w:val="398"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2"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8"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334"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54,800</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6"/>
              <w:ind w:left="26" w:right="155"/>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29,668.68</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34"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107,800</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6" w:right="155"/>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62,037.7</w:t>
            </w:r>
          </w:p>
        </w:tc>
      </w:tr>
      <w:tr>
        <w:trPr>
          <w:trHeight w:val="406" w:hRule="exact"/>
        </w:trPr>
        <w:tc>
          <w:tcPr>
            <w:tcW w:w="496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6.76%</w:t>
            </w:r>
          </w:p>
        </w:tc>
      </w:tr>
      <w:tr>
        <w:trPr>
          <w:trHeight w:val="394"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8" w:hRule="exact"/>
        </w:trPr>
        <w:tc>
          <w:tcPr>
            <w:tcW w:w="496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6"/>
              <w:ind w:left="24" w:right="64"/>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613" w:type="dxa"/>
            <w:gridSpan w:val="5"/>
            <w:tcBorders>
              <w:top w:val="single" w:sz="4" w:space="0" w:color="000000"/>
              <w:left w:val="single" w:sz="13" w:space="0" w:color="D4D4D4"/>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6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6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748" w:footer="977" w:top="1060" w:bottom="1160" w:left="980" w:right="0"/>
        </w:sectPr>
      </w:pPr>
    </w:p>
    <w:p>
      <w:pPr>
        <w:spacing w:line="240" w:lineRule="auto" w:before="11"/>
        <w:rPr>
          <w:rFonts w:ascii="Times New Roman" w:hAnsi="Times New Roman" w:cs="Times New Roman" w:eastAsia="Times New Roman" w:hint="default"/>
          <w:sz w:val="27"/>
          <w:szCs w:val="27"/>
        </w:rPr>
      </w:pPr>
    </w:p>
    <w:p>
      <w:pPr>
        <w:pStyle w:val="Heading4"/>
        <w:spacing w:line="240" w:lineRule="auto" w:before="36"/>
        <w:ind w:right="986"/>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4"/>
        <w:spacing w:line="240" w:lineRule="auto"/>
        <w:ind w:right="986"/>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986"/>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986"/>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986"/>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0" w:right="986"/>
        <w:jc w:val="left"/>
      </w:pPr>
      <w:r>
        <w:rPr/>
        <w:t>具体内容详情参见巨潮资讯网（</w:t>
      </w:r>
      <w:hyperlink r:id="rId13">
        <w:r>
          <w:rPr>
            <w:rFonts w:ascii="Times New Roman" w:hAnsi="Times New Roman" w:cs="Times New Roman" w:eastAsia="Times New Roman" w:hint="default"/>
          </w:rPr>
          <w:t>www.cninfo.com.cn/</w:t>
        </w:r>
      </w:hyperlink>
      <w:r>
        <w:rPr/>
        <w:t>）披露的</w:t>
      </w:r>
      <w:r>
        <w:rPr>
          <w:rFonts w:ascii="Times New Roman" w:hAnsi="Times New Roman" w:cs="Times New Roman" w:eastAsia="Times New Roman" w:hint="default"/>
        </w:rPr>
        <w:t>2018</w:t>
      </w:r>
      <w:r>
        <w:rPr/>
        <w:t>年东华软件股份公司社会责任报告。</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0" w:right="986"/>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t>无</w:t>
      </w:r>
    </w:p>
    <w:p>
      <w:pPr>
        <w:spacing w:line="240" w:lineRule="auto" w:before="11"/>
        <w:rPr>
          <w:rFonts w:ascii="宋体" w:hAnsi="宋体" w:cs="宋体" w:eastAsia="宋体" w:hint="default"/>
          <w:sz w:val="26"/>
          <w:szCs w:val="26"/>
        </w:rPr>
      </w:pPr>
    </w:p>
    <w:p>
      <w:pPr>
        <w:pStyle w:val="Heading4"/>
        <w:spacing w:line="240" w:lineRule="auto"/>
        <w:ind w:right="986"/>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t>无</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spacing w:line="240" w:lineRule="auto" w:before="7"/>
        <w:rPr>
          <w:rFonts w:ascii="宋体" w:hAnsi="宋体" w:cs="宋体" w:eastAsia="宋体" w:hint="default"/>
          <w:sz w:val="18"/>
          <w:szCs w:val="18"/>
        </w:rPr>
      </w:pPr>
    </w:p>
    <w:p>
      <w:pPr>
        <w:pStyle w:val="Heading3"/>
        <w:spacing w:line="240" w:lineRule="auto"/>
        <w:ind w:right="986"/>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60" w:lineRule="auto" w:before="101"/>
        <w:ind w:left="440" w:right="986" w:hanging="288"/>
        <w:jc w:val="left"/>
        <w:rPr>
          <w:rFonts w:ascii="Times New Roman" w:hAnsi="Times New Roman" w:cs="Times New Roman" w:eastAsia="Times New Roman"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1</w:t>
      </w:r>
      <w:r>
        <w:rPr/>
        <w:t>、公司控股股东、实际控制人及其一致行动人增持公司股份事项 </w:t>
      </w:r>
      <w:r>
        <w:rPr>
          <w:spacing w:val="-1"/>
        </w:rPr>
        <w:t>具体内容详见公司分别于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3</w:t>
      </w:r>
      <w:r>
        <w:rPr>
          <w:spacing w:val="-1"/>
        </w:rPr>
        <w:t>日、</w:t>
      </w:r>
      <w:r>
        <w:rPr>
          <w:rFonts w:ascii="Times New Roman" w:hAnsi="Times New Roman" w:cs="Times New Roman" w:eastAsia="Times New Roman" w:hint="default"/>
          <w:spacing w:val="-1"/>
        </w:rPr>
        <w:t>2018</w:t>
      </w:r>
      <w:r>
        <w:rPr>
          <w:rFonts w:ascii="Times New Roman" w:hAnsi="Times New Roman" w:cs="Times New Roman" w:eastAsia="Times New Roman" w:hint="default"/>
        </w:rPr>
      </w:r>
    </w:p>
    <w:p>
      <w:pPr>
        <w:pStyle w:val="BodyText"/>
        <w:spacing w:line="212" w:lineRule="exact"/>
        <w:ind w:left="153" w:right="986"/>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日在指定信息披露</w:t>
      </w:r>
    </w:p>
    <w:p>
      <w:pPr>
        <w:pStyle w:val="BodyText"/>
        <w:spacing w:line="300" w:lineRule="auto" w:before="62"/>
        <w:ind w:left="154" w:right="1107"/>
        <w:jc w:val="left"/>
      </w:pPr>
      <w:r>
        <w:rPr/>
        <w:t>媒体巨潮资讯网（网址为：</w:t>
      </w:r>
      <w:hyperlink r:id="rId13">
        <w:r>
          <w:rPr>
            <w:rFonts w:ascii="Times New Roman" w:hAnsi="Times New Roman" w:cs="Times New Roman" w:eastAsia="Times New Roman" w:hint="default"/>
          </w:rPr>
          <w:t>http://www.cninfo.com.cn</w:t>
        </w:r>
      </w:hyperlink>
      <w:r>
        <w:rPr/>
        <w:t>）披露的《关于公司实际控制人公司股份计划的公告》（公告编号： </w:t>
      </w:r>
      <w:r>
        <w:rPr>
          <w:rFonts w:ascii="Times New Roman" w:hAnsi="Times New Roman" w:cs="Times New Roman" w:eastAsia="Times New Roman" w:hint="default"/>
          <w:spacing w:val="-1"/>
        </w:rPr>
        <w:t>2017-094</w:t>
      </w:r>
      <w:r>
        <w:rPr>
          <w:spacing w:val="-1"/>
        </w:rPr>
        <w:t>）、《关于实际控制人增持公司股份进展的公告》（公告编号：</w:t>
      </w:r>
      <w:r>
        <w:rPr>
          <w:rFonts w:ascii="Times New Roman" w:hAnsi="Times New Roman" w:cs="Times New Roman" w:eastAsia="Times New Roman" w:hint="default"/>
          <w:spacing w:val="-1"/>
        </w:rPr>
        <w:t>2017-097</w:t>
      </w:r>
      <w:r>
        <w:rPr>
          <w:spacing w:val="-1"/>
        </w:rPr>
        <w:t>）、《关于实际控制人增持公司股份进展</w:t>
      </w:r>
      <w:r>
        <w:rPr>
          <w:spacing w:val="-59"/>
        </w:rPr>
        <w:t> </w:t>
      </w:r>
      <w:r>
        <w:rPr>
          <w:spacing w:val="-59"/>
        </w:rPr>
      </w:r>
      <w:r>
        <w:rPr>
          <w:spacing w:val="-1"/>
        </w:rPr>
        <w:t>的公告》（公告编号：</w:t>
      </w:r>
      <w:r>
        <w:rPr>
          <w:rFonts w:ascii="Times New Roman" w:hAnsi="Times New Roman" w:cs="Times New Roman" w:eastAsia="Times New Roman" w:hint="default"/>
          <w:spacing w:val="-1"/>
        </w:rPr>
        <w:t>2017-098</w:t>
      </w:r>
      <w:r>
        <w:rPr>
          <w:spacing w:val="-1"/>
        </w:rPr>
        <w:t>）、《关于实际控制人增持公司股份进展的公告》（公告编号：</w:t>
      </w:r>
      <w:r>
        <w:rPr>
          <w:rFonts w:ascii="Times New Roman" w:hAnsi="Times New Roman" w:cs="Times New Roman" w:eastAsia="Times New Roman" w:hint="default"/>
          <w:spacing w:val="-1"/>
        </w:rPr>
        <w:t>2017-102</w:t>
      </w:r>
      <w:r>
        <w:rPr>
          <w:spacing w:val="-1"/>
        </w:rPr>
        <w:t>）、《关于实际控</w:t>
      </w:r>
      <w:r>
        <w:rPr>
          <w:spacing w:val="-56"/>
        </w:rPr>
        <w:t> </w:t>
      </w:r>
      <w:r>
        <w:rPr>
          <w:spacing w:val="-56"/>
        </w:rPr>
      </w:r>
      <w:r>
        <w:rPr>
          <w:spacing w:val="-12"/>
        </w:rPr>
        <w:t>制人增持公司股份进展的公告》（公告编号：</w:t>
      </w:r>
      <w:r>
        <w:rPr>
          <w:rFonts w:ascii="Times New Roman" w:hAnsi="Times New Roman" w:cs="Times New Roman" w:eastAsia="Times New Roman" w:hint="default"/>
          <w:spacing w:val="-12"/>
        </w:rPr>
        <w:t>2018-013</w:t>
      </w:r>
      <w:r>
        <w:rPr>
          <w:spacing w:val="-12"/>
        </w:rPr>
        <w:t>）、《关于实际控制人增持公司股份进展的公告》（公告编号：</w:t>
      </w:r>
      <w:r>
        <w:rPr>
          <w:rFonts w:ascii="Times New Roman" w:hAnsi="Times New Roman" w:cs="Times New Roman" w:eastAsia="Times New Roman" w:hint="default"/>
          <w:spacing w:val="-12"/>
        </w:rPr>
        <w:t>2018-014</w:t>
      </w:r>
      <w:r>
        <w:rPr>
          <w:spacing w:val="-12"/>
        </w:rPr>
        <w:t>）、</w:t>
      </w:r>
      <w:r>
        <w:rPr/>
      </w:r>
    </w:p>
    <w:p>
      <w:pPr>
        <w:pStyle w:val="BodyText"/>
        <w:spacing w:line="300" w:lineRule="auto" w:before="13"/>
        <w:ind w:left="154" w:right="1129"/>
        <w:jc w:val="both"/>
      </w:pPr>
      <w:r>
        <w:rPr>
          <w:spacing w:val="-1"/>
        </w:rPr>
        <w:t>《关于实际控制人增持公司股份进展的公告》（公告编号：</w:t>
      </w:r>
      <w:r>
        <w:rPr>
          <w:rFonts w:ascii="Times New Roman" w:hAnsi="Times New Roman" w:cs="Times New Roman" w:eastAsia="Times New Roman" w:hint="default"/>
          <w:spacing w:val="-1"/>
        </w:rPr>
        <w:t>2018-015</w:t>
      </w:r>
      <w:r>
        <w:rPr>
          <w:spacing w:val="-1"/>
        </w:rPr>
        <w:t>）、《关于实际控制人增持公司股份进展的公告》（公</w:t>
      </w:r>
      <w:r>
        <w:rPr/>
        <w:t> </w:t>
      </w:r>
      <w:r>
        <w:rPr>
          <w:spacing w:val="-1"/>
        </w:rPr>
        <w:t>告编号：</w:t>
      </w:r>
      <w:r>
        <w:rPr>
          <w:rFonts w:ascii="Times New Roman" w:hAnsi="Times New Roman" w:cs="Times New Roman" w:eastAsia="Times New Roman" w:hint="default"/>
          <w:spacing w:val="-1"/>
        </w:rPr>
        <w:t>2018-020</w:t>
      </w:r>
      <w:r>
        <w:rPr>
          <w:spacing w:val="-1"/>
        </w:rPr>
        <w:t>）、《关于实际控制人增持公司股份进展的公告》（公告编号：</w:t>
      </w:r>
      <w:r>
        <w:rPr>
          <w:rFonts w:ascii="Times New Roman" w:hAnsi="Times New Roman" w:cs="Times New Roman" w:eastAsia="Times New Roman" w:hint="default"/>
          <w:spacing w:val="-1"/>
        </w:rPr>
        <w:t>2018-021</w:t>
      </w:r>
      <w:r>
        <w:rPr>
          <w:spacing w:val="-1"/>
        </w:rPr>
        <w:t>）、《关于实际控制人增持公司</w:t>
      </w:r>
      <w:r>
        <w:rPr>
          <w:spacing w:val="-59"/>
        </w:rPr>
        <w:t> </w:t>
      </w:r>
      <w:r>
        <w:rPr>
          <w:spacing w:val="-59"/>
        </w:rPr>
      </w:r>
      <w:r>
        <w:rPr>
          <w:spacing w:val="-1"/>
        </w:rPr>
        <w:t>股份进展的公告》（公告编号：</w:t>
      </w:r>
      <w:r>
        <w:rPr>
          <w:rFonts w:ascii="Times New Roman" w:hAnsi="Times New Roman" w:cs="Times New Roman" w:eastAsia="Times New Roman" w:hint="default"/>
          <w:spacing w:val="-1"/>
        </w:rPr>
        <w:t>2018-022</w:t>
      </w:r>
      <w:r>
        <w:rPr>
          <w:spacing w:val="-1"/>
        </w:rPr>
        <w:t>）、《关于实际控制人延期实施增持计划的公告》（公告编号：</w:t>
      </w:r>
      <w:r>
        <w:rPr>
          <w:rFonts w:ascii="Times New Roman" w:hAnsi="Times New Roman" w:cs="Times New Roman" w:eastAsia="Times New Roman" w:hint="default"/>
          <w:spacing w:val="-1"/>
        </w:rPr>
        <w:t>2018-056</w:t>
      </w:r>
      <w:r>
        <w:rPr>
          <w:spacing w:val="-1"/>
        </w:rPr>
        <w:t>）、《关</w:t>
      </w:r>
      <w:r>
        <w:rPr>
          <w:spacing w:val="-56"/>
        </w:rPr>
        <w:t> </w:t>
      </w:r>
      <w:r>
        <w:rPr>
          <w:spacing w:val="-56"/>
        </w:rPr>
      </w:r>
      <w:r>
        <w:rPr/>
        <w:t>于实际控制人继续延期实施增持计划的进展公告》（公告编号：</w:t>
      </w:r>
      <w:r>
        <w:rPr>
          <w:rFonts w:ascii="Times New Roman" w:hAnsi="Times New Roman" w:cs="Times New Roman" w:eastAsia="Times New Roman" w:hint="default"/>
        </w:rPr>
        <w:t>2018-074</w:t>
      </w:r>
      <w:r>
        <w:rPr/>
        <w:t>）。</w:t>
      </w:r>
    </w:p>
    <w:p>
      <w:pPr>
        <w:pStyle w:val="BodyText"/>
        <w:spacing w:line="338" w:lineRule="auto" w:before="53"/>
        <w:ind w:left="298" w:right="986" w:firstLine="144"/>
        <w:jc w:val="left"/>
      </w:pPr>
      <w:r>
        <w:rPr>
          <w:rFonts w:ascii="Times New Roman" w:hAnsi="Times New Roman" w:cs="Times New Roman" w:eastAsia="Times New Roman" w:hint="default"/>
        </w:rPr>
        <w:t>2</w:t>
      </w:r>
      <w:r>
        <w:rPr/>
        <w:t>、腾讯科技（上海）有限公司增资公司控股股东事项 </w:t>
      </w:r>
      <w:r>
        <w:rPr>
          <w:spacing w:val="-1"/>
        </w:rPr>
        <w:t>具体内容详见公司分别于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日在指定信息披露媒体巨潮资讯网（</w:t>
      </w:r>
      <w:hyperlink r:id="rId13">
        <w:r>
          <w:rPr>
            <w:rFonts w:ascii="Times New Roman" w:hAnsi="Times New Roman" w:cs="Times New Roman" w:eastAsia="Times New Roman" w:hint="default"/>
            <w:spacing w:val="-1"/>
          </w:rPr>
          <w:t>http://www.cninfo.com.cn</w:t>
        </w:r>
      </w:hyperlink>
      <w:r>
        <w:rPr>
          <w:spacing w:val="-1"/>
        </w:rPr>
        <w:t>）披</w:t>
      </w:r>
    </w:p>
    <w:p>
      <w:pPr>
        <w:pStyle w:val="BodyText"/>
        <w:spacing w:line="217" w:lineRule="exact"/>
        <w:ind w:left="154" w:right="986"/>
        <w:jc w:val="left"/>
      </w:pPr>
      <w:r>
        <w:rPr/>
        <w:t>露的《关于薛向东、郭玉梅、薛坤与腾讯科技（上海）有限公司签署关于北京东华诚信电脑科技发展有限公司的增资协议的</w:t>
      </w:r>
    </w:p>
    <w:p>
      <w:pPr>
        <w:pStyle w:val="BodyText"/>
        <w:spacing w:line="240" w:lineRule="auto" w:before="76"/>
        <w:ind w:left="154" w:right="986"/>
        <w:jc w:val="left"/>
      </w:pPr>
      <w:r>
        <w:rPr/>
        <w:t>提示性公告</w:t>
      </w:r>
      <w:r>
        <w:rPr>
          <w:spacing w:val="-130"/>
        </w:rPr>
        <w:t>》</w:t>
      </w:r>
      <w:r>
        <w:rPr/>
        <w:t>（公告编号</w:t>
      </w:r>
      <w:r>
        <w:rPr>
          <w:spacing w:val="-65"/>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05</w:t>
      </w:r>
      <w:r>
        <w:rPr>
          <w:rFonts w:ascii="Times New Roman" w:hAnsi="Times New Roman" w:cs="Times New Roman" w:eastAsia="Times New Roman" w:hint="default"/>
          <w:spacing w:val="-2"/>
        </w:rPr>
        <w:t>4</w:t>
      </w:r>
      <w:r>
        <w:rPr>
          <w:spacing w:val="-65"/>
        </w:rPr>
        <w:t>）</w:t>
      </w:r>
      <w:r>
        <w:rPr>
          <w:spacing w:val="-130"/>
        </w:rPr>
        <w:t>、</w:t>
      </w:r>
      <w:r>
        <w:rPr/>
        <w:t>《关于控股股东完成工</w:t>
      </w:r>
      <w:r>
        <w:rPr>
          <w:spacing w:val="-3"/>
        </w:rPr>
        <w:t>商</w:t>
      </w:r>
      <w:r>
        <w:rPr/>
        <w:t>变更登记及增资款到账的提示性公告</w:t>
      </w:r>
      <w:r>
        <w:rPr>
          <w:spacing w:val="-130"/>
        </w:rPr>
        <w:t>》</w:t>
      </w:r>
      <w:r>
        <w:rPr/>
        <w:t>（公告编号</w:t>
      </w:r>
      <w:r>
        <w:rPr>
          <w:spacing w:val="-65"/>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7</w:t>
      </w:r>
      <w:r>
        <w:rPr>
          <w:spacing w:val="-68"/>
        </w:rPr>
        <w:t>）。</w:t>
      </w:r>
      <w:r>
        <w:rPr/>
      </w:r>
    </w:p>
    <w:p>
      <w:pPr>
        <w:pStyle w:val="BodyText"/>
        <w:spacing w:line="340" w:lineRule="auto" w:before="103"/>
        <w:ind w:left="298" w:right="1153" w:firstLine="144"/>
        <w:jc w:val="left"/>
      </w:pPr>
      <w:r>
        <w:rPr>
          <w:rFonts w:ascii="Times New Roman" w:hAnsi="Times New Roman" w:cs="Times New Roman" w:eastAsia="Times New Roman" w:hint="default"/>
        </w:rPr>
        <w:t>3</w:t>
      </w:r>
      <w:r>
        <w:rPr/>
        <w:t>、增选独立董事的事项 具体内容详见公司分别于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日在指定信息披露媒体巨潮资讯网（</w:t>
      </w:r>
      <w:hyperlink r:id="rId13">
        <w:r>
          <w:rPr>
            <w:rFonts w:ascii="Times New Roman" w:hAnsi="Times New Roman" w:cs="Times New Roman" w:eastAsia="Times New Roman" w:hint="default"/>
          </w:rPr>
          <w:t>http://www.cninfo.com.cn</w:t>
        </w:r>
      </w:hyperlink>
      <w:r>
        <w:rPr/>
        <w:t>）披</w:t>
      </w:r>
    </w:p>
    <w:p>
      <w:pPr>
        <w:pStyle w:val="BodyText"/>
        <w:spacing w:line="228" w:lineRule="exact"/>
        <w:ind w:left="154" w:right="986"/>
        <w:jc w:val="left"/>
      </w:pPr>
      <w:r>
        <w:rPr/>
        <w:t>露的《东华软件股份公司第六届董事会第十九次会议决议公告》（公告编号：</w:t>
      </w:r>
      <w:r>
        <w:rPr>
          <w:rFonts w:ascii="Times New Roman" w:hAnsi="Times New Roman" w:cs="Times New Roman" w:eastAsia="Times New Roman" w:hint="default"/>
        </w:rPr>
        <w:t>2018-072</w:t>
      </w:r>
      <w:r>
        <w:rPr/>
        <w:t>）、《东华软件股份公司</w:t>
      </w:r>
      <w:r>
        <w:rPr>
          <w:rFonts w:ascii="Times New Roman" w:hAnsi="Times New Roman" w:cs="Times New Roman" w:eastAsia="Times New Roman" w:hint="default"/>
        </w:rPr>
        <w:t>2018</w:t>
      </w:r>
      <w:r>
        <w:rPr/>
        <w:t>年第三</w:t>
      </w:r>
    </w:p>
    <w:p>
      <w:pPr>
        <w:pStyle w:val="BodyText"/>
        <w:spacing w:line="240" w:lineRule="auto" w:before="62"/>
        <w:ind w:left="154" w:right="986"/>
        <w:jc w:val="left"/>
      </w:pPr>
      <w:r>
        <w:rPr/>
        <w:t>次临时股东大会决议公告》（公告编号：</w:t>
      </w:r>
      <w:r>
        <w:rPr>
          <w:rFonts w:ascii="Times New Roman" w:hAnsi="Times New Roman" w:cs="Times New Roman" w:eastAsia="Times New Roman" w:hint="default"/>
        </w:rPr>
        <w:t>2018-076</w:t>
      </w:r>
      <w:r>
        <w:rPr/>
        <w:t>）。</w:t>
      </w:r>
    </w:p>
    <w:p>
      <w:pPr>
        <w:spacing w:line="240" w:lineRule="auto" w:before="1"/>
        <w:rPr>
          <w:rFonts w:ascii="宋体" w:hAnsi="宋体" w:cs="宋体" w:eastAsia="宋体" w:hint="default"/>
          <w:sz w:val="24"/>
          <w:szCs w:val="24"/>
        </w:rPr>
      </w:pPr>
    </w:p>
    <w:p>
      <w:pPr>
        <w:pStyle w:val="Heading3"/>
        <w:spacing w:line="240" w:lineRule="auto"/>
        <w:ind w:right="986"/>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1130" w:firstLine="287"/>
        <w:jc w:val="both"/>
      </w:pPr>
      <w:r>
        <w:rPr>
          <w:rFonts w:ascii="Times New Roman" w:hAnsi="Times New Roman" w:cs="Times New Roman" w:eastAsia="Times New Roman" w:hint="default"/>
          <w:spacing w:val="-1"/>
        </w:rPr>
        <w:t>1</w:t>
      </w:r>
      <w:r>
        <w:rPr>
          <w:spacing w:val="-1"/>
        </w:rPr>
        <w:t>、报告期内，</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日公司第六届董事会第十五次会议审议通过了《关于对外投资设立淮北东华企云科技有限责</w:t>
      </w:r>
      <w:r>
        <w:rPr/>
        <w:t> </w:t>
      </w:r>
      <w:r>
        <w:rPr>
          <w:spacing w:val="-3"/>
        </w:rPr>
        <w:t>任公司的议案》，同意公司出资</w:t>
      </w:r>
      <w:r>
        <w:rPr>
          <w:rFonts w:ascii="Times New Roman" w:hAnsi="Times New Roman" w:cs="Times New Roman" w:eastAsia="Times New Roman" w:hint="default"/>
          <w:spacing w:val="-3"/>
        </w:rPr>
        <w:t>10,000</w:t>
      </w:r>
      <w:r>
        <w:rPr>
          <w:spacing w:val="-3"/>
        </w:rPr>
        <w:t>万元人民币投资设立淮北东华企云科技有限责任公司。详见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日刊登在《中</w:t>
      </w:r>
      <w:r>
        <w:rPr>
          <w:spacing w:val="-42"/>
        </w:rPr>
        <w:t> </w:t>
      </w:r>
      <w:r>
        <w:rPr>
          <w:spacing w:val="-42"/>
        </w:rPr>
      </w:r>
      <w:r>
        <w:rPr>
          <w:spacing w:val="-2"/>
        </w:rPr>
        <w:t>国证券报》、《证券日报》、《证券时报》及巨潮资讯网（</w:t>
      </w:r>
      <w:hyperlink r:id="rId13">
        <w:r>
          <w:rPr>
            <w:rFonts w:ascii="Times New Roman" w:hAnsi="Times New Roman" w:cs="Times New Roman" w:eastAsia="Times New Roman" w:hint="default"/>
            <w:spacing w:val="-2"/>
          </w:rPr>
          <w:t>www.cninfo.com.cn</w:t>
        </w:r>
      </w:hyperlink>
      <w:r>
        <w:rPr>
          <w:spacing w:val="-2"/>
        </w:rPr>
        <w:t>）的《东华软件股份公司对外投资公告》（公</w:t>
      </w:r>
      <w:r>
        <w:rPr>
          <w:spacing w:val="-82"/>
        </w:rPr>
        <w:t> </w:t>
      </w:r>
      <w:r>
        <w:rPr>
          <w:spacing w:val="-82"/>
        </w:rPr>
      </w:r>
      <w:r>
        <w:rPr/>
        <w:t>告编号：</w:t>
      </w:r>
      <w:r>
        <w:rPr>
          <w:rFonts w:ascii="Times New Roman" w:hAnsi="Times New Roman" w:cs="Times New Roman" w:eastAsia="Times New Roman" w:hint="default"/>
        </w:rPr>
        <w:t>2018-040</w:t>
      </w:r>
      <w:r>
        <w:rPr/>
        <w:t>）。</w:t>
      </w:r>
    </w:p>
    <w:p>
      <w:pPr>
        <w:pStyle w:val="BodyText"/>
        <w:spacing w:line="300" w:lineRule="auto" w:before="13"/>
        <w:ind w:left="153" w:right="1132" w:firstLine="287"/>
        <w:jc w:val="left"/>
      </w:pPr>
      <w:r>
        <w:rPr>
          <w:rFonts w:ascii="Times New Roman" w:hAnsi="Times New Roman" w:cs="Times New Roman" w:eastAsia="Times New Roman" w:hint="default"/>
          <w:spacing w:val="-1"/>
        </w:rPr>
        <w:t>2</w:t>
      </w:r>
      <w:r>
        <w:rPr>
          <w:spacing w:val="-1"/>
        </w:rPr>
        <w:t>、报告期内，</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日公司第六届董事会第十六次会议审议通过了《关于对外投资设立东华安庆岳西大数据有限</w:t>
      </w:r>
      <w:r>
        <w:rPr/>
        <w:t> 公司的议案》，同意公司出资</w:t>
      </w:r>
      <w:r>
        <w:rPr>
          <w:rFonts w:ascii="Times New Roman" w:hAnsi="Times New Roman" w:cs="Times New Roman" w:eastAsia="Times New Roman" w:hint="default"/>
        </w:rPr>
        <w:t>10,000</w:t>
      </w:r>
      <w:r>
        <w:rPr/>
        <w:t>万元人民币投资设立东华安庆岳西大数据有限公司。详见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日刊登在《中国 证券报》、《证券日报》、《证券时报》及巨潮资讯网（</w:t>
      </w:r>
      <w:hyperlink r:id="rId13">
        <w:r>
          <w:rPr>
            <w:rFonts w:ascii="Times New Roman" w:hAnsi="Times New Roman" w:cs="Times New Roman" w:eastAsia="Times New Roman" w:hint="default"/>
          </w:rPr>
          <w:t>www.cninfo.com.cn</w:t>
        </w:r>
      </w:hyperlink>
      <w:r>
        <w:rPr/>
        <w:t>）的《东华软件股份公司对外投资公告》（公 告编号：</w:t>
      </w:r>
      <w:r>
        <w:rPr>
          <w:rFonts w:ascii="Times New Roman" w:hAnsi="Times New Roman" w:cs="Times New Roman" w:eastAsia="Times New Roman" w:hint="default"/>
        </w:rPr>
        <w:t>2018-053</w:t>
      </w:r>
      <w:r>
        <w:rPr/>
        <w:t>）。</w:t>
      </w:r>
    </w:p>
    <w:p>
      <w:pPr>
        <w:pStyle w:val="BodyText"/>
        <w:spacing w:line="300" w:lineRule="auto" w:before="13"/>
        <w:ind w:left="153" w:right="1078" w:firstLine="287"/>
        <w:jc w:val="left"/>
      </w:pPr>
      <w:r>
        <w:rPr>
          <w:rFonts w:ascii="Times New Roman" w:hAnsi="Times New Roman" w:cs="Times New Roman" w:eastAsia="Times New Roman" w:hint="default"/>
        </w:rPr>
        <w:t>3</w:t>
      </w:r>
      <w:r>
        <w:rPr/>
        <w:t>、报告期内，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日公司第六届董事会第十七次会议审议通过了《关于对外投资设立东华智城云计算有限公司 的议案》，同意公司出资</w:t>
      </w:r>
      <w:r>
        <w:rPr>
          <w:rFonts w:ascii="Times New Roman" w:hAnsi="Times New Roman" w:cs="Times New Roman" w:eastAsia="Times New Roman" w:hint="default"/>
        </w:rPr>
        <w:t>5,000</w:t>
      </w:r>
      <w:r>
        <w:rPr/>
        <w:t>万元人民币投资设立东华智城云计算有限公司。详见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日刊登在《中国证券报》、</w:t>
      </w:r>
    </w:p>
    <w:p>
      <w:pPr>
        <w:pStyle w:val="BodyText"/>
        <w:spacing w:line="300" w:lineRule="auto" w:before="13"/>
        <w:ind w:left="153" w:right="1105" w:hanging="1"/>
        <w:jc w:val="right"/>
      </w:pPr>
      <w:r>
        <w:rPr>
          <w:spacing w:val="-12"/>
          <w:w w:val="99"/>
        </w:rPr>
        <w:t>《证券日报》、《证券时报》及巨潮资讯网（</w:t>
      </w:r>
      <w:hyperlink r:id="rId13">
        <w:r>
          <w:rPr>
            <w:rFonts w:ascii="Times New Roman" w:hAnsi="Times New Roman" w:cs="Times New Roman" w:eastAsia="Times New Roman" w:hint="default"/>
            <w:spacing w:val="-12"/>
            <w:w w:val="99"/>
          </w:rPr>
          <w:t>www.cninfo.com.cn</w:t>
        </w:r>
      </w:hyperlink>
      <w:r>
        <w:rPr>
          <w:spacing w:val="-12"/>
          <w:w w:val="99"/>
        </w:rPr>
        <w:t>）的《东华软件股份公司对外投资公告》（公告编号：</w:t>
      </w:r>
      <w:r>
        <w:rPr>
          <w:rFonts w:ascii="Times New Roman" w:hAnsi="Times New Roman" w:cs="Times New Roman" w:eastAsia="Times New Roman" w:hint="default"/>
          <w:spacing w:val="-12"/>
          <w:w w:val="99"/>
        </w:rPr>
        <w:t>2018-060</w:t>
      </w:r>
      <w:r>
        <w:rPr>
          <w:spacing w:val="-12"/>
          <w:w w:val="99"/>
        </w:rPr>
        <w:t>）。</w:t>
      </w:r>
      <w:r>
        <w:rPr>
          <w:spacing w:val="-45"/>
          <w:w w:val="99"/>
        </w:rPr>
        <w:t> </w:t>
      </w:r>
      <w:r>
        <w:rPr>
          <w:rFonts w:ascii="Times New Roman" w:hAnsi="Times New Roman" w:cs="Times New Roman" w:eastAsia="Times New Roman" w:hint="default"/>
          <w:spacing w:val="-1"/>
        </w:rPr>
        <w:t>4</w:t>
      </w:r>
      <w:r>
        <w:rPr>
          <w:spacing w:val="-1"/>
        </w:rPr>
        <w:t>、报告期内，</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日公司第六届董事会第十八次会议审议通过了《东华软件股份公司关于以控股子公司股份作</w:t>
      </w:r>
      <w:r>
        <w:rPr/>
        <w:t> </w:t>
      </w:r>
      <w:r>
        <w:rPr>
          <w:spacing w:val="-2"/>
        </w:rPr>
        <w:t>价出资对北京东软慧聚信息技术股份有限公司增次的议案》，同意以其持有的控股子公司东华博雅软件股份有限公司</w:t>
      </w:r>
      <w:r>
        <w:rPr>
          <w:rFonts w:ascii="Times New Roman" w:hAnsi="Times New Roman" w:cs="Times New Roman" w:eastAsia="Times New Roman" w:hint="default"/>
          <w:spacing w:val="-2"/>
        </w:rPr>
        <w:t>52%</w:t>
      </w:r>
      <w:r>
        <w:rPr>
          <w:spacing w:val="-2"/>
        </w:rPr>
        <w:t>的</w:t>
      </w:r>
    </w:p>
    <w:p>
      <w:pPr>
        <w:spacing w:after="0" w:line="300" w:lineRule="auto"/>
        <w:jc w:val="righ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986"/>
        <w:jc w:val="left"/>
      </w:pPr>
      <w:r>
        <w:rPr>
          <w:spacing w:val="-2"/>
        </w:rPr>
        <w:t>股份，经评估作价后出资，认购北京东软慧聚信息技术股份有限公司新增注册资本人民币</w:t>
      </w:r>
      <w:r>
        <w:rPr>
          <w:rFonts w:ascii="Times New Roman" w:hAnsi="Times New Roman" w:cs="Times New Roman" w:eastAsia="Times New Roman" w:hint="default"/>
          <w:spacing w:val="-2"/>
        </w:rPr>
        <w:t>1,435.3435</w:t>
      </w:r>
      <w:r>
        <w:rPr>
          <w:spacing w:val="-2"/>
        </w:rPr>
        <w:t>万元。本次增资完成后，</w:t>
      </w:r>
      <w:r>
        <w:rPr>
          <w:spacing w:val="-58"/>
        </w:rPr>
        <w:t> </w:t>
      </w:r>
      <w:r>
        <w:rPr>
          <w:spacing w:val="-58"/>
        </w:rPr>
      </w:r>
      <w:r>
        <w:rPr>
          <w:spacing w:val="-4"/>
        </w:rPr>
        <w:t>公司将持有北京东软慧聚信息技术股份有限公司</w:t>
      </w:r>
      <w:r>
        <w:rPr>
          <w:rFonts w:ascii="Times New Roman" w:hAnsi="Times New Roman" w:cs="Times New Roman" w:eastAsia="Times New Roman" w:hint="default"/>
          <w:spacing w:val="-4"/>
        </w:rPr>
        <w:t>23.1134%</w:t>
      </w:r>
      <w:r>
        <w:rPr>
          <w:spacing w:val="-4"/>
        </w:rPr>
        <w:t>的股份。详见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w:t>
      </w:r>
      <w:r>
        <w:rPr>
          <w:spacing w:val="-4"/>
        </w:rPr>
        <w:t>日刊登在《中国证券报》、《证券日报》、</w:t>
      </w:r>
    </w:p>
    <w:p>
      <w:pPr>
        <w:pStyle w:val="BodyText"/>
        <w:spacing w:line="300" w:lineRule="auto" w:before="13"/>
        <w:ind w:right="1207"/>
        <w:jc w:val="left"/>
      </w:pPr>
      <w:r>
        <w:rPr/>
        <w:t>《证券时报》及巨潮资讯网（</w:t>
      </w:r>
      <w:hyperlink r:id="rId13">
        <w:r>
          <w:rPr>
            <w:rFonts w:ascii="Times New Roman" w:hAnsi="Times New Roman" w:cs="Times New Roman" w:eastAsia="Times New Roman" w:hint="default"/>
          </w:rPr>
          <w:t>www.cninfo.com.cn</w:t>
        </w:r>
      </w:hyperlink>
      <w:r>
        <w:rPr/>
        <w:t>）的《关于以控股子公司股份作价出资对北京东软慧聚信息技术股份有限 公司增资的公告》（公告编号：</w:t>
      </w:r>
      <w:r>
        <w:rPr>
          <w:rFonts w:ascii="Times New Roman" w:hAnsi="Times New Roman" w:cs="Times New Roman" w:eastAsia="Times New Roman" w:hint="default"/>
        </w:rPr>
        <w:t>2018-069</w:t>
      </w:r>
      <w:r>
        <w:rPr/>
        <w:t>）。</w:t>
      </w:r>
    </w:p>
    <w:p>
      <w:pPr>
        <w:pStyle w:val="BodyText"/>
        <w:spacing w:line="300" w:lineRule="auto" w:before="13"/>
        <w:ind w:right="1132" w:firstLine="288"/>
        <w:jc w:val="both"/>
      </w:pPr>
      <w:r>
        <w:rPr>
          <w:rFonts w:ascii="Times New Roman" w:hAnsi="Times New Roman" w:cs="Times New Roman" w:eastAsia="Times New Roman" w:hint="default"/>
        </w:rPr>
        <w:t>5</w:t>
      </w:r>
      <w:r>
        <w:rPr/>
        <w:t>、报告期内，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日公司第六届董事会第二十一次会议审议通过了《关于对外投资设立东华至高通信技术有 限公司的议案》，同意公司与北京东华合创科技有限公司共同出资</w:t>
      </w:r>
      <w:r>
        <w:rPr>
          <w:rFonts w:ascii="Times New Roman" w:hAnsi="Times New Roman" w:cs="Times New Roman" w:eastAsia="Times New Roman" w:hint="default"/>
        </w:rPr>
        <w:t>5,000</w:t>
      </w:r>
      <w:r>
        <w:rPr/>
        <w:t>万元人民币投资设立东华至高通信技术有限公司。 </w:t>
      </w:r>
      <w:r>
        <w:rPr>
          <w:spacing w:val="-1"/>
        </w:rPr>
        <w:t>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日刊登在《中国证券报》、《证券日报》、《证券时报》及巨潮资讯网（</w:t>
      </w:r>
      <w:hyperlink r:id="rId13">
        <w:r>
          <w:rPr>
            <w:rFonts w:ascii="Times New Roman" w:hAnsi="Times New Roman" w:cs="Times New Roman" w:eastAsia="Times New Roman" w:hint="default"/>
            <w:spacing w:val="-1"/>
          </w:rPr>
          <w:t>www.cninfo.com.cn</w:t>
        </w:r>
      </w:hyperlink>
      <w:r>
        <w:rPr>
          <w:spacing w:val="-1"/>
        </w:rPr>
        <w:t>）的《东华软</w:t>
      </w:r>
      <w:r>
        <w:rPr>
          <w:spacing w:val="-56"/>
        </w:rPr>
        <w:t> </w:t>
      </w:r>
      <w:r>
        <w:rPr>
          <w:spacing w:val="-56"/>
        </w:rPr>
      </w:r>
      <w:r>
        <w:rPr/>
        <w:t>件股份公司对外投资公告》（公告编号：</w:t>
      </w:r>
      <w:r>
        <w:rPr>
          <w:rFonts w:ascii="Times New Roman" w:hAnsi="Times New Roman" w:cs="Times New Roman" w:eastAsia="Times New Roman" w:hint="default"/>
        </w:rPr>
        <w:t>2018-096</w:t>
      </w:r>
      <w:r>
        <w:rPr/>
        <w:t>）。</w:t>
      </w:r>
    </w:p>
    <w:p>
      <w:pPr>
        <w:pStyle w:val="BodyText"/>
        <w:spacing w:line="300" w:lineRule="auto" w:before="13"/>
        <w:ind w:right="1039" w:firstLine="288"/>
        <w:jc w:val="both"/>
      </w:pPr>
      <w:r>
        <w:rPr>
          <w:rFonts w:ascii="Times New Roman" w:hAnsi="Times New Roman" w:cs="Times New Roman" w:eastAsia="Times New Roman" w:hint="default"/>
        </w:rPr>
        <w:t>6</w:t>
      </w:r>
      <w:r>
        <w:rPr/>
        <w:t>、报告期内，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日公司第六届董事会第二十一次会议审议通过了《关于对外投资设立东华软件濮阳有限公 </w:t>
      </w:r>
      <w:r>
        <w:rPr>
          <w:spacing w:val="-1"/>
        </w:rPr>
        <w:t>司的议案》，同意公司出资</w:t>
      </w:r>
      <w:r>
        <w:rPr>
          <w:rFonts w:ascii="Times New Roman" w:hAnsi="Times New Roman" w:cs="Times New Roman" w:eastAsia="Times New Roman" w:hint="default"/>
          <w:spacing w:val="-1"/>
        </w:rPr>
        <w:t>10,000</w:t>
      </w:r>
      <w:r>
        <w:rPr>
          <w:spacing w:val="-1"/>
        </w:rPr>
        <w:t>万元人民币投资设立东华软件濮阳有限公司。详见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日刊登在《中国证券报》、</w:t>
      </w:r>
    </w:p>
    <w:p>
      <w:pPr>
        <w:pStyle w:val="BodyText"/>
        <w:spacing w:line="240" w:lineRule="auto" w:before="13"/>
        <w:ind w:right="986"/>
        <w:jc w:val="left"/>
      </w:pPr>
      <w:r>
        <w:rPr/>
        <w:t>《证券日报</w:t>
      </w:r>
      <w:r>
        <w:rPr>
          <w:spacing w:val="-65"/>
        </w:rPr>
        <w:t>》</w:t>
      </w:r>
      <w:r>
        <w:rPr>
          <w:spacing w:val="-130"/>
        </w:rPr>
        <w:t>、</w:t>
      </w:r>
      <w:r>
        <w:rPr/>
        <w:t>《证券时报</w:t>
      </w:r>
      <w:r>
        <w:rPr>
          <w:spacing w:val="-65"/>
        </w:rPr>
        <w:t>》</w:t>
      </w:r>
      <w:r>
        <w:rPr/>
        <w:t>及</w:t>
      </w:r>
      <w:r>
        <w:rPr>
          <w:spacing w:val="2"/>
        </w:rPr>
        <w:t>巨</w:t>
      </w:r>
      <w:r>
        <w:rPr/>
        <w:t>潮资讯</w:t>
      </w:r>
      <w:r>
        <w:rPr>
          <w:spacing w:val="-65"/>
        </w:rPr>
        <w:t>网</w:t>
      </w:r>
      <w:r>
        <w:rPr/>
        <w:t>（</w:t>
      </w:r>
      <w:hyperlink r:id="rId13">
        <w:r>
          <w:rPr>
            <w:rFonts w:ascii="Times New Roman" w:hAnsi="Times New Roman" w:cs="Times New Roman" w:eastAsia="Times New Roman" w:hint="default"/>
            <w:spacing w:val="-1"/>
            <w:w w:val="99"/>
          </w:rPr>
          <w:t>www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3"/>
          </w:rPr>
          <w:t>f</w:t>
        </w:r>
        <w:r>
          <w:rPr>
            <w:rFonts w:ascii="Times New Roman" w:hAnsi="Times New Roman" w:cs="Times New Roman" w:eastAsia="Times New Roman" w:hint="default"/>
            <w:spacing w:val="1"/>
          </w:rPr>
          <w:t>o</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o</w:t>
        </w:r>
        <w:r>
          <w:rPr>
            <w:rFonts w:ascii="Times New Roman" w:hAnsi="Times New Roman" w:cs="Times New Roman" w:eastAsia="Times New Roman" w:hint="default"/>
            <w:spacing w:val="-4"/>
          </w:rPr>
          <w:t>m</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hyperlink>
      <w:r>
        <w:rPr>
          <w:spacing w:val="-63"/>
        </w:rPr>
        <w:t>）</w:t>
      </w:r>
      <w:r>
        <w:rPr>
          <w:spacing w:val="-65"/>
        </w:rPr>
        <w:t>的</w:t>
      </w:r>
      <w:r>
        <w:rPr/>
        <w:t>《东华软件股份公司对外投资公告</w:t>
      </w:r>
      <w:r>
        <w:rPr>
          <w:spacing w:val="-130"/>
        </w:rPr>
        <w:t>》</w:t>
      </w:r>
      <w:r>
        <w:rPr/>
        <w:t>（公告编号</w:t>
      </w:r>
      <w:r>
        <w:rPr>
          <w:spacing w:val="-66"/>
        </w:rPr>
        <w:t>：</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7</w:t>
      </w:r>
      <w:r>
        <w:rPr>
          <w:spacing w:val="-65"/>
        </w:rPr>
        <w:t>）。</w:t>
      </w:r>
      <w:r>
        <w:rPr/>
      </w:r>
    </w:p>
    <w:p>
      <w:pPr>
        <w:pStyle w:val="BodyText"/>
        <w:spacing w:line="300" w:lineRule="auto" w:before="62"/>
        <w:ind w:right="1187" w:firstLine="288"/>
        <w:jc w:val="both"/>
      </w:pPr>
      <w:r>
        <w:rPr>
          <w:rFonts w:ascii="Times New Roman" w:hAnsi="Times New Roman" w:cs="Times New Roman" w:eastAsia="Times New Roman" w:hint="default"/>
        </w:rPr>
        <w:t>7</w:t>
      </w:r>
      <w:r>
        <w:rPr/>
        <w:t>、报告期内，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日公司第六届董事会第二十一次会议审议通过了《关于对外投资设立重庆东华合创科技有 限公司的议案》，同意公司出资</w:t>
      </w:r>
      <w:r>
        <w:rPr>
          <w:rFonts w:ascii="Times New Roman" w:hAnsi="Times New Roman" w:cs="Times New Roman" w:eastAsia="Times New Roman" w:hint="default"/>
        </w:rPr>
        <w:t>10,000</w:t>
      </w:r>
      <w:r>
        <w:rPr/>
        <w:t>万元人民币投资设立重庆东华合创科技有限公司。详见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日刊登在《中国 证券报》、《证券日报》、《证券时报》及巨潮资讯网（</w:t>
      </w:r>
      <w:hyperlink r:id="rId13">
        <w:r>
          <w:rPr>
            <w:rFonts w:ascii="Times New Roman" w:hAnsi="Times New Roman" w:cs="Times New Roman" w:eastAsia="Times New Roman" w:hint="default"/>
          </w:rPr>
          <w:t>www.cninfo.com.cn</w:t>
        </w:r>
      </w:hyperlink>
      <w:r>
        <w:rPr/>
        <w:t>）的《东华软件股份公司对外投资公告》（公 告编号：</w:t>
      </w:r>
      <w:r>
        <w:rPr>
          <w:rFonts w:ascii="Times New Roman" w:hAnsi="Times New Roman" w:cs="Times New Roman" w:eastAsia="Times New Roman" w:hint="default"/>
        </w:rPr>
        <w:t>2018-098</w:t>
      </w:r>
      <w:r>
        <w:rPr/>
        <w:t>）。</w:t>
      </w:r>
    </w:p>
    <w:p>
      <w:pPr>
        <w:pStyle w:val="BodyText"/>
        <w:spacing w:line="300" w:lineRule="auto" w:before="13"/>
        <w:ind w:right="1130" w:firstLine="288"/>
        <w:jc w:val="both"/>
      </w:pPr>
      <w:r>
        <w:rPr>
          <w:rFonts w:ascii="Times New Roman" w:hAnsi="Times New Roman" w:cs="Times New Roman" w:eastAsia="Times New Roman" w:hint="default"/>
        </w:rPr>
        <w:t>8</w:t>
      </w:r>
      <w:r>
        <w:rPr/>
        <w:t>、报告期内，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日公司第六届董事会第二十一次会议审议通过了《关于对外投资设立东华鲁信计算机技术 有限公司的议案》，同意公司与北京东华合创科技有限公司共同出资</w:t>
      </w:r>
      <w:r>
        <w:rPr>
          <w:rFonts w:ascii="Times New Roman" w:hAnsi="Times New Roman" w:cs="Times New Roman" w:eastAsia="Times New Roman" w:hint="default"/>
        </w:rPr>
        <w:t>5,000</w:t>
      </w:r>
      <w:r>
        <w:rPr/>
        <w:t>万元人民币投资设立东华鲁信计算机技术有限公 </w:t>
      </w:r>
      <w:r>
        <w:rPr>
          <w:spacing w:val="-1"/>
        </w:rPr>
        <w:t>司。详见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日刊登在《中国证券报》、《证券日报》、《证券时报》及巨潮资讯网（</w:t>
      </w:r>
      <w:hyperlink r:id="rId13">
        <w:r>
          <w:rPr>
            <w:rFonts w:ascii="Times New Roman" w:hAnsi="Times New Roman" w:cs="Times New Roman" w:eastAsia="Times New Roman" w:hint="default"/>
            <w:spacing w:val="-1"/>
          </w:rPr>
          <w:t>www.cninfo.com.cn</w:t>
        </w:r>
      </w:hyperlink>
      <w:r>
        <w:rPr>
          <w:spacing w:val="-1"/>
        </w:rPr>
        <w:t>）的《东</w:t>
      </w:r>
      <w:r>
        <w:rPr>
          <w:spacing w:val="-54"/>
        </w:rPr>
        <w:t> </w:t>
      </w:r>
      <w:r>
        <w:rPr>
          <w:spacing w:val="-54"/>
        </w:rPr>
      </w:r>
      <w:r>
        <w:rPr/>
        <w:t>华软件股份公司对外投资公告》（公告编号：</w:t>
      </w:r>
      <w:r>
        <w:rPr>
          <w:rFonts w:ascii="Times New Roman" w:hAnsi="Times New Roman" w:cs="Times New Roman" w:eastAsia="Times New Roman" w:hint="default"/>
        </w:rPr>
        <w:t>2018-099</w:t>
      </w:r>
      <w:r>
        <w:rPr/>
        <w:t>）。</w:t>
      </w:r>
    </w:p>
    <w:p>
      <w:pPr>
        <w:spacing w:after="0" w:line="300" w:lineRule="auto"/>
        <w:jc w:val="both"/>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86"/>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86"/>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7"/>
        <w:gridCol w:w="1176"/>
        <w:gridCol w:w="708"/>
        <w:gridCol w:w="566"/>
        <w:gridCol w:w="286"/>
        <w:gridCol w:w="708"/>
        <w:gridCol w:w="991"/>
        <w:gridCol w:w="994"/>
        <w:gridCol w:w="1123"/>
        <w:gridCol w:w="792"/>
      </w:tblGrid>
      <w:tr>
        <w:trPr>
          <w:trHeight w:val="402"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18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5"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
        </w:tc>
        <w:tc>
          <w:tcPr>
            <w:tcW w:w="11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送 股</w:t>
            </w: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2"/>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6" w:type="dxa"/>
            <w:vMerge/>
            <w:tcBorders>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286" w:type="dxa"/>
            <w:vMerge/>
            <w:tcBorders>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shd w:val="clear" w:color="auto" w:fill="D4D4D4"/>
          </w:tcPr>
          <w:p>
            <w:pPr/>
          </w:p>
        </w:tc>
        <w:tc>
          <w:tcPr>
            <w:tcW w:w="792"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352,206,944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11.22%</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-44,332,708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-44,332,708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307,874,236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9.88%</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2,152,852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0.07%</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-2,152,852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-2,152,852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350,054,092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-42,179,856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-42,179,856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307,874,236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9.88%</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350,054,092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11.15%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-42,179,856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-42,179,856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307,874,236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9.88%</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2,787,580,616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88.78%</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20,027,523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20,027,523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2,807,608,139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90.12%</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2,787,580,616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88.78%</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20,027,523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20,027,523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2,807,608,139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90.12%</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3,139,787,560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-24,305,185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-24,305,185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3,115,482,375</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86"/>
        <w:jc w:val="left"/>
      </w:pPr>
      <w:r>
        <w:rPr/>
        <w:t>股份变动的原因</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37"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年年初，中国证券登记结算有限公司深圳分公司根据公司董事、监事和高级管理人员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日所持公司 股份重新计算本年度可转让股份法定额度，其余部分作为高管锁定股份继续锁定。</w:t>
      </w:r>
    </w:p>
    <w:p>
      <w:pPr>
        <w:pStyle w:val="BodyText"/>
        <w:spacing w:line="240" w:lineRule="auto" w:before="31"/>
        <w:ind w:left="512" w:right="986"/>
        <w:jc w:val="left"/>
      </w:pPr>
      <w:r>
        <w:rPr>
          <w:rFonts w:ascii="Times New Roman" w:hAnsi="Times New Roman" w:cs="Times New Roman" w:eastAsia="Times New Roman" w:hint="default"/>
        </w:rPr>
        <w:t>2</w:t>
      </w:r>
      <w:r>
        <w:rPr/>
        <w:t>、由于业绩承诺方承诺的至高通信业绩未达成，公司定向回购并注销了业绩承诺方所持的部分有限售条件股份</w:t>
      </w:r>
    </w:p>
    <w:p>
      <w:pPr>
        <w:pStyle w:val="BodyText"/>
        <w:spacing w:line="300" w:lineRule="auto" w:before="62"/>
        <w:ind w:right="1124"/>
        <w:jc w:val="left"/>
      </w:pPr>
      <w:r>
        <w:rPr>
          <w:rFonts w:ascii="Times New Roman" w:hAnsi="Times New Roman" w:cs="Times New Roman" w:eastAsia="Times New Roman" w:hint="default"/>
        </w:rPr>
        <w:t>24,305,185</w:t>
      </w:r>
      <w:r>
        <w:rPr/>
        <w:t>股，导致公司总股本减少，回购并注销相关股份完成后，公司的总股本将从</w:t>
      </w:r>
      <w:r>
        <w:rPr>
          <w:rFonts w:ascii="Times New Roman" w:hAnsi="Times New Roman" w:cs="Times New Roman" w:eastAsia="Times New Roman" w:hint="default"/>
        </w:rPr>
        <w:t>3,139,787,560</w:t>
      </w:r>
      <w:r>
        <w:rPr/>
        <w:t>股减少至</w:t>
      </w:r>
      <w:r>
        <w:rPr>
          <w:rFonts w:ascii="Times New Roman" w:hAnsi="Times New Roman" w:cs="Times New Roman" w:eastAsia="Times New Roman" w:hint="default"/>
        </w:rPr>
        <w:t>3,115,482,375 </w:t>
      </w:r>
      <w:r>
        <w:rPr/>
        <w:t>股，公司的注册资本将由人民币</w:t>
      </w:r>
      <w:r>
        <w:rPr>
          <w:rFonts w:ascii="Times New Roman" w:hAnsi="Times New Roman" w:cs="Times New Roman" w:eastAsia="Times New Roman" w:hint="default"/>
        </w:rPr>
        <w:t>3,139,787,560</w:t>
      </w:r>
      <w:r>
        <w:rPr/>
        <w:t>元减少至人民币</w:t>
      </w:r>
      <w:r>
        <w:rPr>
          <w:rFonts w:ascii="Times New Roman" w:hAnsi="Times New Roman" w:cs="Times New Roman" w:eastAsia="Times New Roman" w:hint="default"/>
        </w:rPr>
        <w:t>3,115,482,375</w:t>
      </w:r>
      <w:r>
        <w:rPr/>
        <w:t>元。交易对手方履行了股份补偿义务后，公司在 报告期为其所持的有限售条件股份办理了解除限售。</w:t>
      </w:r>
    </w:p>
    <w:p>
      <w:pPr>
        <w:pStyle w:val="BodyText"/>
        <w:spacing w:line="300" w:lineRule="auto" w:before="31"/>
        <w:ind w:left="153" w:right="1129" w:firstLine="359"/>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日，法人股东红塔创新投资股份有限公司</w:t>
      </w:r>
      <w:r>
        <w:rPr>
          <w:spacing w:val="25"/>
        </w:rPr>
        <w:t> </w:t>
      </w:r>
      <w:r>
        <w:rPr>
          <w:spacing w:val="-2"/>
        </w:rPr>
        <w:t>、自然人股东章云芳、刘玉龙合计持有的</w:t>
      </w:r>
      <w:r>
        <w:rPr>
          <w:rFonts w:ascii="Times New Roman" w:hAnsi="Times New Roman" w:cs="Times New Roman" w:eastAsia="Times New Roman" w:hint="default"/>
          <w:spacing w:val="-2"/>
        </w:rPr>
        <w:t>22,852,741</w:t>
      </w:r>
      <w:r>
        <w:rPr>
          <w:spacing w:val="-2"/>
        </w:rPr>
        <w:t>股股份解</w:t>
      </w:r>
      <w:r>
        <w:rPr/>
        <w:t> 除限售</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实际可上市流通的数量为</w:t>
      </w:r>
      <w:r>
        <w:rPr>
          <w:rFonts w:ascii="Times New Roman" w:hAnsi="Times New Roman" w:cs="Times New Roman" w:eastAsia="Times New Roman" w:hint="default"/>
        </w:rPr>
        <w:t>22,852,741</w:t>
      </w:r>
      <w:r>
        <w:rPr/>
        <w:t>股。详情参见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日刊登在《中国证券报》、《证券日报》、《证券时 报》以及巨潮资讯网（</w:t>
      </w:r>
      <w:hyperlink r:id="rId13">
        <w:r>
          <w:rPr>
            <w:rFonts w:ascii="Times New Roman" w:hAnsi="Times New Roman" w:cs="Times New Roman" w:eastAsia="Times New Roman" w:hint="default"/>
          </w:rPr>
          <w:t>http://www.cninfo.com.cn</w:t>
        </w:r>
      </w:hyperlink>
      <w:r>
        <w:rPr/>
        <w:t>）上的《东华软件股份公司关于限售股份上市流通的提示性公告》（公告编 号：</w:t>
      </w:r>
      <w:r>
        <w:rPr>
          <w:spacing w:val="-17"/>
        </w:rPr>
        <w:t> </w:t>
      </w:r>
      <w:r>
        <w:rPr>
          <w:rFonts w:ascii="Times New Roman" w:hAnsi="Times New Roman" w:cs="Times New Roman" w:eastAsia="Times New Roman" w:hint="default"/>
        </w:rPr>
        <w:t>2018-092</w:t>
      </w:r>
      <w:r>
        <w:rPr/>
        <w:t>）。</w:t>
      </w:r>
    </w:p>
    <w:p>
      <w:pPr>
        <w:pStyle w:val="BodyText"/>
        <w:spacing w:line="300" w:lineRule="auto" w:before="13"/>
        <w:ind w:left="153" w:right="1132" w:firstLine="359"/>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日，公司高管侯志国以成交均价</w:t>
      </w:r>
      <w:r>
        <w:rPr>
          <w:rFonts w:ascii="Times New Roman" w:hAnsi="Times New Roman" w:cs="Times New Roman" w:eastAsia="Times New Roman" w:hint="default"/>
          <w:spacing w:val="-1"/>
        </w:rPr>
        <w:t>7.7</w:t>
      </w:r>
      <w:r>
        <w:rPr>
          <w:spacing w:val="-1"/>
        </w:rPr>
        <w:t>元增持</w:t>
      </w:r>
      <w:r>
        <w:rPr>
          <w:rFonts w:ascii="Times New Roman" w:hAnsi="Times New Roman" w:cs="Times New Roman" w:eastAsia="Times New Roman" w:hint="default"/>
          <w:spacing w:val="-1"/>
        </w:rPr>
        <w:t>15</w:t>
      </w:r>
      <w:r>
        <w:rPr>
          <w:spacing w:val="-1"/>
        </w:rPr>
        <w:t>万股，共计</w:t>
      </w:r>
      <w:r>
        <w:rPr>
          <w:rFonts w:ascii="Times New Roman" w:hAnsi="Times New Roman" w:cs="Times New Roman" w:eastAsia="Times New Roman" w:hint="default"/>
          <w:spacing w:val="-1"/>
        </w:rPr>
        <w:t>115.5</w:t>
      </w:r>
      <w:r>
        <w:rPr>
          <w:spacing w:val="-1"/>
        </w:rPr>
        <w:t>万元，占总股本的</w:t>
      </w:r>
      <w:r>
        <w:rPr>
          <w:rFonts w:ascii="Times New Roman" w:hAnsi="Times New Roman" w:cs="Times New Roman" w:eastAsia="Times New Roman" w:hint="default"/>
          <w:spacing w:val="-1"/>
        </w:rPr>
        <w:t>0.0048%</w:t>
      </w:r>
      <w:r>
        <w:rPr>
          <w:spacing w:val="-1"/>
        </w:rPr>
        <w:t>，变动后持股</w:t>
      </w:r>
      <w:r>
        <w:rPr/>
        <w:t> 数为</w:t>
      </w:r>
      <w:r>
        <w:rPr>
          <w:rFonts w:ascii="Times New Roman" w:hAnsi="Times New Roman" w:cs="Times New Roman" w:eastAsia="Times New Roman" w:hint="default"/>
        </w:rPr>
        <w:t>32.36</w:t>
      </w:r>
      <w:r>
        <w:rPr/>
        <w:t>万股</w:t>
      </w:r>
      <w:r>
        <w:rPr>
          <w:rFonts w:ascii="Times New Roman" w:hAnsi="Times New Roman" w:cs="Times New Roman" w:eastAsia="Times New Roman" w:hint="default"/>
        </w:rPr>
        <w:t>,</w:t>
      </w:r>
      <w:r>
        <w:rPr/>
        <w:t>导致公司高管锁定股数量增加。</w:t>
      </w:r>
    </w:p>
    <w:p>
      <w:pPr>
        <w:pStyle w:val="BodyText"/>
        <w:spacing w:line="240" w:lineRule="auto" w:before="13"/>
        <w:ind w:left="153" w:right="986"/>
        <w:jc w:val="left"/>
      </w:pPr>
      <w:r>
        <w:rPr/>
        <w:t>股份变动的批准情况</w:t>
      </w:r>
    </w:p>
    <w:p>
      <w:pPr>
        <w:pStyle w:val="BodyText"/>
        <w:spacing w:line="300" w:lineRule="auto" w:before="76"/>
        <w:ind w:left="15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股份变动的过户情况</w:t>
      </w:r>
    </w:p>
    <w:p>
      <w:pPr>
        <w:pStyle w:val="BodyText"/>
        <w:spacing w:line="300" w:lineRule="auto" w:before="31"/>
        <w:ind w:left="15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日，公司按照规定办理了业绩承诺补偿股份的回购注销手续，并于中国证券登记结算有限责任公司深圳分公司 完成注销手续。</w:t>
      </w:r>
    </w:p>
    <w:p>
      <w:pPr>
        <w:pStyle w:val="BodyText"/>
        <w:spacing w:line="240" w:lineRule="auto" w:before="72"/>
        <w:ind w:left="153" w:right="986"/>
        <w:jc w:val="left"/>
      </w:pPr>
      <w:r>
        <w:rPr/>
        <w:t>股份回购的实施进展情况</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69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left="153" w:right="139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1"/>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153" w:right="1146"/>
        <w:jc w:val="both"/>
      </w:pPr>
      <w:r>
        <w:rPr/>
        <w:t>本报告期股份变动后，按照截至报告期末公司总股本</w:t>
      </w:r>
      <w:r>
        <w:rPr>
          <w:rFonts w:ascii="Times New Roman" w:hAnsi="Times New Roman" w:cs="Times New Roman" w:eastAsia="Times New Roman" w:hint="default"/>
        </w:rPr>
        <w:t>3,115,482,375</w:t>
      </w:r>
      <w:r>
        <w:rPr/>
        <w:t>股计算。</w:t>
      </w:r>
      <w:r>
        <w:rPr>
          <w:spacing w:val="-25"/>
        </w:rPr>
        <w:t> </w:t>
      </w:r>
      <w:r>
        <w:rPr>
          <w:rFonts w:ascii="Times New Roman" w:hAnsi="Times New Roman" w:cs="Times New Roman" w:eastAsia="Times New Roman" w:hint="default"/>
        </w:rPr>
        <w:t>2017</w:t>
      </w:r>
      <w:r>
        <w:rPr/>
        <w:t>年度基本每股收益为</w:t>
      </w:r>
      <w:r>
        <w:rPr>
          <w:rFonts w:ascii="Times New Roman" w:hAnsi="Times New Roman" w:cs="Times New Roman" w:eastAsia="Times New Roman" w:hint="default"/>
        </w:rPr>
        <w:t>0.2131</w:t>
      </w:r>
      <w:r>
        <w:rPr/>
        <w:t>元</w:t>
      </w:r>
      <w:r>
        <w:rPr>
          <w:rFonts w:ascii="Times New Roman" w:hAnsi="Times New Roman" w:cs="Times New Roman" w:eastAsia="Times New Roman" w:hint="default"/>
        </w:rPr>
        <w:t>/</w:t>
      </w:r>
      <w:r>
        <w:rPr/>
        <w:t>股，稀释每 股收益为</w:t>
      </w:r>
      <w:r>
        <w:rPr>
          <w:rFonts w:ascii="Times New Roman" w:hAnsi="Times New Roman" w:cs="Times New Roman" w:eastAsia="Times New Roman" w:hint="default"/>
        </w:rPr>
        <w:t>0.2131</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2.8550</w:t>
      </w:r>
      <w:r>
        <w:rPr/>
        <w:t>元</w:t>
      </w:r>
      <w:r>
        <w:rPr>
          <w:rFonts w:ascii="Times New Roman" w:hAnsi="Times New Roman" w:cs="Times New Roman" w:eastAsia="Times New Roman" w:hint="default"/>
        </w:rPr>
        <w:t>/</w:t>
      </w:r>
      <w:r>
        <w:rPr/>
        <w:t>股；</w:t>
      </w:r>
      <w:r>
        <w:rPr>
          <w:spacing w:val="-32"/>
        </w:rPr>
        <w:t> </w:t>
      </w:r>
      <w:r>
        <w:rPr>
          <w:rFonts w:ascii="Times New Roman" w:hAnsi="Times New Roman" w:cs="Times New Roman" w:eastAsia="Times New Roman" w:hint="default"/>
        </w:rPr>
        <w:t>2018</w:t>
      </w:r>
      <w:r>
        <w:rPr/>
        <w:t>年前三季度基本每股收益为</w:t>
      </w:r>
      <w:r>
        <w:rPr>
          <w:rFonts w:ascii="Times New Roman" w:hAnsi="Times New Roman" w:cs="Times New Roman" w:eastAsia="Times New Roman" w:hint="default"/>
        </w:rPr>
        <w:t>0.2100</w:t>
      </w:r>
      <w:r>
        <w:rPr/>
        <w:t>元</w:t>
      </w:r>
      <w:r>
        <w:rPr>
          <w:rFonts w:ascii="Times New Roman" w:hAnsi="Times New Roman" w:cs="Times New Roman" w:eastAsia="Times New Roman" w:hint="default"/>
        </w:rPr>
        <w:t>/</w:t>
      </w:r>
      <w:r>
        <w:rPr/>
        <w:t>股，</w:t>
      </w:r>
      <w:r>
        <w:rPr>
          <w:spacing w:val="-3"/>
        </w:rPr>
        <w:t> </w:t>
      </w:r>
      <w:r>
        <w:rPr/>
        <w:t>稀释每股收益为</w:t>
      </w:r>
      <w:r>
        <w:rPr>
          <w:rFonts w:ascii="Times New Roman" w:hAnsi="Times New Roman" w:cs="Times New Roman" w:eastAsia="Times New Roman" w:hint="default"/>
        </w:rPr>
        <w:t>0.2100</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2.9638</w:t>
      </w:r>
      <w:r>
        <w:rPr/>
        <w:t>元</w:t>
      </w:r>
      <w:r>
        <w:rPr>
          <w:rFonts w:ascii="Times New Roman" w:hAnsi="Times New Roman" w:cs="Times New Roman" w:eastAsia="Times New Roman" w:hint="default"/>
        </w:rPr>
        <w:t>/</w:t>
      </w:r>
      <w:r>
        <w:rPr/>
        <w:t>股。</w:t>
      </w:r>
    </w:p>
    <w:p>
      <w:pPr>
        <w:pStyle w:val="BodyText"/>
        <w:spacing w:line="240" w:lineRule="auto" w:before="53"/>
        <w:ind w:left="153" w:right="0"/>
        <w:jc w:val="both"/>
      </w:pPr>
      <w:r>
        <w:rPr/>
        <w:t>公司认为必要或证券监管机构要求披露的其他内容</w:t>
      </w:r>
    </w:p>
    <w:p>
      <w:pPr>
        <w:pStyle w:val="BodyText"/>
        <w:spacing w:line="240" w:lineRule="auto" w:before="117"/>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560"/>
        <w:gridCol w:w="1560"/>
        <w:gridCol w:w="1166"/>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红塔创新投资股 份有限公司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2,152,852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-2,152,852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至高通信重组项 目增发股份限售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2,152,852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刘玉龙</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3,440,258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-3,440,258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至高通信重组项 目增发股份限售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日解除限售股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3,440,258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章云芳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38,852,098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-38,852,098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至高通信重组项 目增发股份限售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38,852,098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130,200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112,500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242,700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高管股例行限售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44,575,408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-44,445,208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112,500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242,700</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274"/>
        <w:gridCol w:w="923"/>
        <w:gridCol w:w="728"/>
        <w:gridCol w:w="468"/>
        <w:gridCol w:w="240"/>
        <w:gridCol w:w="973"/>
        <w:gridCol w:w="870"/>
        <w:gridCol w:w="307"/>
        <w:gridCol w:w="684"/>
        <w:gridCol w:w="515"/>
        <w:gridCol w:w="1045"/>
        <w:gridCol w:w="149"/>
        <w:gridCol w:w="701"/>
        <w:gridCol w:w="497"/>
      </w:tblGrid>
      <w:tr>
        <w:trPr>
          <w:trHeight w:val="1966"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100,502</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105,363</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 w:right="7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5" w:right="2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5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7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2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7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7"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56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5" w:right="53" w:hanging="360"/>
              <w:jc w:val="left"/>
              <w:rPr>
                <w:rFonts w:ascii="宋体" w:hAnsi="宋体" w:cs="宋体" w:eastAsia="宋体" w:hint="default"/>
                <w:sz w:val="18"/>
                <w:szCs w:val="18"/>
              </w:rPr>
            </w:pPr>
            <w:r>
              <w:rPr>
                <w:rFonts w:ascii="宋体" w:hAnsi="宋体" w:cs="宋体" w:eastAsia="宋体" w:hint="default"/>
                <w:sz w:val="18"/>
                <w:szCs w:val="18"/>
              </w:rPr>
              <w:t>持有无限售条件的 股份数量</w:t>
            </w:r>
          </w:p>
        </w:tc>
        <w:tc>
          <w:tcPr>
            <w:tcW w:w="134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651" w:type="dxa"/>
            <w:gridSpan w:val="2"/>
            <w:vMerge/>
            <w:tcBorders>
              <w:left w:val="single" w:sz="4" w:space="0" w:color="000000"/>
              <w:bottom w:val="single" w:sz="4" w:space="0" w:color="000000"/>
              <w:right w:val="single" w:sz="4" w:space="0" w:color="000000"/>
            </w:tcBorders>
            <w:shd w:val="clear" w:color="auto" w:fill="D4D4D4"/>
          </w:tcPr>
          <w:p>
            <w:pPr/>
          </w:p>
        </w:tc>
        <w:tc>
          <w:tcPr>
            <w:tcW w:w="708" w:type="dxa"/>
            <w:gridSpan w:val="2"/>
            <w:vMerge/>
            <w:tcBorders>
              <w:left w:val="single" w:sz="4" w:space="0" w:color="000000"/>
              <w:bottom w:val="single" w:sz="4" w:space="0" w:color="000000"/>
              <w:right w:val="single" w:sz="4" w:space="0" w:color="000000"/>
            </w:tcBorders>
            <w:shd w:val="clear" w:color="auto" w:fill="D4D4D4"/>
          </w:tcPr>
          <w:p>
            <w:pPr/>
          </w:p>
        </w:tc>
        <w:tc>
          <w:tcPr>
            <w:tcW w:w="973" w:type="dxa"/>
            <w:vMerge/>
            <w:tcBorders>
              <w:left w:val="single" w:sz="4" w:space="0" w:color="000000"/>
              <w:bottom w:val="single" w:sz="4" w:space="0" w:color="000000"/>
              <w:right w:val="single" w:sz="4" w:space="0" w:color="000000"/>
            </w:tcBorders>
            <w:shd w:val="clear" w:color="auto" w:fill="D4D4D4"/>
          </w:tcPr>
          <w:p>
            <w:pPr/>
          </w:p>
        </w:tc>
        <w:tc>
          <w:tcPr>
            <w:tcW w:w="870" w:type="dxa"/>
            <w:vMerge/>
            <w:tcBorders>
              <w:left w:val="single" w:sz="4" w:space="0" w:color="000000"/>
              <w:bottom w:val="single" w:sz="4" w:space="0" w:color="000000"/>
              <w:right w:val="single" w:sz="4" w:space="0" w:color="000000"/>
            </w:tcBorders>
            <w:shd w:val="clear" w:color="auto" w:fill="D4D4D4"/>
          </w:tcPr>
          <w:p>
            <w:pPr/>
          </w:p>
        </w:tc>
        <w:tc>
          <w:tcPr>
            <w:tcW w:w="991" w:type="dxa"/>
            <w:gridSpan w:val="2"/>
            <w:vMerge/>
            <w:tcBorders>
              <w:left w:val="single" w:sz="4" w:space="0" w:color="000000"/>
              <w:bottom w:val="single" w:sz="4" w:space="0" w:color="000000"/>
              <w:right w:val="single" w:sz="4" w:space="0" w:color="000000"/>
            </w:tcBorders>
            <w:shd w:val="clear" w:color="auto" w:fill="D4D4D4"/>
          </w:tcPr>
          <w:p>
            <w:pPr/>
          </w:p>
        </w:tc>
        <w:tc>
          <w:tcPr>
            <w:tcW w:w="1560" w:type="dxa"/>
            <w:gridSpan w:val="2"/>
            <w:vMerge/>
            <w:tcBorders>
              <w:left w:val="single" w:sz="4" w:space="0" w:color="000000"/>
              <w:bottom w:val="single" w:sz="4" w:space="0" w:color="000000"/>
              <w:right w:val="single" w:sz="4" w:space="0" w:color="000000"/>
            </w:tcBorders>
            <w:shd w:val="clear" w:color="auto" w:fill="D4D4D4"/>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北京东华诚信电 脑科技发展有限 公司</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20.41%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635,970,080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Times New Roman" w:hAnsi="Times New Roman" w:cs="Times New Roman" w:eastAsia="Times New Roman" w:hint="default"/>
                <w:sz w:val="18"/>
                <w:szCs w:val="18"/>
              </w:rPr>
            </w:pPr>
            <w:r>
              <w:rPr>
                <w:rFonts w:ascii="Times New Roman"/>
                <w:sz w:val="18"/>
              </w:rPr>
              <w:t>635,970,080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12.62%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393,069,684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6,563,100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294,802,263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98,267,421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北京合创电商投 </w:t>
            </w:r>
            <w:r>
              <w:rPr>
                <w:rFonts w:ascii="宋体" w:hAnsi="宋体" w:cs="宋体" w:eastAsia="宋体" w:hint="default"/>
                <w:spacing w:val="-4"/>
                <w:sz w:val="18"/>
                <w:szCs w:val="18"/>
              </w:rPr>
              <w:t>资顾问中心（有限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4.52%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140,952,852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Times New Roman" w:hAnsi="Times New Roman" w:cs="Times New Roman" w:eastAsia="Times New Roman" w:hint="default"/>
                <w:sz w:val="18"/>
                <w:szCs w:val="18"/>
              </w:rPr>
            </w:pPr>
            <w:r>
              <w:rPr>
                <w:rFonts w:ascii="Times New Roman"/>
                <w:sz w:val="18"/>
              </w:rPr>
              <w:t>140,952,852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北京东华诚信投 </w:t>
            </w:r>
            <w:r>
              <w:rPr>
                <w:rFonts w:ascii="宋体" w:hAnsi="宋体" w:cs="宋体" w:eastAsia="宋体" w:hint="default"/>
                <w:spacing w:val="-4"/>
                <w:sz w:val="18"/>
                <w:szCs w:val="18"/>
              </w:rPr>
              <w:t>资管理中心（有限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4.40%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137,063,046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Times New Roman" w:hAnsi="Times New Roman" w:cs="Times New Roman" w:eastAsia="Times New Roman" w:hint="default"/>
                <w:sz w:val="18"/>
                <w:szCs w:val="18"/>
              </w:rPr>
            </w:pPr>
            <w:r>
              <w:rPr>
                <w:rFonts w:ascii="Times New Roman"/>
                <w:sz w:val="18"/>
              </w:rPr>
              <w:t>137,063,046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爱尔医疗投资集 团有限公司</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2.15%</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66,844,425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6,844,425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66,844,425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中国证券金融股 份有限公司</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2.14%</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66,725,398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43,547,32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66,725,398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份有限公司－东 方红产业升级灵 活配置混合型证 券投资基金</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0.85%</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26,424,689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26,424,68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26,424,689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东华软件股份公 司－第一期员工 持股计划</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0.85%</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26,412,422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26,412,42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26,412,422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0.73%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22,882,800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22,882,800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0.67%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20,720,000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5" w:right="0"/>
              <w:jc w:val="left"/>
              <w:rPr>
                <w:rFonts w:ascii="Times New Roman" w:hAnsi="Times New Roman" w:cs="Times New Roman" w:eastAsia="Times New Roman" w:hint="default"/>
                <w:sz w:val="18"/>
                <w:szCs w:val="18"/>
              </w:rPr>
            </w:pPr>
            <w:r>
              <w:rPr>
                <w:rFonts w:ascii="Times New Roman"/>
                <w:sz w:val="18"/>
              </w:rPr>
              <w:t>20,720,000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r>
        <w:rPr/>
        <w:pict>
          <v:shape style="position:absolute;margin-left:206.880005pt;margin-top:72.47998pt;width:328pt;height:35.2pt;mso-position-horizontal-relative:page;mso-position-vertical-relative:page;z-index:-94379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group style="position:absolute;margin-left:212.880005pt;margin-top:72.47998pt;width:322pt;height:7.8pt;mso-position-horizontal-relative:page;mso-position-vertical-relative:page;z-index:-943768" coordorigin="4258,1450" coordsize="6440,156">
            <v:shape style="position:absolute;left:4258;top:1450;width:6440;height:156" coordorigin="4258,1450" coordsize="6440,156" path="m4258,1606l10697,1606,10697,1450,4258,1450,4258,1606xe" filled="true" fillcolor="#ffffff" stroked="false">
              <v:path arrowok="t"/>
              <v:fill type="solid"/>
            </v:shape>
            <w10:wrap type="none"/>
          </v:group>
        </w:pict>
      </w:r>
      <w:r>
        <w:rPr/>
        <w:pict>
          <v:group style="position:absolute;margin-left:212.880005pt;margin-top:99.839981pt;width:322pt;height:7.8pt;mso-position-horizontal-relative:page;mso-position-vertical-relative:page;z-index:-943744" coordorigin="4258,1997" coordsize="6440,156">
            <v:shape style="position:absolute;left:4258;top:1997;width:6440;height:156" coordorigin="4258,1997" coordsize="6440,156" path="m4258,2153l10697,2153,10697,1997,4258,1997,4258,215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20"/>
        <w:gridCol w:w="1339"/>
        <w:gridCol w:w="2203"/>
        <w:gridCol w:w="1418"/>
        <w:gridCol w:w="1488"/>
      </w:tblGrid>
      <w:tr>
        <w:trPr>
          <w:trHeight w:val="713" w:hRule="exact"/>
        </w:trPr>
        <w:tc>
          <w:tcPr>
            <w:tcW w:w="3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1339"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03"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1488" w:type="dxa"/>
            <w:tcBorders>
              <w:top w:val="single" w:sz="4" w:space="0" w:color="000000"/>
              <w:left w:val="nil" w:sz="6" w:space="0" w:color="auto"/>
              <w:bottom w:val="single" w:sz="4" w:space="0" w:color="000000"/>
              <w:right w:val="single" w:sz="4" w:space="0" w:color="000000"/>
            </w:tcBorders>
          </w:tcPr>
          <w:p>
            <w:pPr/>
          </w:p>
        </w:tc>
      </w:tr>
      <w:tr>
        <w:trPr>
          <w:trHeight w:val="163" w:hRule="exact"/>
        </w:trPr>
        <w:tc>
          <w:tcPr>
            <w:tcW w:w="3120" w:type="dxa"/>
            <w:tcBorders>
              <w:top w:val="single" w:sz="4" w:space="0" w:color="000000"/>
              <w:left w:val="single" w:sz="4" w:space="0" w:color="000000"/>
              <w:bottom w:val="nil" w:sz="6" w:space="0" w:color="auto"/>
              <w:right w:val="single" w:sz="4" w:space="0" w:color="000000"/>
            </w:tcBorders>
            <w:shd w:val="clear" w:color="auto" w:fill="D4D4D4"/>
          </w:tcPr>
          <w:p>
            <w:pPr/>
          </w:p>
        </w:tc>
        <w:tc>
          <w:tcPr>
            <w:tcW w:w="6449" w:type="dxa"/>
            <w:gridSpan w:val="4"/>
            <w:vMerge w:val="restart"/>
            <w:tcBorders>
              <w:top w:val="single" w:sz="4" w:space="0" w:color="000000"/>
              <w:left w:val="single" w:sz="4" w:space="0" w:color="000000"/>
              <w:right w:val="single" w:sz="4" w:space="0" w:color="000000"/>
            </w:tcBorders>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3"/>
                <w:sz w:val="18"/>
                <w:szCs w:val="18"/>
              </w:rPr>
              <w:t>北京东华诚信电脑科技发展有限公司和薛向东、北京东华诚信投资管理中心（有限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合伙）、北京合创电商投资顾问中心（有限合伙）存在关联关系。</w:t>
            </w:r>
          </w:p>
        </w:tc>
      </w:tr>
      <w:tr>
        <w:trPr>
          <w:trHeight w:val="391" w:hRule="exact"/>
        </w:trPr>
        <w:tc>
          <w:tcPr>
            <w:tcW w:w="31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49" w:type="dxa"/>
            <w:gridSpan w:val="4"/>
            <w:vMerge/>
            <w:tcBorders>
              <w:left w:val="single" w:sz="4" w:space="0" w:color="000000"/>
              <w:right w:val="single" w:sz="4" w:space="0" w:color="000000"/>
            </w:tcBorders>
          </w:tcPr>
          <w:p>
            <w:pPr/>
          </w:p>
        </w:tc>
      </w:tr>
      <w:tr>
        <w:trPr>
          <w:trHeight w:val="161" w:hRule="exact"/>
        </w:trPr>
        <w:tc>
          <w:tcPr>
            <w:tcW w:w="3120" w:type="dxa"/>
            <w:tcBorders>
              <w:top w:val="nil" w:sz="6" w:space="0" w:color="auto"/>
              <w:left w:val="single" w:sz="4" w:space="0" w:color="000000"/>
              <w:bottom w:val="single" w:sz="4" w:space="0" w:color="000000"/>
              <w:right w:val="single" w:sz="4" w:space="0" w:color="000000"/>
            </w:tcBorders>
            <w:shd w:val="clear" w:color="auto" w:fill="D4D4D4"/>
          </w:tcPr>
          <w:p>
            <w:pPr/>
          </w:p>
        </w:tc>
        <w:tc>
          <w:tcPr>
            <w:tcW w:w="6449" w:type="dxa"/>
            <w:gridSpan w:val="4"/>
            <w:vMerge/>
            <w:tcBorders>
              <w:left w:val="single" w:sz="4" w:space="0" w:color="000000"/>
              <w:bottom w:val="single" w:sz="4" w:space="0" w:color="000000"/>
              <w:right w:val="single" w:sz="4" w:space="0" w:color="000000"/>
            </w:tcBorders>
          </w:tcPr>
          <w:p>
            <w:pP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12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4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290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12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4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0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3120" w:type="dxa"/>
            <w:vMerge/>
            <w:tcBorders>
              <w:left w:val="single" w:sz="4" w:space="0" w:color="000000"/>
              <w:bottom w:val="nil" w:sz="6" w:space="0" w:color="auto"/>
              <w:right w:val="single" w:sz="4" w:space="0" w:color="000000"/>
            </w:tcBorders>
            <w:shd w:val="clear" w:color="auto" w:fill="D4D4D4"/>
          </w:tcPr>
          <w:p>
            <w:pPr/>
          </w:p>
        </w:tc>
        <w:tc>
          <w:tcPr>
            <w:tcW w:w="3542" w:type="dxa"/>
            <w:gridSpan w:val="2"/>
            <w:vMerge/>
            <w:tcBorders>
              <w:left w:val="single" w:sz="4" w:space="0" w:color="000000"/>
              <w:bottom w:val="nil" w:sz="6" w:space="0" w:color="auto"/>
              <w:right w:val="single" w:sz="4" w:space="0" w:color="000000"/>
            </w:tcBorders>
            <w:shd w:val="clear" w:color="auto" w:fill="D4D4D4"/>
          </w:tcPr>
          <w:p>
            <w:pP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120" w:type="dxa"/>
            <w:tcBorders>
              <w:top w:val="nil" w:sz="6" w:space="0" w:color="auto"/>
              <w:left w:val="single" w:sz="4" w:space="0" w:color="000000"/>
              <w:bottom w:val="single" w:sz="4" w:space="0" w:color="000000"/>
              <w:right w:val="single" w:sz="4" w:space="0" w:color="000000"/>
            </w:tcBorders>
            <w:shd w:val="clear" w:color="auto" w:fill="D4D4D4"/>
          </w:tcPr>
          <w:p>
            <w:pPr/>
          </w:p>
        </w:tc>
        <w:tc>
          <w:tcPr>
            <w:tcW w:w="354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c>
          <w:tcPr>
            <w:tcW w:w="148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635,970,080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635,970,080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北京合创电商投资顾问中</w:t>
            </w:r>
            <w:r>
              <w:rPr>
                <w:rFonts w:ascii="宋体" w:hAnsi="宋体" w:cs="宋体" w:eastAsia="宋体" w:hint="default"/>
                <w:spacing w:val="-87"/>
                <w:sz w:val="18"/>
                <w:szCs w:val="18"/>
              </w:rPr>
              <w:t>心</w:t>
            </w:r>
            <w:r>
              <w:rPr>
                <w:rFonts w:ascii="宋体" w:hAnsi="宋体" w:cs="宋体" w:eastAsia="宋体" w:hint="default"/>
                <w:sz w:val="18"/>
                <w:szCs w:val="18"/>
              </w:rPr>
              <w:t>（有限合伙</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140,952,852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140,952,852</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北京东华诚信投资管理中</w:t>
            </w:r>
            <w:r>
              <w:rPr>
                <w:rFonts w:ascii="宋体" w:hAnsi="宋体" w:cs="宋体" w:eastAsia="宋体" w:hint="default"/>
                <w:spacing w:val="-87"/>
                <w:sz w:val="18"/>
                <w:szCs w:val="18"/>
              </w:rPr>
              <w:t>心</w:t>
            </w:r>
            <w:r>
              <w:rPr>
                <w:rFonts w:ascii="宋体" w:hAnsi="宋体" w:cs="宋体" w:eastAsia="宋体" w:hint="default"/>
                <w:sz w:val="18"/>
                <w:szCs w:val="18"/>
              </w:rPr>
              <w:t>（有限合伙</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137,063,046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137,063,046</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98,267,421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98,267,421</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爱尔医疗投资集团有限公司</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66,844,425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66,844,425</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66,725,398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66,725,398</w:t>
            </w:r>
          </w:p>
        </w:tc>
      </w:tr>
      <w:tr>
        <w:trPr>
          <w:trHeight w:val="71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4"/>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中国工商银行股份有限公司－东方红产 业升级灵活配置混合型证券投资基金</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26,424,689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26,424,689</w:t>
            </w:r>
          </w:p>
        </w:tc>
      </w:tr>
      <w:tr>
        <w:trPr>
          <w:trHeight w:val="71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东华软件股份公司－第一期员工持股计 划</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26,412,422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26,412,422</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22,882,800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22,882,800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20,720,000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20,720,000</w:t>
            </w:r>
          </w:p>
        </w:tc>
      </w:tr>
      <w:tr>
        <w:trPr>
          <w:trHeight w:val="1339" w:hRule="exact"/>
        </w:trPr>
        <w:tc>
          <w:tcPr>
            <w:tcW w:w="3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0"/>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4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
              <w:jc w:val="both"/>
              <w:rPr>
                <w:rFonts w:ascii="宋体" w:hAnsi="宋体" w:cs="宋体" w:eastAsia="宋体" w:hint="default"/>
                <w:sz w:val="18"/>
                <w:szCs w:val="18"/>
              </w:rPr>
            </w:pPr>
            <w:r>
              <w:rPr>
                <w:rFonts w:ascii="宋体" w:hAnsi="宋体" w:cs="宋体" w:eastAsia="宋体" w:hint="default"/>
                <w:spacing w:val="-3"/>
                <w:sz w:val="18"/>
                <w:szCs w:val="18"/>
              </w:rPr>
              <w:t>公司前十名股东中，北京东华诚信电脑科技发展有限公司、薛向东、北京东华诚信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投资管理中心（有限合伙）和北京合创电商投资顾问中心（有限合伙）存在关联关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系；前十名无限售条件股东中，未知其他股东之间是否存在关联关系，也未知是否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属于一致行动人。</w:t>
            </w:r>
          </w:p>
        </w:tc>
      </w:tr>
      <w:tr>
        <w:trPr>
          <w:trHeight w:val="1027" w:hRule="exact"/>
        </w:trPr>
        <w:tc>
          <w:tcPr>
            <w:tcW w:w="3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 </w:t>
            </w:r>
            <w:r>
              <w:rPr>
                <w:rFonts w:ascii="宋体" w:hAnsi="宋体" w:cs="宋体" w:eastAsia="宋体" w:hint="default"/>
                <w:spacing w:val="-8"/>
                <w:sz w:val="18"/>
                <w:szCs w:val="18"/>
              </w:rPr>
              <w:t>情况说明（如有）（参见注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4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公司股东爱尔医疗投资集团有限公司通过普通证券账户持有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25</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宋体" w:hAnsi="宋体" w:cs="宋体" w:eastAsia="宋体" w:hint="default"/>
                <w:spacing w:val="-87"/>
                <w:sz w:val="18"/>
                <w:szCs w:val="18"/>
              </w:rPr>
              <w:t>，</w:t>
            </w:r>
            <w:r>
              <w:rPr>
                <w:rFonts w:ascii="宋体" w:hAnsi="宋体" w:cs="宋体" w:eastAsia="宋体" w:hint="default"/>
                <w:sz w:val="18"/>
                <w:szCs w:val="18"/>
              </w:rPr>
              <w:t>还通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过中信证券股份有限公司客户信用交易担保证券账户持有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pacing w:val="-87"/>
                <w:sz w:val="18"/>
                <w:szCs w:val="18"/>
              </w:rPr>
              <w:t>，</w:t>
            </w:r>
            <w:r>
              <w:rPr>
                <w:rFonts w:ascii="宋体" w:hAnsi="宋体" w:cs="宋体" w:eastAsia="宋体" w:hint="default"/>
                <w:sz w:val="18"/>
                <w:szCs w:val="18"/>
              </w:rPr>
              <w:t>实际合计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66,844,425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986"/>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86"/>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5"/>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820"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北京东华诚信电脑科技 发展有限公司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郭玉梅</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91110108102047790H</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9"/>
              <w:jc w:val="left"/>
              <w:rPr>
                <w:rFonts w:ascii="宋体" w:hAnsi="宋体" w:cs="宋体" w:eastAsia="宋体" w:hint="default"/>
                <w:sz w:val="18"/>
                <w:szCs w:val="18"/>
              </w:rPr>
            </w:pPr>
            <w:r>
              <w:rPr>
                <w:rFonts w:ascii="宋体" w:hAnsi="宋体" w:cs="宋体" w:eastAsia="宋体" w:hint="default"/>
                <w:sz w:val="18"/>
                <w:szCs w:val="18"/>
              </w:rPr>
              <w:t>技术开发、技术推广、 技术转让、技术咨询、</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5"/>
      </w:tblGrid>
      <w:tr>
        <w:trPr>
          <w:trHeight w:val="1610"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9"/>
              <w:jc w:val="both"/>
              <w:rPr>
                <w:rFonts w:ascii="宋体" w:hAnsi="宋体" w:cs="宋体" w:eastAsia="宋体" w:hint="default"/>
                <w:sz w:val="18"/>
                <w:szCs w:val="18"/>
              </w:rPr>
            </w:pPr>
            <w:r>
              <w:rPr>
                <w:rFonts w:ascii="宋体" w:hAnsi="宋体" w:cs="宋体" w:eastAsia="宋体" w:hint="default"/>
                <w:sz w:val="18"/>
                <w:szCs w:val="18"/>
              </w:rPr>
              <w:t>技术服务；开发、销售 计算机软硬件及外围设 备；计算机系统集成； 货物进出口、代理进出 口。</w:t>
            </w:r>
          </w:p>
        </w:tc>
      </w:tr>
    </w:tbl>
    <w:p>
      <w:pPr>
        <w:pStyle w:val="BodyText"/>
        <w:spacing w:line="240" w:lineRule="auto" w:before="51"/>
        <w:ind w:right="986"/>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986"/>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44"/>
        <w:ind w:left="0" w:right="1151"/>
        <w:jc w:val="right"/>
      </w:pPr>
      <w:r>
        <w:rPr/>
        <w:pict>
          <v:shape style="position:absolute;margin-left:56.459999pt;margin-top:-134.64827pt;width:479.1pt;height:268.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薛向东及其家族成员</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薛向东先生最近五年一直担任本公司董事长，此外，现任本公司控股股东北京东华诚信电脑</w:t>
                        </w:r>
                        <w:r>
                          <w:rPr>
                            <w:rFonts w:ascii="宋体" w:hAnsi="宋体" w:cs="宋体" w:eastAsia="宋体" w:hint="default"/>
                            <w:sz w:val="18"/>
                            <w:szCs w:val="18"/>
                          </w:rPr>
                          <w:t> </w:t>
                        </w:r>
                        <w:r>
                          <w:rPr>
                            <w:rFonts w:ascii="宋体" w:hAnsi="宋体" w:cs="宋体" w:eastAsia="宋体" w:hint="default"/>
                            <w:spacing w:val="-3"/>
                            <w:sz w:val="18"/>
                            <w:szCs w:val="18"/>
                          </w:rPr>
                          <w:t>科技发展有限公司董事，本公司全资子公司北京东华合创科技有限公司、北京东华合创香港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有限公司、东华合创软件有限公司、北京东华信息技术有限公司董事长；本公司全资子公北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京联银通科技有限公司、山西东华软件有限公司、泰安东华合创软件有限公司、北京东华厚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盾软件有限公司、北京东华易时科技有限公司、北京厚盾科技有限公司、大同东华软件有限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公司、东华合创科技有限公司、广州东华软件有限公司、合力东华（北京）科技有限公司 </w:t>
                        </w:r>
                        <w:r>
                          <w:rPr>
                            <w:rFonts w:ascii="宋体" w:hAnsi="宋体" w:cs="宋体" w:eastAsia="宋体" w:hint="default"/>
                            <w:spacing w:val="-3"/>
                            <w:sz w:val="18"/>
                            <w:szCs w:val="18"/>
                          </w:rPr>
                          <w:t>雄安东华全球软件研发有限公司执行董事；公司全资子公司东华软件工程有限公司董事；本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公司控股子公司北京东华中企会智慧城市科技有限公司、东华互联宜家数据服务有限公司董</w:t>
                        </w:r>
                        <w:r>
                          <w:rPr>
                            <w:rFonts w:ascii="宋体" w:hAnsi="宋体" w:cs="宋体" w:eastAsia="宋体" w:hint="default"/>
                            <w:sz w:val="18"/>
                            <w:szCs w:val="18"/>
                          </w:rPr>
                          <w:t> </w:t>
                        </w:r>
                        <w:r>
                          <w:rPr>
                            <w:rFonts w:ascii="宋体" w:hAnsi="宋体" w:cs="宋体" w:eastAsia="宋体" w:hint="default"/>
                            <w:spacing w:val="-3"/>
                            <w:sz w:val="18"/>
                            <w:szCs w:val="18"/>
                          </w:rPr>
                          <w:t>事长；本公司控股子公司北京东华福蝉信息技术有限公司副董事长；本公司控股子公司北京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东华万兴软件有限公司、北京东华智中能源互联网科技有限公司、北京国能智研信息科技有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限公司、北京中能博泰科技有限公司、华金在线股份公司董事。</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right="986"/>
        <w:jc w:val="left"/>
      </w:pPr>
      <w:r>
        <w:rPr/>
        <w:t>实际控制人报告期内变更</w:t>
      </w:r>
    </w:p>
    <w:p>
      <w:pPr>
        <w:pStyle w:val="BodyText"/>
        <w:spacing w:line="350" w:lineRule="auto" w:before="115"/>
        <w:ind w:right="67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p>
      <w:pPr>
        <w:spacing w:line="4917" w:lineRule="exact"/>
        <w:ind w:left="215"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6040519" cy="312248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6040519" cy="3122485"/>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8"/>
        <w:rPr>
          <w:rFonts w:ascii="宋体" w:hAnsi="宋体" w:cs="宋体" w:eastAsia="宋体" w:hint="default"/>
          <w:sz w:val="15"/>
          <w:szCs w:val="15"/>
        </w:rPr>
      </w:pPr>
    </w:p>
    <w:p>
      <w:pPr>
        <w:pStyle w:val="BodyText"/>
        <w:spacing w:line="240" w:lineRule="auto" w:before="44"/>
        <w:ind w:right="986"/>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986"/>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986"/>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442"/>
        <w:gridCol w:w="710"/>
        <w:gridCol w:w="850"/>
        <w:gridCol w:w="850"/>
        <w:gridCol w:w="994"/>
        <w:gridCol w:w="850"/>
        <w:gridCol w:w="710"/>
        <w:gridCol w:w="708"/>
        <w:gridCol w:w="1066"/>
      </w:tblGrid>
      <w:tr>
        <w:trPr>
          <w:trHeight w:val="1339"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4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9" w:right="7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386,506,584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6,563,100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393,069,684</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6,076,720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6,076,720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李建国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2,628,572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2,628,572</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610,024</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郑晓清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187,650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187,650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491,800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491,800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郭玉杰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70,500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蒋恕慧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638,152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638,152</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夏金崇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2,899,612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2,899,612</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林文平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349,500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349,500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288,600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288,600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442"/>
        <w:gridCol w:w="710"/>
        <w:gridCol w:w="850"/>
        <w:gridCol w:w="850"/>
        <w:gridCol w:w="994"/>
        <w:gridCol w:w="850"/>
        <w:gridCol w:w="710"/>
        <w:gridCol w:w="708"/>
        <w:gridCol w:w="1066"/>
      </w:tblGrid>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1,581,768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1,581,768</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韩士斌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350,800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董国勇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203,400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阮 </w:t>
            </w:r>
            <w:r>
              <w:rPr>
                <w:rFonts w:ascii="宋体" w:hAnsi="宋体" w:cs="宋体" w:eastAsia="宋体" w:hint="default"/>
                <w:spacing w:val="2"/>
                <w:sz w:val="18"/>
                <w:szCs w:val="18"/>
              </w:rPr>
              <w:t> </w:t>
            </w:r>
            <w:r>
              <w:rPr>
                <w:rFonts w:ascii="宋体" w:hAnsi="宋体" w:cs="宋体" w:eastAsia="宋体" w:hint="default"/>
                <w:sz w:val="18"/>
                <w:szCs w:val="18"/>
              </w:rPr>
              <w:t>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293,400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侯志国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323,600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任安彪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尹继南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90,600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2"/>
                <w:sz w:val="18"/>
                <w:szCs w:val="18"/>
              </w:rPr>
              <w:t> </w:t>
            </w:r>
            <w:r>
              <w:rPr>
                <w:rFonts w:ascii="宋体" w:hAnsi="宋体" w:cs="宋体" w:eastAsia="宋体" w:hint="default"/>
                <w:sz w:val="18"/>
                <w:szCs w:val="18"/>
              </w:rPr>
              <w:t>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271,800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范玉顺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栾大龙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王以朋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4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403,785,882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6,713,100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410,498,982</w:t>
            </w:r>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493"/>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因个人原因辞去公司副总经理职务。</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bookmarkStart w:name="三、任职情况" w:id="127"/>
      <w:bookmarkEnd w:id="127"/>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公司现任董事、监事、高级管理人员专业背景、主要工作经历以及目前在公司的主要职责</w:t>
      </w:r>
    </w:p>
    <w:p>
      <w:pPr>
        <w:spacing w:line="240" w:lineRule="auto" w:before="3"/>
        <w:rPr>
          <w:rFonts w:ascii="宋体" w:hAnsi="宋体" w:cs="宋体" w:eastAsia="宋体" w:hint="default"/>
          <w:sz w:val="15"/>
          <w:szCs w:val="15"/>
        </w:rPr>
      </w:pPr>
    </w:p>
    <w:p>
      <w:pPr>
        <w:pStyle w:val="BodyText"/>
        <w:spacing w:line="412" w:lineRule="auto"/>
        <w:ind w:left="440" w:right="1106" w:hanging="288"/>
        <w:jc w:val="left"/>
      </w:pPr>
      <w:r>
        <w:rPr>
          <w:rFonts w:ascii="Times New Roman" w:hAnsi="Times New Roman" w:cs="Times New Roman" w:eastAsia="Times New Roman" w:hint="default"/>
          <w:b/>
          <w:bCs/>
        </w:rPr>
        <w:t>1</w:t>
      </w:r>
      <w:r>
        <w:rPr>
          <w:rFonts w:ascii="宋体" w:hAnsi="宋体" w:cs="宋体" w:eastAsia="宋体" w:hint="default"/>
          <w:b/>
          <w:bCs/>
        </w:rPr>
        <w:t>、董事简介</w:t>
      </w:r>
      <w:r>
        <w:rPr>
          <w:rFonts w:ascii="宋体" w:hAnsi="宋体" w:cs="宋体" w:eastAsia="宋体" w:hint="default"/>
          <w:b/>
          <w:bCs/>
          <w:w w:val="99"/>
        </w:rPr>
        <w:t> </w:t>
      </w:r>
      <w:r>
        <w:rPr/>
        <w:t>薛向东先生：中国国籍，现年</w:t>
      </w:r>
      <w:r>
        <w:rPr>
          <w:rFonts w:ascii="Times New Roman" w:hAnsi="Times New Roman" w:cs="Times New Roman" w:eastAsia="Times New Roman" w:hint="default"/>
        </w:rPr>
        <w:t>60</w:t>
      </w:r>
      <w:r>
        <w:rPr/>
        <w:t>岁，大学本科，高级工程师，长期从事行业应用软件开发及计算机信息系统集成工作，</w:t>
      </w:r>
    </w:p>
    <w:p>
      <w:pPr>
        <w:spacing w:after="0" w:line="412"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公司实际控制人，最近</w:t>
      </w:r>
      <w:r>
        <w:rPr>
          <w:rFonts w:ascii="Times New Roman" w:hAnsi="Times New Roman" w:cs="Times New Roman" w:eastAsia="Times New Roman" w:hint="default"/>
        </w:rPr>
        <w:t>5</w:t>
      </w:r>
      <w:r>
        <w:rPr/>
        <w:t>年一直担任本公司董事长。</w:t>
      </w:r>
    </w:p>
    <w:p>
      <w:pPr>
        <w:spacing w:line="240" w:lineRule="auto" w:before="13"/>
        <w:rPr>
          <w:rFonts w:ascii="宋体" w:hAnsi="宋体" w:cs="宋体" w:eastAsia="宋体" w:hint="default"/>
          <w:sz w:val="13"/>
          <w:szCs w:val="13"/>
        </w:rPr>
      </w:pPr>
    </w:p>
    <w:p>
      <w:pPr>
        <w:pStyle w:val="BodyText"/>
        <w:spacing w:line="300" w:lineRule="auto"/>
        <w:ind w:right="1196" w:firstLine="288"/>
        <w:jc w:val="left"/>
      </w:pPr>
      <w:r>
        <w:rPr/>
        <w:t>吕波先生：中国国籍，现年</w:t>
      </w:r>
      <w:r>
        <w:rPr>
          <w:rFonts w:ascii="Times New Roman" w:hAnsi="Times New Roman" w:cs="Times New Roman" w:eastAsia="Times New Roman" w:hint="default"/>
        </w:rPr>
        <w:t>56</w:t>
      </w:r>
      <w:r>
        <w:rPr/>
        <w:t>岁，硕士研究生，讲师，长期从事行业应用软件开发及计算机信息系统集成工作，最近</w:t>
      </w:r>
      <w:r>
        <w:rPr>
          <w:rFonts w:ascii="Times New Roman" w:hAnsi="Times New Roman" w:cs="Times New Roman" w:eastAsia="Times New Roman" w:hint="default"/>
        </w:rPr>
        <w:t>5 </w:t>
      </w:r>
      <w:r>
        <w:rPr/>
        <w:t>年一直担任本公司副董事长、总经理。</w:t>
      </w:r>
    </w:p>
    <w:p>
      <w:pPr>
        <w:pStyle w:val="BodyText"/>
        <w:spacing w:line="300" w:lineRule="auto" w:before="151"/>
        <w:ind w:right="1196" w:firstLine="288"/>
        <w:jc w:val="left"/>
      </w:pPr>
      <w:r>
        <w:rPr/>
        <w:t>李建国先生：中国国籍，现年</w:t>
      </w:r>
      <w:r>
        <w:rPr>
          <w:rFonts w:ascii="Times New Roman" w:hAnsi="Times New Roman" w:cs="Times New Roman" w:eastAsia="Times New Roman" w:hint="default"/>
        </w:rPr>
        <w:t>50</w:t>
      </w:r>
      <w:r>
        <w:rPr/>
        <w:t>岁，硕士研究生，长期从事行业应用软件开发及计算机信息系统集成工作，最近</w:t>
      </w:r>
      <w:r>
        <w:rPr>
          <w:rFonts w:ascii="Times New Roman" w:hAnsi="Times New Roman" w:cs="Times New Roman" w:eastAsia="Times New Roman" w:hint="default"/>
        </w:rPr>
        <w:t>5</w:t>
      </w:r>
      <w:r>
        <w:rPr/>
        <w:t>年一 直担任本公司董事、副总经理。</w:t>
      </w:r>
    </w:p>
    <w:p>
      <w:pPr>
        <w:pStyle w:val="BodyText"/>
        <w:spacing w:line="432" w:lineRule="exact" w:before="16"/>
        <w:ind w:left="440" w:right="1196"/>
        <w:jc w:val="left"/>
      </w:pPr>
      <w:r>
        <w:rPr/>
        <w:t>杨健先生：中国国籍，现年</w:t>
      </w:r>
      <w:r>
        <w:rPr>
          <w:rFonts w:ascii="Times New Roman" w:hAnsi="Times New Roman" w:cs="Times New Roman" w:eastAsia="Times New Roman" w:hint="default"/>
        </w:rPr>
        <w:t>51</w:t>
      </w:r>
      <w:r>
        <w:rPr/>
        <w:t>岁，硕士研究生，会计师，最近</w:t>
      </w:r>
      <w:r>
        <w:rPr>
          <w:rFonts w:ascii="Times New Roman" w:hAnsi="Times New Roman" w:cs="Times New Roman" w:eastAsia="Times New Roman" w:hint="default"/>
        </w:rPr>
        <w:t>5</w:t>
      </w:r>
      <w:r>
        <w:rPr/>
        <w:t>年一直担任本公司董事、副总经理、董事会秘书。 郑晓清女士：中国国籍，现年</w:t>
      </w:r>
      <w:r>
        <w:rPr>
          <w:rFonts w:ascii="Times New Roman" w:hAnsi="Times New Roman" w:cs="Times New Roman" w:eastAsia="Times New Roman" w:hint="default"/>
        </w:rPr>
        <w:t>48</w:t>
      </w:r>
      <w:r>
        <w:rPr/>
        <w:t>岁，硕士研究生，最近</w:t>
      </w:r>
      <w:r>
        <w:rPr>
          <w:rFonts w:ascii="Times New Roman" w:hAnsi="Times New Roman" w:cs="Times New Roman" w:eastAsia="Times New Roman" w:hint="default"/>
        </w:rPr>
        <w:t>5</w:t>
      </w:r>
      <w:r>
        <w:rPr/>
        <w:t>年一直担任本公司董事、市场部经理。 徐德力先生：中国国籍，现年</w:t>
      </w:r>
      <w:r>
        <w:rPr>
          <w:rFonts w:ascii="Times New Roman" w:hAnsi="Times New Roman" w:cs="Times New Roman" w:eastAsia="Times New Roman" w:hint="default"/>
        </w:rPr>
        <w:t>45</w:t>
      </w:r>
      <w:r>
        <w:rPr/>
        <w:t>岁，硕士研究生，最近</w:t>
      </w:r>
      <w:r>
        <w:rPr>
          <w:rFonts w:ascii="Times New Roman" w:hAnsi="Times New Roman" w:cs="Times New Roman" w:eastAsia="Times New Roman" w:hint="default"/>
        </w:rPr>
        <w:t>5</w:t>
      </w:r>
      <w:r>
        <w:rPr/>
        <w:t>年一直在本公司工作，现任本公司董事、副总经理。 林中先生：中国国籍，现年</w:t>
      </w:r>
      <w:r>
        <w:rPr>
          <w:rFonts w:ascii="Times New Roman" w:hAnsi="Times New Roman" w:cs="Times New Roman" w:eastAsia="Times New Roman" w:hint="default"/>
        </w:rPr>
        <w:t>58</w:t>
      </w:r>
      <w:r>
        <w:rPr/>
        <w:t>岁，硕士研究生，最近</w:t>
      </w:r>
      <w:r>
        <w:rPr>
          <w:rFonts w:ascii="Times New Roman" w:hAnsi="Times New Roman" w:cs="Times New Roman" w:eastAsia="Times New Roman" w:hint="default"/>
        </w:rPr>
        <w:t>5</w:t>
      </w:r>
      <w:r>
        <w:rPr/>
        <w:t>年一直担任华北计算技术研究所学位委员会副主席，北京汉邦高</w:t>
      </w:r>
    </w:p>
    <w:p>
      <w:pPr>
        <w:pStyle w:val="BodyText"/>
        <w:spacing w:line="240" w:lineRule="auto" w:before="15"/>
        <w:ind w:right="986"/>
        <w:jc w:val="left"/>
      </w:pPr>
      <w:r>
        <w:rPr/>
        <w:t>科数字技术股份有限公司独立董事。</w:t>
      </w:r>
    </w:p>
    <w:p>
      <w:pPr>
        <w:spacing w:line="240" w:lineRule="auto" w:before="0"/>
        <w:rPr>
          <w:rFonts w:ascii="宋体" w:hAnsi="宋体" w:cs="宋体" w:eastAsia="宋体" w:hint="default"/>
          <w:sz w:val="15"/>
          <w:szCs w:val="15"/>
        </w:rPr>
      </w:pPr>
    </w:p>
    <w:p>
      <w:pPr>
        <w:pStyle w:val="BodyText"/>
        <w:spacing w:line="300" w:lineRule="auto"/>
        <w:ind w:right="1196" w:firstLine="288"/>
        <w:jc w:val="left"/>
      </w:pPr>
      <w:r>
        <w:rPr/>
        <w:t>范玉顺先生：中国国籍，现年</w:t>
      </w:r>
      <w:r>
        <w:rPr>
          <w:rFonts w:ascii="Times New Roman" w:hAnsi="Times New Roman" w:cs="Times New Roman" w:eastAsia="Times New Roman" w:hint="default"/>
        </w:rPr>
        <w:t>57</w:t>
      </w:r>
      <w:r>
        <w:rPr/>
        <w:t>岁，博士学历，最近</w:t>
      </w:r>
      <w:r>
        <w:rPr>
          <w:rFonts w:ascii="Times New Roman" w:hAnsi="Times New Roman" w:cs="Times New Roman" w:eastAsia="Times New Roman" w:hint="default"/>
        </w:rPr>
        <w:t>5</w:t>
      </w:r>
      <w:r>
        <w:rPr/>
        <w:t>年一直担任清华大学自动化系教授。现任京北方信息技术股份有 限公司独立董事。新沂农村商业银行独立董事。</w:t>
      </w:r>
    </w:p>
    <w:p>
      <w:pPr>
        <w:pStyle w:val="BodyText"/>
        <w:spacing w:line="309" w:lineRule="auto" w:before="151"/>
        <w:ind w:right="986" w:firstLine="288"/>
        <w:jc w:val="left"/>
      </w:pPr>
      <w:r>
        <w:rPr/>
        <w:t>李燕女士：中国国籍，现年</w:t>
      </w:r>
      <w:r>
        <w:rPr>
          <w:rFonts w:ascii="Times New Roman" w:hAnsi="Times New Roman" w:cs="Times New Roman" w:eastAsia="Times New Roman" w:hint="default"/>
        </w:rPr>
        <w:t>62</w:t>
      </w:r>
      <w:r>
        <w:rPr/>
        <w:t>岁，大学本科，注册会计师（非执业），最近</w:t>
      </w:r>
      <w:r>
        <w:rPr>
          <w:rFonts w:ascii="Times New Roman" w:hAnsi="Times New Roman" w:cs="Times New Roman" w:eastAsia="Times New Roman" w:hint="default"/>
        </w:rPr>
        <w:t>5</w:t>
      </w:r>
      <w:r>
        <w:rPr/>
        <w:t>年一直担任中央财经大学教授，兼任中国 </w:t>
      </w:r>
      <w:r>
        <w:rPr>
          <w:spacing w:val="-2"/>
        </w:rPr>
        <w:t>财政学会理事、中国财税法学研究会理事，中国电影股份有限公司独立董事、中邮创业基金管理股份有限公司独立董事、青</w:t>
      </w:r>
      <w:r>
        <w:rPr>
          <w:spacing w:val="-64"/>
        </w:rPr>
        <w:t> </w:t>
      </w:r>
      <w:r>
        <w:rPr>
          <w:spacing w:val="-64"/>
        </w:rPr>
      </w:r>
      <w:r>
        <w:rPr/>
        <w:t>岛啤酒股份有限公司外部监事。</w:t>
      </w:r>
    </w:p>
    <w:p>
      <w:pPr>
        <w:pStyle w:val="BodyText"/>
        <w:spacing w:line="300" w:lineRule="auto" w:before="144"/>
        <w:ind w:right="986" w:firstLine="288"/>
        <w:jc w:val="left"/>
      </w:pPr>
      <w:r>
        <w:rPr>
          <w:spacing w:val="-1"/>
        </w:rPr>
        <w:t>栾大龙先生：中国国籍，现年</w:t>
      </w:r>
      <w:r>
        <w:rPr>
          <w:rFonts w:ascii="Times New Roman" w:hAnsi="Times New Roman" w:cs="Times New Roman" w:eastAsia="Times New Roman" w:hint="default"/>
          <w:spacing w:val="-1"/>
        </w:rPr>
        <w:t>55</w:t>
      </w:r>
      <w:r>
        <w:rPr>
          <w:spacing w:val="-1"/>
        </w:rPr>
        <w:t>岁，博士学位，曾就任军事科学院研究员，在航天科技控股集团股份有限公司担任独立</w:t>
      </w:r>
      <w:r>
        <w:rPr/>
        <w:t> 董事职务。</w:t>
      </w:r>
    </w:p>
    <w:p>
      <w:pPr>
        <w:pStyle w:val="BodyText"/>
        <w:spacing w:line="300" w:lineRule="auto" w:before="151"/>
        <w:ind w:right="1125" w:firstLine="288"/>
        <w:jc w:val="left"/>
      </w:pPr>
      <w:r>
        <w:rPr>
          <w:spacing w:val="-3"/>
        </w:rPr>
        <w:t>王以朋：中国国籍，现年</w:t>
      </w:r>
      <w:r>
        <w:rPr>
          <w:rFonts w:ascii="Times New Roman" w:hAnsi="Times New Roman" w:cs="Times New Roman" w:eastAsia="Times New Roman" w:hint="default"/>
          <w:spacing w:val="-3"/>
        </w:rPr>
        <w:t>63</w:t>
      </w:r>
      <w:r>
        <w:rPr>
          <w:spacing w:val="-3"/>
        </w:rPr>
        <w:t>岁，大学本科，博士生导师、教授。最近</w:t>
      </w:r>
      <w:r>
        <w:rPr>
          <w:rFonts w:ascii="Times New Roman" w:hAnsi="Times New Roman" w:cs="Times New Roman" w:eastAsia="Times New Roman" w:hint="default"/>
          <w:spacing w:val="-3"/>
        </w:rPr>
        <w:t>5</w:t>
      </w:r>
      <w:r>
        <w:rPr>
          <w:spacing w:val="-3"/>
        </w:rPr>
        <w:t>年一直担任中国医学科学院北京协和医院 </w:t>
      </w:r>
      <w:r>
        <w:rPr>
          <w:rFonts w:ascii="Times New Roman" w:hAnsi="Times New Roman" w:cs="Times New Roman" w:eastAsia="Times New Roman" w:hint="default"/>
        </w:rPr>
        <w:t>WHO</w:t>
      </w:r>
      <w:r>
        <w:rPr>
          <w:rFonts w:ascii="Times New Roman" w:hAnsi="Times New Roman" w:cs="Times New Roman" w:eastAsia="Times New Roman" w:hint="default"/>
          <w:spacing w:val="19"/>
        </w:rPr>
        <w:t> </w:t>
      </w:r>
      <w:r>
        <w:rPr/>
        <w:t>疾 病分类家族中国部主任。</w:t>
      </w:r>
    </w:p>
    <w:p>
      <w:pPr>
        <w:pStyle w:val="BodyText"/>
        <w:spacing w:line="415" w:lineRule="auto" w:before="152"/>
        <w:ind w:left="440" w:right="1916" w:hanging="288"/>
        <w:jc w:val="left"/>
      </w:pPr>
      <w:r>
        <w:rPr>
          <w:rFonts w:ascii="Times New Roman" w:hAnsi="Times New Roman" w:cs="Times New Roman" w:eastAsia="Times New Roman" w:hint="default"/>
          <w:b/>
          <w:bCs/>
        </w:rPr>
        <w:t>2</w:t>
      </w:r>
      <w:r>
        <w:rPr>
          <w:rFonts w:ascii="宋体" w:hAnsi="宋体" w:cs="宋体" w:eastAsia="宋体" w:hint="default"/>
          <w:b/>
          <w:bCs/>
        </w:rPr>
        <w:t>、监事简介</w:t>
      </w:r>
      <w:r>
        <w:rPr>
          <w:rFonts w:ascii="宋体" w:hAnsi="宋体" w:cs="宋体" w:eastAsia="宋体" w:hint="default"/>
          <w:b/>
          <w:bCs/>
          <w:w w:val="99"/>
        </w:rPr>
        <w:t> </w:t>
      </w:r>
      <w:r>
        <w:rPr/>
        <w:t>苏根继先生：中国国籍，现年</w:t>
      </w:r>
      <w:r>
        <w:rPr>
          <w:rFonts w:ascii="Times New Roman" w:hAnsi="Times New Roman" w:cs="Times New Roman" w:eastAsia="Times New Roman" w:hint="default"/>
        </w:rPr>
        <w:t>55</w:t>
      </w:r>
      <w:r>
        <w:rPr/>
        <w:t>岁，大学本科，讲师，最近</w:t>
      </w:r>
      <w:r>
        <w:rPr>
          <w:rFonts w:ascii="Times New Roman" w:hAnsi="Times New Roman" w:cs="Times New Roman" w:eastAsia="Times New Roman" w:hint="default"/>
        </w:rPr>
        <w:t>5</w:t>
      </w:r>
      <w:r>
        <w:rPr/>
        <w:t>年一直担任本公司监事会主席、法律部负责人。 蒋恕慧女士：中国国籍，现年</w:t>
      </w:r>
      <w:r>
        <w:rPr>
          <w:rFonts w:ascii="Times New Roman" w:hAnsi="Times New Roman" w:cs="Times New Roman" w:eastAsia="Times New Roman" w:hint="default"/>
        </w:rPr>
        <w:t>55</w:t>
      </w:r>
      <w:r>
        <w:rPr/>
        <w:t>岁，大学本科，工程师，最近</w:t>
      </w:r>
      <w:r>
        <w:rPr>
          <w:rFonts w:ascii="Times New Roman" w:hAnsi="Times New Roman" w:cs="Times New Roman" w:eastAsia="Times New Roman" w:hint="default"/>
        </w:rPr>
        <w:t>5</w:t>
      </w:r>
      <w:r>
        <w:rPr/>
        <w:t>年一直担任本公司监事、商务部经理。 郭玉杰先生：中国国籍，现年</w:t>
      </w:r>
      <w:r>
        <w:rPr>
          <w:rFonts w:ascii="Times New Roman" w:hAnsi="Times New Roman" w:cs="Times New Roman" w:eastAsia="Times New Roman" w:hint="default"/>
        </w:rPr>
        <w:t>55</w:t>
      </w:r>
      <w:r>
        <w:rPr/>
        <w:t>岁，大学专科，最近</w:t>
      </w:r>
      <w:r>
        <w:rPr>
          <w:rFonts w:ascii="Times New Roman" w:hAnsi="Times New Roman" w:cs="Times New Roman" w:eastAsia="Times New Roman" w:hint="default"/>
        </w:rPr>
        <w:t>5</w:t>
      </w:r>
      <w:r>
        <w:rPr/>
        <w:t>年一直担任本公司监事。</w:t>
      </w:r>
    </w:p>
    <w:p>
      <w:pPr>
        <w:spacing w:line="415" w:lineRule="auto" w:before="37"/>
        <w:ind w:left="440" w:right="3176" w:hanging="28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、高级管理人员简介</w:t>
      </w:r>
      <w:r>
        <w:rPr>
          <w:rFonts w:ascii="宋体" w:hAnsi="宋体" w:cs="宋体" w:eastAsia="宋体" w:hint="default"/>
          <w:b/>
          <w:bCs/>
          <w:w w:val="99"/>
          <w:sz w:val="18"/>
          <w:szCs w:val="18"/>
        </w:rPr>
        <w:t> </w:t>
      </w:r>
      <w:r>
        <w:rPr>
          <w:rFonts w:ascii="宋体" w:hAnsi="宋体" w:cs="宋体" w:eastAsia="宋体" w:hint="default"/>
          <w:sz w:val="18"/>
          <w:szCs w:val="18"/>
        </w:rPr>
        <w:t>金伟先生：中国国籍，现年</w:t>
      </w:r>
      <w:r>
        <w:rPr>
          <w:rFonts w:ascii="Times New Roman" w:hAnsi="Times New Roman" w:cs="Times New Roman" w:eastAsia="Times New Roman" w:hint="default"/>
          <w:sz w:val="18"/>
          <w:szCs w:val="18"/>
        </w:rPr>
        <w:t>62</w:t>
      </w:r>
      <w:r>
        <w:rPr>
          <w:rFonts w:ascii="宋体" w:hAnsi="宋体" w:cs="宋体" w:eastAsia="宋体" w:hint="default"/>
          <w:sz w:val="18"/>
          <w:szCs w:val="18"/>
        </w:rPr>
        <w:t>岁，硕士研究生，工程师，最近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年一直担任本公司副总经理。</w:t>
      </w:r>
    </w:p>
    <w:p>
      <w:pPr>
        <w:pStyle w:val="BodyText"/>
        <w:spacing w:line="240" w:lineRule="auto" w:before="37"/>
        <w:ind w:left="440" w:right="986"/>
        <w:jc w:val="left"/>
      </w:pPr>
      <w:r>
        <w:rPr/>
        <w:t>夏金崇先生：中国国籍，现年</w:t>
      </w:r>
      <w:r>
        <w:rPr>
          <w:rFonts w:ascii="Times New Roman" w:hAnsi="Times New Roman" w:cs="Times New Roman" w:eastAsia="Times New Roman" w:hint="default"/>
        </w:rPr>
        <w:t>55</w:t>
      </w:r>
      <w:r>
        <w:rPr/>
        <w:t>岁，大学本科，工程师，长期从事行业应用软件开发及计算机信息系统集成工作，最近</w:t>
      </w:r>
    </w:p>
    <w:p>
      <w:pPr>
        <w:pStyle w:val="BodyText"/>
        <w:spacing w:line="415" w:lineRule="auto" w:before="62"/>
        <w:ind w:left="440" w:right="986" w:hanging="288"/>
        <w:jc w:val="left"/>
      </w:pPr>
      <w:r>
        <w:rPr>
          <w:rFonts w:ascii="Times New Roman" w:hAnsi="Times New Roman" w:cs="Times New Roman" w:eastAsia="Times New Roman" w:hint="default"/>
        </w:rPr>
        <w:t>5</w:t>
      </w:r>
      <w:r>
        <w:rPr/>
        <w:t>年一直担任本公司副总经理。 林文平先生：中国国籍，现年</w:t>
      </w:r>
      <w:r>
        <w:rPr>
          <w:rFonts w:ascii="Times New Roman" w:hAnsi="Times New Roman" w:cs="Times New Roman" w:eastAsia="Times New Roman" w:hint="default"/>
        </w:rPr>
        <w:t>53</w:t>
      </w:r>
      <w:r>
        <w:rPr/>
        <w:t>岁，硕士研究生，工程师，最近</w:t>
      </w:r>
      <w:r>
        <w:rPr>
          <w:rFonts w:ascii="Times New Roman" w:hAnsi="Times New Roman" w:cs="Times New Roman" w:eastAsia="Times New Roman" w:hint="default"/>
        </w:rPr>
        <w:t>5</w:t>
      </w:r>
      <w:r>
        <w:rPr/>
        <w:t>年一直在本公司工作，现任公司副总经理。</w:t>
      </w:r>
    </w:p>
    <w:p>
      <w:pPr>
        <w:pStyle w:val="BodyText"/>
        <w:spacing w:line="300" w:lineRule="auto" w:before="37"/>
        <w:ind w:right="986" w:firstLine="288"/>
        <w:jc w:val="left"/>
      </w:pPr>
      <w:r>
        <w:rPr>
          <w:spacing w:val="-2"/>
        </w:rPr>
        <w:t>王佺先生：中国国籍，现年</w:t>
      </w:r>
      <w:r>
        <w:rPr>
          <w:rFonts w:ascii="Times New Roman" w:hAnsi="Times New Roman" w:cs="Times New Roman" w:eastAsia="Times New Roman" w:hint="default"/>
          <w:spacing w:val="-2"/>
        </w:rPr>
        <w:t>45</w:t>
      </w:r>
      <w:r>
        <w:rPr>
          <w:spacing w:val="-2"/>
        </w:rPr>
        <w:t>岁，</w:t>
      </w:r>
      <w:r>
        <w:rPr>
          <w:rFonts w:ascii="Times New Roman" w:hAnsi="Times New Roman" w:cs="Times New Roman" w:eastAsia="Times New Roman" w:hint="default"/>
          <w:spacing w:val="-2"/>
        </w:rPr>
        <w:t>EMBA</w:t>
      </w:r>
      <w:r>
        <w:rPr>
          <w:spacing w:val="-2"/>
        </w:rPr>
        <w:t>学位，最近</w:t>
      </w:r>
      <w:r>
        <w:rPr>
          <w:rFonts w:ascii="Times New Roman" w:hAnsi="Times New Roman" w:cs="Times New Roman" w:eastAsia="Times New Roman" w:hint="default"/>
          <w:spacing w:val="-2"/>
        </w:rPr>
        <w:t>5</w:t>
      </w:r>
      <w:r>
        <w:rPr>
          <w:spacing w:val="-2"/>
        </w:rPr>
        <w:t>年一直担任北京神州新桥科技有限公司副总裁，现任本公司副总经</w:t>
      </w:r>
      <w:r>
        <w:rPr/>
        <w:t> 理。</w:t>
      </w:r>
    </w:p>
    <w:p>
      <w:pPr>
        <w:pStyle w:val="BodyText"/>
        <w:spacing w:line="300" w:lineRule="auto" w:before="151"/>
        <w:ind w:right="1196" w:firstLine="288"/>
        <w:jc w:val="left"/>
      </w:pPr>
      <w:r>
        <w:rPr/>
        <w:t>韩士斌先生：中国国籍，现年</w:t>
      </w:r>
      <w:r>
        <w:rPr>
          <w:rFonts w:ascii="Times New Roman" w:hAnsi="Times New Roman" w:cs="Times New Roman" w:eastAsia="Times New Roman" w:hint="default"/>
        </w:rPr>
        <w:t>53</w:t>
      </w:r>
      <w:r>
        <w:rPr/>
        <w:t>岁，硕士研究生，工程师，最近</w:t>
      </w:r>
      <w:r>
        <w:rPr>
          <w:rFonts w:ascii="Times New Roman" w:hAnsi="Times New Roman" w:cs="Times New Roman" w:eastAsia="Times New Roman" w:hint="default"/>
        </w:rPr>
        <w:t>5</w:t>
      </w:r>
      <w:r>
        <w:rPr/>
        <w:t>年一直在本公司工作，现任本公司副总经理、医疗卫 生事业部总经理。</w:t>
      </w:r>
    </w:p>
    <w:p>
      <w:pPr>
        <w:pStyle w:val="BodyText"/>
        <w:spacing w:line="415" w:lineRule="auto" w:before="151"/>
        <w:ind w:left="440" w:right="986"/>
        <w:jc w:val="left"/>
      </w:pPr>
      <w:r>
        <w:rPr>
          <w:spacing w:val="-1"/>
        </w:rPr>
        <w:t>董国勇先生：中国国籍，现年</w:t>
      </w:r>
      <w:r>
        <w:rPr>
          <w:rFonts w:ascii="Times New Roman" w:hAnsi="Times New Roman" w:cs="Times New Roman" w:eastAsia="Times New Roman" w:hint="default"/>
          <w:spacing w:val="-1"/>
        </w:rPr>
        <w:t>46</w:t>
      </w:r>
      <w:r>
        <w:rPr>
          <w:spacing w:val="-1"/>
        </w:rPr>
        <w:t>岁，大学本科，最近</w:t>
      </w:r>
      <w:r>
        <w:rPr>
          <w:rFonts w:ascii="Times New Roman" w:hAnsi="Times New Roman" w:cs="Times New Roman" w:eastAsia="Times New Roman" w:hint="default"/>
          <w:spacing w:val="-1"/>
        </w:rPr>
        <w:t>5</w:t>
      </w:r>
      <w:r>
        <w:rPr>
          <w:spacing w:val="-1"/>
        </w:rPr>
        <w:t>年一直在本公司工作，现任本公司副总经理、金融事业部总经理。</w:t>
      </w:r>
      <w:r>
        <w:rPr>
          <w:spacing w:val="-52"/>
        </w:rPr>
        <w:t> </w:t>
      </w:r>
      <w:r>
        <w:rPr>
          <w:spacing w:val="-52"/>
        </w:rPr>
      </w:r>
      <w:r>
        <w:rPr/>
        <w:t>阮晋先生：中国国籍，现年</w:t>
      </w:r>
      <w:r>
        <w:rPr>
          <w:rFonts w:ascii="Times New Roman" w:hAnsi="Times New Roman" w:cs="Times New Roman" w:eastAsia="Times New Roman" w:hint="default"/>
        </w:rPr>
        <w:t>46</w:t>
      </w:r>
      <w:r>
        <w:rPr/>
        <w:t>岁，</w:t>
      </w:r>
      <w:r>
        <w:rPr>
          <w:rFonts w:ascii="Times New Roman" w:hAnsi="Times New Roman" w:cs="Times New Roman" w:eastAsia="Times New Roman" w:hint="default"/>
        </w:rPr>
        <w:t>EMBA</w:t>
      </w:r>
      <w:r>
        <w:rPr/>
        <w:t>学位，最近</w:t>
      </w:r>
      <w:r>
        <w:rPr>
          <w:rFonts w:ascii="Times New Roman" w:hAnsi="Times New Roman" w:cs="Times New Roman" w:eastAsia="Times New Roman" w:hint="default"/>
        </w:rPr>
        <w:t>5</w:t>
      </w:r>
      <w:r>
        <w:rPr/>
        <w:t>年一直在本公司工作，现任本公司副总经理。 叶莉女士：中国国籍，现年</w:t>
      </w:r>
      <w:r>
        <w:rPr>
          <w:rFonts w:ascii="Times New Roman" w:hAnsi="Times New Roman" w:cs="Times New Roman" w:eastAsia="Times New Roman" w:hint="default"/>
        </w:rPr>
        <w:t>46</w:t>
      </w:r>
      <w:r>
        <w:rPr/>
        <w:t>岁，硕士研究生，最近</w:t>
      </w:r>
      <w:r>
        <w:rPr>
          <w:rFonts w:ascii="Times New Roman" w:hAnsi="Times New Roman" w:cs="Times New Roman" w:eastAsia="Times New Roman" w:hint="default"/>
        </w:rPr>
        <w:t>5</w:t>
      </w:r>
      <w:r>
        <w:rPr/>
        <w:t>年一直在本公司工作，现任本公司财务总监。</w:t>
      </w:r>
    </w:p>
    <w:p>
      <w:pPr>
        <w:spacing w:after="0" w:line="415"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415" w:lineRule="auto" w:before="44"/>
        <w:ind w:left="440" w:right="3012"/>
        <w:jc w:val="both"/>
      </w:pPr>
      <w:r>
        <w:rPr/>
        <w:t>侯志国先生：中国国籍，现年</w:t>
      </w:r>
      <w:r>
        <w:rPr>
          <w:rFonts w:ascii="Times New Roman" w:hAnsi="Times New Roman" w:cs="Times New Roman" w:eastAsia="Times New Roman" w:hint="default"/>
        </w:rPr>
        <w:t>41</w:t>
      </w:r>
      <w:r>
        <w:rPr/>
        <w:t>岁，本科，最近</w:t>
      </w:r>
      <w:r>
        <w:rPr>
          <w:rFonts w:ascii="Times New Roman" w:hAnsi="Times New Roman" w:cs="Times New Roman" w:eastAsia="Times New Roman" w:hint="default"/>
        </w:rPr>
        <w:t>5</w:t>
      </w:r>
      <w:r>
        <w:rPr/>
        <w:t>年一直在本公司工作，现任本公司副总经理。 尹继南先生：中国国籍，现年</w:t>
      </w:r>
      <w:r>
        <w:rPr>
          <w:rFonts w:ascii="Times New Roman" w:hAnsi="Times New Roman" w:cs="Times New Roman" w:eastAsia="Times New Roman" w:hint="default"/>
        </w:rPr>
        <w:t>43</w:t>
      </w:r>
      <w:r>
        <w:rPr/>
        <w:t>岁，本科，最近</w:t>
      </w:r>
      <w:r>
        <w:rPr>
          <w:rFonts w:ascii="Times New Roman" w:hAnsi="Times New Roman" w:cs="Times New Roman" w:eastAsia="Times New Roman" w:hint="default"/>
        </w:rPr>
        <w:t>5</w:t>
      </w:r>
      <w:r>
        <w:rPr/>
        <w:t>年一直在本公司工作，现任本公司副总经理。 任安彪先生：中国国籍，现年</w:t>
      </w:r>
      <w:r>
        <w:rPr>
          <w:rFonts w:ascii="Times New Roman" w:hAnsi="Times New Roman" w:cs="Times New Roman" w:eastAsia="Times New Roman" w:hint="default"/>
        </w:rPr>
        <w:t>45</w:t>
      </w:r>
      <w:r>
        <w:rPr/>
        <w:t>岁，本科，最近</w:t>
      </w:r>
      <w:r>
        <w:rPr>
          <w:rFonts w:ascii="Times New Roman" w:hAnsi="Times New Roman" w:cs="Times New Roman" w:eastAsia="Times New Roman" w:hint="default"/>
        </w:rPr>
        <w:t>5</w:t>
      </w:r>
      <w:r>
        <w:rPr/>
        <w:t>年一直在本公司工作，现任本公司副总经理。</w:t>
      </w:r>
    </w:p>
    <w:p>
      <w:pPr>
        <w:pStyle w:val="BodyText"/>
        <w:spacing w:line="240" w:lineRule="auto" w:before="37"/>
        <w:ind w:right="986"/>
        <w:jc w:val="left"/>
      </w:pPr>
      <w:r>
        <w:rPr/>
        <w:t>在股东单位任职情况</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17"/>
        <w:gridCol w:w="3036"/>
        <w:gridCol w:w="991"/>
        <w:gridCol w:w="1560"/>
        <w:gridCol w:w="1279"/>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薛向东先生最近五年一直担任本公司董事长，除此之外现任本公司控股股东北京东华诚信电脑科技发展有 限公司董事。</w:t>
            </w:r>
          </w:p>
        </w:tc>
      </w:tr>
    </w:tbl>
    <w:p>
      <w:pPr>
        <w:pStyle w:val="BodyText"/>
        <w:spacing w:line="240" w:lineRule="auto" w:before="51"/>
        <w:ind w:right="986"/>
        <w:jc w:val="left"/>
      </w:pPr>
      <w:r>
        <w:rPr/>
        <w:t>在其他单位任职情况</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3401"/>
        <w:gridCol w:w="1418"/>
        <w:gridCol w:w="1159"/>
        <w:gridCol w:w="1361"/>
        <w:gridCol w:w="1375"/>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4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34"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即墨东华软件有限公司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401"/>
        <w:gridCol w:w="1418"/>
        <w:gridCol w:w="1159"/>
        <w:gridCol w:w="1361"/>
        <w:gridCol w:w="1375"/>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大同东华软件有限公司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北京华康诚信医疗科技有限公司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北京岳麓京华信息咨询服务有限公司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东华软件股份公司上海分公司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泰安东华服饰材料有限公司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嘉兴中发恒博电子科技有限公司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湖北华中大数据交易股份有限公司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北京国能智研信息科技有限公司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北京冠瑞通电子商务科技股份有限公司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北京中关村银行股份有限公司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雄安东华全球软件研发有限公司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东华智慧视频技术有限公司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东华时尚服饰有限公司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北京东华中企会智慧城市科技有限公司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瑞客东华转化医学研究中心有限公司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东华健康乐互联网医院有限公司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韩士斌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成都天府银华科技有限责任公司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董国勇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董国勇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401"/>
        <w:gridCol w:w="1418"/>
        <w:gridCol w:w="1159"/>
        <w:gridCol w:w="1361"/>
        <w:gridCol w:w="1375"/>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董国勇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董国勇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东华智融股份有限公司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尹继南</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广西东华云数据信息技术有限公司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广州神州新桥科技发展有限公司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南通东华软件有限公司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侯志国</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东华软件智能科技有限公司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内蒙古合创信息技术有限公司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东华博雅软件股份有限公司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贵州东华云数据科技有限责任公司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东华软件智能科技有限公司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华北计算技术研究所科技委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学位委员会副主 席</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1.680298pt;margin-top:679.679993pt;width:109.95pt;height:35.2pt;mso-position-horizontal-relative:page;mso-position-vertical-relative:page;z-index:-943696"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93.800003pt;margin-top:679.679993pt;width:67.8pt;height:35.2pt;mso-position-horizontal-relative:page;mso-position-vertical-relative:page;z-index:-943672" coordorigin="3876,13594" coordsize="1356,704">
            <v:group style="position:absolute;left:3876;top:13594;width:1356;height:704" coordorigin="3876,13594" coordsize="1356,704">
              <v:shape style="position:absolute;left:3876;top:13594;width:1356;height:704" coordorigin="3876,13594" coordsize="1356,704" path="m3876,14297l5232,14297,5232,13594,3876,13594,3876,14297xe" filled="true" fillcolor="#ffffff" stroked="false">
                <v:path arrowok="t"/>
                <v:fill type="solid"/>
              </v:shape>
            </v:group>
            <v:group style="position:absolute;left:3898;top:13750;width:1311;height:392" coordorigin="3898,13750" coordsize="1311,392">
              <v:shape style="position:absolute;left:3898;top:13750;width:1311;height:392" coordorigin="3898,13750" coordsize="1311,392" path="m3898,14141l5208,14141,5208,13750,3898,13750,3898,1414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401"/>
        <w:gridCol w:w="1418"/>
        <w:gridCol w:w="1159"/>
        <w:gridCol w:w="1361"/>
        <w:gridCol w:w="1375"/>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北京汉邦高科数字技术股份有限公司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中国财政学会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中国财税法学会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全国政府预算研究会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北京市人大常委会预算监督顾问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中国电影股份有限公司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中邮创业基金管理股份有限公司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青岛啤酒股份有限公司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范玉顺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京北方信息技术股份有限公司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范玉顺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新沂农村商业银行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范玉顺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清华大学自动化系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栾大龙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苏州瑞可达连接系统股份有限公司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栾大龙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航天科技控股集团股份有限公司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986"/>
        <w:jc w:val="left"/>
      </w:pPr>
      <w:r>
        <w:rPr/>
        <w:t>公司现任及报告期内离任董事、监事和高级管理人员近三年证券监管机构处罚的情况</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董事、监事、高级管理人员报酬的决策程序、确定依据、实际支付情况</w:t>
      </w:r>
    </w:p>
    <w:p>
      <w:pPr>
        <w:pStyle w:val="BodyText"/>
        <w:spacing w:line="300" w:lineRule="auto" w:before="117"/>
        <w:ind w:right="1124" w:firstLine="360"/>
        <w:jc w:val="left"/>
      </w:pPr>
      <w:r>
        <w:rPr>
          <w:rFonts w:ascii="Times New Roman" w:hAnsi="Times New Roman" w:cs="Times New Roman" w:eastAsia="Times New Roman" w:hint="default"/>
        </w:rPr>
        <w:t>1</w:t>
      </w:r>
      <w:r>
        <w:rPr/>
        <w:t>、董事、监事、高级管理人员报酬的决策程序：董事、监事的津贴根据股东大会决议确定。薪酬与考核委员会是董事 会按照股东大会决议设立的专门工作机构，负责对董事会与高级管理人员的考核和薪酬进行审查，并提出意见和建议。</w:t>
      </w:r>
    </w:p>
    <w:p>
      <w:pPr>
        <w:pStyle w:val="BodyText"/>
        <w:spacing w:line="300" w:lineRule="auto" w:before="31"/>
        <w:ind w:right="1124" w:firstLine="360"/>
        <w:jc w:val="left"/>
      </w:pPr>
      <w:r>
        <w:rPr>
          <w:rFonts w:ascii="Times New Roman" w:hAnsi="Times New Roman" w:cs="Times New Roman" w:eastAsia="Times New Roman" w:hint="default"/>
        </w:rPr>
        <w:t>2</w:t>
      </w:r>
      <w:r>
        <w:rPr/>
        <w:t>、董事、监事、高级管理人员报酬确定依据：在公司任职的董事、监事、高级管理人员按照其行政职务根据公司现行 的工资制度领取报酬，年底根据经营业绩，按照绩效考核体系对高级管理人员进行考评，根据考评结果确定其年终奖金。</w:t>
      </w:r>
    </w:p>
    <w:p>
      <w:pPr>
        <w:pStyle w:val="BodyText"/>
        <w:spacing w:line="300" w:lineRule="auto" w:before="31"/>
        <w:ind w:right="1124" w:firstLine="360"/>
        <w:jc w:val="left"/>
      </w:pPr>
      <w:r>
        <w:rPr>
          <w:rFonts w:ascii="Times New Roman" w:hAnsi="Times New Roman" w:cs="Times New Roman" w:eastAsia="Times New Roman" w:hint="default"/>
        </w:rPr>
        <w:t>3</w:t>
      </w:r>
      <w:r>
        <w:rPr/>
        <w:t>、董事、监事、高级管理人员报酬的实际支付情况：公司严格按照董事、监事、高级管理人员薪酬的决策程序与确定 依据按月支付薪酬。</w:t>
      </w:r>
    </w:p>
    <w:p>
      <w:pPr>
        <w:pStyle w:val="BodyText"/>
        <w:spacing w:line="240" w:lineRule="auto" w:before="72"/>
        <w:ind w:right="986"/>
        <w:jc w:val="left"/>
      </w:pPr>
      <w:r>
        <w:rPr/>
        <w:t>公司报告期内董事、监事和高级管理人员报酬情况</w:t>
      </w:r>
    </w:p>
    <w:p>
      <w:pPr>
        <w:pStyle w:val="BodyText"/>
        <w:spacing w:line="240" w:lineRule="auto" w:before="115"/>
        <w:ind w:left="0" w:right="113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李建国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31"/>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郑晓清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徐德力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3"/>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范玉顺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栾大龙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王以朋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苏根继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蒋恕慧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郭玉杰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夏金崇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林文平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刘志华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韩士斌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董国勇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3"/>
              <w:jc w:val="right"/>
              <w:rPr>
                <w:rFonts w:ascii="宋体" w:hAnsi="宋体" w:cs="宋体" w:eastAsia="宋体" w:hint="default"/>
                <w:sz w:val="18"/>
                <w:szCs w:val="18"/>
              </w:rPr>
            </w:pPr>
            <w:r>
              <w:rPr>
                <w:rFonts w:ascii="宋体" w:hAnsi="宋体" w:cs="宋体" w:eastAsia="宋体" w:hint="default"/>
                <w:sz w:val="18"/>
                <w:szCs w:val="18"/>
              </w:rPr>
              <w:t>阮 </w:t>
            </w:r>
            <w:r>
              <w:rPr>
                <w:rFonts w:ascii="宋体" w:hAnsi="宋体" w:cs="宋体" w:eastAsia="宋体" w:hint="default"/>
                <w:spacing w:val="2"/>
                <w:sz w:val="18"/>
                <w:szCs w:val="18"/>
              </w:rPr>
              <w:t> </w:t>
            </w:r>
            <w:r>
              <w:rPr>
                <w:rFonts w:ascii="宋体" w:hAnsi="宋体" w:cs="宋体" w:eastAsia="宋体" w:hint="default"/>
                <w:sz w:val="18"/>
                <w:szCs w:val="18"/>
              </w:rPr>
              <w:t>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2"/>
                <w:sz w:val="18"/>
                <w:szCs w:val="18"/>
              </w:rPr>
              <w:t> </w:t>
            </w:r>
            <w:r>
              <w:rPr>
                <w:rFonts w:ascii="宋体" w:hAnsi="宋体" w:cs="宋体" w:eastAsia="宋体" w:hint="default"/>
                <w:sz w:val="18"/>
                <w:szCs w:val="18"/>
              </w:rPr>
              <w:t>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侯志国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尹继南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任安彪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6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1,007.49</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86"/>
        <w:jc w:val="left"/>
      </w:pPr>
      <w:r>
        <w:rPr/>
        <w:t>公司董事、高级管理人员报告期内被授予的股权激励情况</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5,597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8,044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8,044</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6,515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8,044</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1,122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6,083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776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8,044</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spacing w:val="-2"/>
        </w:rPr>
        <w:t>公司严格按照《中华人民共和国劳动合同法》和相关法律法规的规定，公司根据行业薪酬状况以及公司薪酬在市场中的</w:t>
      </w:r>
      <w:r>
        <w:rPr/>
        <w:t> 定位，与员工签订劳动合同，按照国家规定为员工缴纳医疗保险金、养老保险、失业保险、工伤保险、生育保险、公积金。 </w:t>
      </w:r>
      <w:r>
        <w:rPr>
          <w:spacing w:val="-2"/>
        </w:rPr>
        <w:t>同时，公司通过员工持股计划的实施，进一步调动管理者和核心员工的工作积极性，对吸引和保留优秀管理人才和核心员工</w:t>
      </w:r>
      <w:r>
        <w:rPr>
          <w:spacing w:val="-63"/>
        </w:rPr>
        <w:t> </w:t>
      </w:r>
      <w:r>
        <w:rPr>
          <w:spacing w:val="-63"/>
        </w:rPr>
      </w:r>
      <w:r>
        <w:rPr/>
        <w:t>起到积极的促进作用。通过激励机制的不断完善，有效的促进了公司持续健康发展、完善了公司法人治理结构。</w:t>
      </w:r>
    </w:p>
    <w:p>
      <w:pPr>
        <w:pStyle w:val="BodyText"/>
        <w:spacing w:line="240" w:lineRule="auto" w:before="59"/>
        <w:ind w:right="98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公司十分注重人才的培养和储备，积极寻求各种培训资源和渠道，搭建完善的培训体系，结合发展状况、岗位要求、企</w:t>
      </w:r>
      <w:r>
        <w:rPr/>
        <w:t> </w:t>
      </w:r>
      <w:r>
        <w:rPr>
          <w:spacing w:val="-2"/>
        </w:rPr>
        <w:t>业文化及个人职业发展建立了分级培训计划，采取现场培训和网络培训相结合的方式，进行定期或不定期的培训，有效地提</w:t>
      </w:r>
      <w:r>
        <w:rPr>
          <w:spacing w:val="-63"/>
        </w:rPr>
        <w:t> </w:t>
      </w:r>
      <w:r>
        <w:rPr>
          <w:spacing w:val="-63"/>
        </w:rPr>
      </w:r>
      <w:r>
        <w:rPr/>
        <w:t>高了员工的整体素质和企业的经营管理水平，为公司发展储备人力资源。</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4"/>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30"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圳证券交易所中小企业板上市公司规范运作指引》及中国证监会有关法律法规的要求，不断完善公司治理结构，建立健全内</w:t>
      </w:r>
      <w:r>
        <w:rPr>
          <w:spacing w:val="-63"/>
        </w:rPr>
        <w:t> </w:t>
      </w:r>
      <w:r>
        <w:rPr>
          <w:spacing w:val="-63"/>
        </w:rPr>
      </w:r>
      <w:r>
        <w:rPr>
          <w:spacing w:val="-2"/>
        </w:rPr>
        <w:t>部管理和控制制度，持续深入开展公司治理活动，规范公司运作，提高公司治理水平。公司在实际运作中没有违反相关规定</w:t>
      </w:r>
      <w:r>
        <w:rPr>
          <w:spacing w:val="-64"/>
        </w:rPr>
        <w:t> </w:t>
      </w:r>
      <w:r>
        <w:rPr>
          <w:spacing w:val="-64"/>
        </w:rPr>
      </w:r>
      <w:r>
        <w:rPr>
          <w:spacing w:val="-5"/>
        </w:rPr>
        <w:t>或与相关规定不一致的情况，公司治理基本符合相关法律法规和规范性文件的要求。报告期内，公司严格按照《章程》、《董</w:t>
      </w:r>
      <w:r>
        <w:rPr>
          <w:spacing w:val="-82"/>
        </w:rPr>
        <w:t> </w:t>
      </w:r>
      <w:r>
        <w:rPr>
          <w:spacing w:val="-82"/>
        </w:rPr>
      </w:r>
      <w:r>
        <w:rPr/>
        <w:t>事会议事规则》、《监事会议事规则》规定，召开了</w:t>
      </w:r>
      <w:r>
        <w:rPr>
          <w:rFonts w:ascii="Times New Roman" w:hAnsi="Times New Roman" w:cs="Times New Roman" w:eastAsia="Times New Roman" w:hint="default"/>
        </w:rPr>
        <w:t>5</w:t>
      </w:r>
      <w:r>
        <w:rPr/>
        <w:t>次股东大会，</w:t>
      </w:r>
      <w:r>
        <w:rPr>
          <w:rFonts w:ascii="Times New Roman" w:hAnsi="Times New Roman" w:cs="Times New Roman" w:eastAsia="Times New Roman" w:hint="default"/>
        </w:rPr>
        <w:t>9</w:t>
      </w:r>
      <w:r>
        <w:rPr/>
        <w:t>次董事会会议，</w:t>
      </w:r>
      <w:r>
        <w:rPr>
          <w:rFonts w:ascii="Times New Roman" w:hAnsi="Times New Roman" w:cs="Times New Roman" w:eastAsia="Times New Roman" w:hint="default"/>
        </w:rPr>
        <w:t>4</w:t>
      </w:r>
      <w:r>
        <w:rPr/>
        <w:t>次监事会会议，各会议召开运行合法 有效。截止报告期末，公司治理实际情况基本符合中国证监会、深交所发布的有关上市公司治理的规范性文件的要求。</w:t>
      </w:r>
    </w:p>
    <w:p>
      <w:pPr>
        <w:spacing w:line="468" w:lineRule="exact" w:before="12"/>
        <w:ind w:left="512" w:right="986"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、公司治理制度的建立情况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报告期内，公司不断建立、健全各项公司治理制度，目前已涵盖经营管理、财务、信息披露、内部审计、对外投资等各</w:t>
      </w:r>
    </w:p>
    <w:p>
      <w:pPr>
        <w:pStyle w:val="BodyText"/>
        <w:spacing w:line="240" w:lineRule="auto" w:before="8"/>
        <w:ind w:right="0"/>
        <w:jc w:val="both"/>
      </w:pPr>
      <w:r>
        <w:rPr/>
        <w:t>个方面，为公司的规范运作与健康发展提供了良好的制度保障。</w:t>
      </w:r>
    </w:p>
    <w:p>
      <w:pPr>
        <w:pStyle w:val="BodyText"/>
        <w:spacing w:line="450" w:lineRule="atLeast" w:before="31"/>
        <w:ind w:left="512" w:right="986" w:firstLine="2"/>
        <w:jc w:val="left"/>
      </w:pPr>
      <w:r>
        <w:rPr>
          <w:rFonts w:ascii="Times New Roman" w:hAnsi="Times New Roman" w:cs="Times New Roman" w:eastAsia="Times New Roman" w:hint="default"/>
          <w:b/>
          <w:bCs/>
        </w:rPr>
        <w:t>2</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公司严格按照《公司法》、《上市公司股东大会规范意见》、《公司章程》、《股东大会议事规则》的规定和要求，召</w:t>
      </w:r>
    </w:p>
    <w:p>
      <w:pPr>
        <w:pStyle w:val="BodyText"/>
        <w:spacing w:line="316" w:lineRule="auto" w:before="76"/>
        <w:ind w:right="1135"/>
        <w:jc w:val="both"/>
      </w:pPr>
      <w:r>
        <w:rPr>
          <w:spacing w:val="-2"/>
        </w:rPr>
        <w:t>集、召开股东大会，规范表决程序，并通过聘请律师见证，保证会议的合法性。确保全体股东特别是中小股东享有平等地位</w:t>
      </w:r>
      <w:r>
        <w:rPr>
          <w:spacing w:val="-67"/>
        </w:rPr>
        <w:t> </w:t>
      </w:r>
      <w:r>
        <w:rPr>
          <w:spacing w:val="-67"/>
        </w:rPr>
      </w:r>
      <w:r>
        <w:rPr/>
        <w:t>和权利，并承担相应的义务，充分保护股东的合法权益，充分行使自己的权利。</w:t>
      </w:r>
    </w:p>
    <w:p>
      <w:pPr>
        <w:pStyle w:val="BodyText"/>
        <w:spacing w:line="468" w:lineRule="exact" w:before="11"/>
        <w:ind w:left="512" w:right="986" w:firstLine="2"/>
        <w:jc w:val="left"/>
      </w:pPr>
      <w:r>
        <w:rPr>
          <w:rFonts w:ascii="Times New Roman" w:hAnsi="Times New Roman" w:cs="Times New Roman" w:eastAsia="Times New Roman" w:hint="default"/>
          <w:b/>
          <w:bCs/>
        </w:rPr>
        <w:t>3</w:t>
      </w:r>
      <w:r>
        <w:rPr>
          <w:rFonts w:ascii="宋体" w:hAnsi="宋体" w:cs="宋体" w:eastAsia="宋体" w:hint="default"/>
          <w:b/>
          <w:bCs/>
        </w:rPr>
        <w:t>、关于公司与控股股东</w:t>
      </w:r>
      <w:r>
        <w:rPr>
          <w:rFonts w:ascii="宋体" w:hAnsi="宋体" w:cs="宋体" w:eastAsia="宋体" w:hint="default"/>
          <w:b/>
          <w:bCs/>
          <w:w w:val="99"/>
        </w:rPr>
        <w:t> </w:t>
      </w:r>
      <w:r>
        <w:rPr>
          <w:spacing w:val="-2"/>
        </w:rPr>
        <w:t>本公司按照《公司法》、《证券法》、《公司章程》及证券监管部门的有关规定正确处理与控股股东的关系。本公司控</w:t>
      </w:r>
    </w:p>
    <w:p>
      <w:pPr>
        <w:pStyle w:val="BodyText"/>
        <w:spacing w:line="316" w:lineRule="auto" w:before="8"/>
        <w:ind w:right="1133"/>
        <w:jc w:val="both"/>
      </w:pPr>
      <w:r>
        <w:rPr>
          <w:spacing w:val="-2"/>
        </w:rPr>
        <w:t>股股东依法行使其权利并承担相应义务，无占用公司资金、超越股东大会授权范围行使职权、直接或间接干预本公司的决策</w:t>
      </w:r>
      <w:r>
        <w:rPr>
          <w:spacing w:val="-65"/>
        </w:rPr>
        <w:t> </w:t>
      </w:r>
      <w:r>
        <w:rPr>
          <w:spacing w:val="-65"/>
        </w:rPr>
      </w:r>
      <w:r>
        <w:rPr>
          <w:spacing w:val="-2"/>
        </w:rPr>
        <w:t>和生产经营活动的情形。本公司具有自主经营能力，在业务、人员、资金、财务等方面均独立于控股股东，公司董事会、监</w:t>
      </w:r>
      <w:r>
        <w:rPr>
          <w:spacing w:val="-66"/>
        </w:rPr>
        <w:t> </w:t>
      </w:r>
      <w:r>
        <w:rPr>
          <w:spacing w:val="-66"/>
        </w:rPr>
      </w:r>
      <w:r>
        <w:rPr/>
        <w:t>事会和内部机构能够按照各自的议事规则和规章制度独立运作，各司其职。</w:t>
      </w:r>
    </w:p>
    <w:p>
      <w:pPr>
        <w:pStyle w:val="BodyText"/>
        <w:spacing w:line="468" w:lineRule="exact" w:before="11"/>
        <w:ind w:left="512" w:right="986" w:firstLine="2"/>
        <w:jc w:val="left"/>
      </w:pPr>
      <w:r>
        <w:rPr>
          <w:rFonts w:ascii="Times New Roman" w:hAnsi="Times New Roman" w:cs="Times New Roman" w:eastAsia="Times New Roman" w:hint="default"/>
          <w:b/>
          <w:bCs/>
        </w:rPr>
        <w:t>4</w:t>
      </w:r>
      <w:r>
        <w:rPr>
          <w:rFonts w:ascii="宋体" w:hAnsi="宋体" w:cs="宋体" w:eastAsia="宋体" w:hint="default"/>
          <w:b/>
          <w:bCs/>
        </w:rPr>
        <w:t>、关于董事与董事会</w:t>
      </w:r>
      <w:r>
        <w:rPr>
          <w:rFonts w:ascii="宋体" w:hAnsi="宋体" w:cs="宋体" w:eastAsia="宋体" w:hint="default"/>
          <w:b/>
          <w:bCs/>
          <w:w w:val="99"/>
        </w:rPr>
        <w:t> </w:t>
      </w:r>
      <w:r>
        <w:rPr>
          <w:spacing w:val="-2"/>
        </w:rPr>
        <w:t>公司董事能够依据《中小企业板块上市公司董事行为指引》、《董事会议事规则》开展工作，认真出席相关会议，积极</w:t>
      </w:r>
    </w:p>
    <w:p>
      <w:pPr>
        <w:pStyle w:val="BodyText"/>
        <w:spacing w:line="300" w:lineRule="auto" w:before="8"/>
        <w:ind w:right="1135"/>
        <w:jc w:val="both"/>
      </w:pPr>
      <w:r>
        <w:rPr>
          <w:spacing w:val="-2"/>
        </w:rPr>
        <w:t>参加培训，熟悉有关法律法规。公司严格按照《公司章程》规定的选聘程序选举董事，公司目前有董事</w:t>
      </w:r>
      <w:r>
        <w:rPr>
          <w:rFonts w:ascii="Times New Roman" w:hAnsi="Times New Roman" w:cs="Times New Roman" w:eastAsia="Times New Roman" w:hint="default"/>
          <w:spacing w:val="-2"/>
        </w:rPr>
        <w:t>11</w:t>
      </w:r>
      <w:r>
        <w:rPr>
          <w:spacing w:val="-2"/>
        </w:rPr>
        <w:t>名，其中独立董事</w:t>
      </w:r>
      <w:r>
        <w:rPr>
          <w:spacing w:val="-68"/>
        </w:rPr>
        <w:t> </w:t>
      </w:r>
      <w:r>
        <w:rPr>
          <w:spacing w:val="-68"/>
        </w:rPr>
      </w:r>
      <w:r>
        <w:rPr>
          <w:rFonts w:ascii="Times New Roman" w:hAnsi="Times New Roman" w:cs="Times New Roman" w:eastAsia="Times New Roman" w:hint="default"/>
        </w:rPr>
        <w:t>5</w:t>
      </w:r>
      <w:r>
        <w:rPr/>
        <w:t>名，董事会的人员构成符合法律法规和《公司章程》的要求。独立董事按照《独立董事工作细则》等制度规定独立履行职 责，出席公司董事会、股东大会，对公司重大事项发表独立意见，保证了公司的规范运作。</w:t>
      </w:r>
    </w:p>
    <w:p>
      <w:pPr>
        <w:pStyle w:val="BodyText"/>
        <w:spacing w:line="468" w:lineRule="exact" w:before="23"/>
        <w:ind w:left="512" w:right="986" w:firstLine="2"/>
        <w:jc w:val="left"/>
      </w:pPr>
      <w:r>
        <w:rPr>
          <w:rFonts w:ascii="Times New Roman" w:hAnsi="Times New Roman" w:cs="Times New Roman" w:eastAsia="Times New Roman" w:hint="default"/>
          <w:b/>
          <w:bCs/>
        </w:rPr>
        <w:t>5</w:t>
      </w:r>
      <w:r>
        <w:rPr>
          <w:rFonts w:ascii="宋体" w:hAnsi="宋体" w:cs="宋体" w:eastAsia="宋体" w:hint="default"/>
          <w:b/>
          <w:bCs/>
        </w:rPr>
        <w:t>、监事和监事会</w:t>
      </w:r>
      <w:r>
        <w:rPr>
          <w:rFonts w:ascii="宋体" w:hAnsi="宋体" w:cs="宋体" w:eastAsia="宋体" w:hint="default"/>
          <w:b/>
          <w:bCs/>
          <w:w w:val="99"/>
        </w:rPr>
        <w:t> </w:t>
      </w:r>
      <w:r>
        <w:rPr>
          <w:spacing w:val="-2"/>
        </w:rPr>
        <w:t>公司监事会严格按照《公司法》、《公司章程》和《监事会议事规则》的有关规定开展工作，监事的推荐、选举和产生</w:t>
      </w:r>
    </w:p>
    <w:p>
      <w:pPr>
        <w:pStyle w:val="BodyText"/>
        <w:spacing w:line="316" w:lineRule="auto" w:before="8"/>
        <w:ind w:right="1133"/>
        <w:jc w:val="both"/>
      </w:pPr>
      <w:r>
        <w:rPr>
          <w:spacing w:val="-2"/>
        </w:rPr>
        <w:t>程序符合相关法律、法规要求。公司监事认真履行职责，对公司财务状况、重大事项的合法、合规性进行监督，维护公司及</w:t>
      </w:r>
      <w:r>
        <w:rPr>
          <w:spacing w:val="-68"/>
        </w:rPr>
        <w:t> </w:t>
      </w:r>
      <w:r>
        <w:rPr>
          <w:spacing w:val="-68"/>
        </w:rPr>
      </w:r>
      <w:r>
        <w:rPr/>
        <w:t>股东的合法权益。</w:t>
      </w:r>
    </w:p>
    <w:p>
      <w:pPr>
        <w:pStyle w:val="BodyText"/>
        <w:spacing w:line="468" w:lineRule="exact" w:before="11"/>
        <w:ind w:left="512" w:right="1034" w:firstLine="2"/>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t>公司根据《信息披露事务管理办法》和《投资者关系管理制度》，认真履行信息披露义务。公司指定《中国证券报》、</w:t>
      </w:r>
    </w:p>
    <w:p>
      <w:pPr>
        <w:pStyle w:val="BodyText"/>
        <w:spacing w:line="309" w:lineRule="auto" w:before="8"/>
        <w:ind w:right="986"/>
        <w:jc w:val="left"/>
      </w:pPr>
      <w:r>
        <w:rPr/>
        <w:t>《证券日报》、《证券时报》以及巨潮资讯网（</w:t>
      </w:r>
      <w:hyperlink r:id="rId13">
        <w:r>
          <w:rPr>
            <w:rFonts w:ascii="Times New Roman" w:hAnsi="Times New Roman" w:cs="Times New Roman" w:eastAsia="Times New Roman" w:hint="default"/>
          </w:rPr>
          <w:t>www.cninfo.com.cn</w:t>
        </w:r>
      </w:hyperlink>
      <w:r>
        <w:rPr/>
        <w:t>）作为公司信息披露的报纸和网站。保证公司信息披露 </w:t>
      </w:r>
      <w:r>
        <w:rPr>
          <w:spacing w:val="-2"/>
        </w:rPr>
        <w:t>的真实、准确、完整、及时，并确保所有股东有平等的机会获得信息。本公司指定董事会秘书负责信息披露工作，证券事务</w:t>
      </w:r>
      <w:r>
        <w:rPr>
          <w:spacing w:val="-69"/>
        </w:rPr>
        <w:t> </w:t>
      </w:r>
      <w:r>
        <w:rPr>
          <w:spacing w:val="-69"/>
        </w:rPr>
      </w:r>
      <w:r>
        <w:rPr/>
        <w:t>代表协助董事会秘书开展工作。</w:t>
      </w:r>
    </w:p>
    <w:p>
      <w:pPr>
        <w:spacing w:after="0" w:line="309"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left="515" w:right="986"/>
        <w:jc w:val="left"/>
        <w:rPr>
          <w:b w:val="0"/>
          <w:bCs w:val="0"/>
        </w:rPr>
      </w:pPr>
      <w:r>
        <w:rPr>
          <w:rFonts w:ascii="Times New Roman" w:hAnsi="Times New Roman" w:cs="Times New Roman" w:eastAsia="Times New Roman" w:hint="default"/>
        </w:rPr>
        <w:t>7</w:t>
      </w:r>
      <w:r>
        <w:rPr/>
        <w:t>、关于相关利益者</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1133" w:firstLine="360"/>
        <w:jc w:val="both"/>
      </w:pPr>
      <w:r>
        <w:rPr>
          <w:spacing w:val="-2"/>
        </w:rPr>
        <w:t>本公司能够充分尊重和维护相关利益者的合法权益，积极与相关利益者合作，加强与各方的沟通和交流，实现股东、员</w:t>
      </w:r>
      <w:r>
        <w:rPr/>
        <w:t> 工、社会等各方利益的协调平衡，共同推动公司持续、健康的发展。</w:t>
      </w:r>
    </w:p>
    <w:p>
      <w:pPr>
        <w:spacing w:line="468" w:lineRule="exact" w:before="10"/>
        <w:ind w:left="512" w:right="986"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公司建立了完善的绩效评价、激励与约束机制，公司高级管理人员均由董事会聘任，董事会薪酬与考核委员会负责对公</w:t>
      </w:r>
    </w:p>
    <w:p>
      <w:pPr>
        <w:pStyle w:val="BodyText"/>
        <w:spacing w:line="316" w:lineRule="auto" w:before="8"/>
        <w:ind w:right="986"/>
        <w:jc w:val="left"/>
      </w:pPr>
      <w:r>
        <w:rPr>
          <w:spacing w:val="-2"/>
        </w:rPr>
        <w:t>司高级管理人员的工作能力、履行情况、责任目标完成情况进行严格考评。同时，公司通过员工持股计划的实施，进一步调</w:t>
      </w:r>
      <w:r>
        <w:rPr>
          <w:spacing w:val="-67"/>
        </w:rPr>
        <w:t> </w:t>
      </w:r>
      <w:r>
        <w:rPr>
          <w:spacing w:val="-67"/>
        </w:rPr>
      </w:r>
      <w:r>
        <w:rPr>
          <w:spacing w:val="-4"/>
        </w:rPr>
        <w:t>动管理者和核心员工的工作积极性，对吸引和保留优秀管理人才和核心员工起到积极的促进作用。通过激励机制的不断完善，</w:t>
      </w:r>
      <w:r>
        <w:rPr>
          <w:spacing w:val="-44"/>
        </w:rPr>
        <w:t> </w:t>
      </w:r>
      <w:r>
        <w:rPr>
          <w:spacing w:val="-44"/>
        </w:rPr>
      </w:r>
      <w:r>
        <w:rPr/>
        <w:t>有效的促进了公司持续健康发展、完善了公司法人治理结构。</w:t>
      </w:r>
    </w:p>
    <w:p>
      <w:pPr>
        <w:spacing w:line="468" w:lineRule="exact" w:before="11"/>
        <w:ind w:left="512" w:right="986"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、内部审计制度的建立和执行情况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公司建立了《内部审计制度》，对内审工作作出明确的规定和要求。公司内部审计部门直接对董事会负责，在审计委员</w:t>
      </w:r>
    </w:p>
    <w:p>
      <w:pPr>
        <w:pStyle w:val="BodyText"/>
        <w:spacing w:line="316" w:lineRule="auto" w:before="8"/>
        <w:ind w:right="986"/>
        <w:jc w:val="left"/>
      </w:pPr>
      <w:r>
        <w:rPr>
          <w:spacing w:val="-4"/>
        </w:rPr>
        <w:t>会的指导下，独立行使审计职权，不受其他部门和个人的干涉。内部审计部门对公司及下属子公司所有经营管理、财务状况、</w:t>
      </w:r>
      <w:r>
        <w:rPr>
          <w:spacing w:val="-46"/>
        </w:rPr>
        <w:t> </w:t>
      </w:r>
      <w:r>
        <w:rPr>
          <w:spacing w:val="-46"/>
        </w:rPr>
      </w:r>
      <w:r>
        <w:rPr>
          <w:spacing w:val="-2"/>
        </w:rPr>
        <w:t>内控执行等情况进行内部审计，对其经济效益的真实性、合理性、合法性做出合理评价，提升内部控制管理的有效性，进一</w:t>
      </w:r>
      <w:r>
        <w:rPr>
          <w:spacing w:val="-67"/>
        </w:rPr>
        <w:t> </w:t>
      </w:r>
      <w:r>
        <w:rPr>
          <w:spacing w:val="-67"/>
        </w:rPr>
      </w:r>
      <w:r>
        <w:rPr/>
        <w:t>步防范经营风险和财务风险。</w:t>
      </w:r>
    </w:p>
    <w:p>
      <w:pPr>
        <w:pStyle w:val="BodyText"/>
        <w:spacing w:line="240" w:lineRule="auto" w:before="59"/>
        <w:ind w:right="986"/>
        <w:jc w:val="left"/>
      </w:pPr>
      <w:r>
        <w:rPr/>
        <w:t>公司治理的实际状况与中国证监会发布的有关上市公司治理的规范性文件是否存在重大差异</w:t>
      </w:r>
    </w:p>
    <w:p>
      <w:pPr>
        <w:pStyle w:val="BodyText"/>
        <w:spacing w:line="340" w:lineRule="auto" w:before="115"/>
        <w:ind w:right="35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986"/>
        <w:jc w:val="left"/>
      </w:pPr>
      <w:r>
        <w:rPr/>
        <w:t>公司与控股股东在业务、人员、资产、机构、财务等方面完全分开，具有独立完整的业务及自主经营能力。</w:t>
      </w:r>
    </w:p>
    <w:p>
      <w:pPr>
        <w:pStyle w:val="BodyText"/>
        <w:spacing w:line="309" w:lineRule="auto" w:before="76"/>
        <w:ind w:right="1034" w:firstLine="360"/>
        <w:jc w:val="left"/>
      </w:pPr>
      <w:r>
        <w:rPr>
          <w:rFonts w:ascii="Times New Roman" w:hAnsi="Times New Roman" w:cs="Times New Roman" w:eastAsia="Times New Roman" w:hint="default"/>
          <w:spacing w:val="-2"/>
        </w:rPr>
        <w:t>1</w:t>
      </w:r>
      <w:r>
        <w:rPr>
          <w:spacing w:val="-2"/>
        </w:rPr>
        <w:t>、业务独立情况公司主要从事行业应用软件开发、计算机信息系统集成及相关服务业务，拥有独立的采购和销售系统，</w:t>
      </w:r>
      <w:r>
        <w:rPr/>
        <w:t> 独立的进行原材料和产品的采购和销售，并建立了符合现代企业制度要求和公司实际情况的法人治理结构和内部组织结构， </w:t>
      </w:r>
      <w:r>
        <w:rPr>
          <w:spacing w:val="-2"/>
        </w:rPr>
        <w:t>在生产经营及管理上独立运作。本公司的实际控制人薛向东及其家族成员以及所控制的诚信电脑、诚信投资、合创电商分别</w:t>
      </w:r>
      <w:r>
        <w:rPr>
          <w:spacing w:val="-66"/>
        </w:rPr>
        <w:t> </w:t>
      </w:r>
      <w:r>
        <w:rPr>
          <w:spacing w:val="-66"/>
        </w:rPr>
      </w:r>
      <w:r>
        <w:rPr/>
        <w:t>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日向本公司出具了《不竞争承诺函》以及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日签订的《避免同业竞争承诺》，本公司与任何股东 及其他关联方之间不存在同业竞争。</w:t>
      </w:r>
    </w:p>
    <w:p>
      <w:pPr>
        <w:pStyle w:val="BodyText"/>
        <w:spacing w:line="314" w:lineRule="auto" w:before="24"/>
        <w:ind w:right="1130" w:firstLine="360"/>
        <w:jc w:val="both"/>
      </w:pPr>
      <w:r>
        <w:rPr>
          <w:rFonts w:ascii="Times New Roman" w:hAnsi="Times New Roman" w:cs="Times New Roman" w:eastAsia="Times New Roman" w:hint="default"/>
        </w:rPr>
        <w:t>2</w:t>
      </w:r>
      <w:r>
        <w:rPr/>
        <w:t>、人员独立情况公司逐步建立健全法人治理结构，董事、监事及高级管理人员均严格按照《公司法》、《公司章程》 </w:t>
      </w:r>
      <w:r>
        <w:rPr>
          <w:spacing w:val="-2"/>
        </w:rPr>
        <w:t>规定的条件和程序产生。目前，除董事长薛向东担任控股股东诚信电脑的董事外，公司其余董事、监事均未在公司股东单位</w:t>
      </w:r>
      <w:r>
        <w:rPr>
          <w:spacing w:val="-65"/>
        </w:rPr>
        <w:t> </w:t>
      </w:r>
      <w:r>
        <w:rPr>
          <w:spacing w:val="-65"/>
        </w:rPr>
      </w:r>
      <w:r>
        <w:rPr>
          <w:spacing w:val="-2"/>
        </w:rPr>
        <w:t>任职。公司总经理、副总经理、财务负责人和董事会秘书等高级管理人员专职在公司工作并领取薪酬，其中公司副总经理王</w:t>
      </w:r>
      <w:r>
        <w:rPr>
          <w:spacing w:val="-64"/>
        </w:rPr>
        <w:t> </w:t>
      </w:r>
      <w:r>
        <w:rPr>
          <w:spacing w:val="-64"/>
        </w:rPr>
      </w:r>
      <w:r>
        <w:rPr>
          <w:spacing w:val="-2"/>
        </w:rPr>
        <w:t>佺在控股子公司北京神州新桥科技有限公司担任副总经理，并在控股子公司领取工资。其余公司高级管理人员未在公司股东</w:t>
      </w:r>
      <w:r>
        <w:rPr>
          <w:spacing w:val="-64"/>
        </w:rPr>
        <w:t> </w:t>
      </w:r>
      <w:r>
        <w:rPr>
          <w:spacing w:val="-64"/>
        </w:rPr>
      </w:r>
      <w:r>
        <w:rPr/>
        <w:t>单位任职，也未在与公司业务相同或相似、或存在其他利益冲突的企业任职。</w:t>
      </w:r>
    </w:p>
    <w:p>
      <w:pPr>
        <w:pStyle w:val="BodyText"/>
        <w:spacing w:line="309" w:lineRule="auto" w:before="20"/>
        <w:ind w:right="1041" w:firstLine="360"/>
        <w:jc w:val="both"/>
      </w:pPr>
      <w:r>
        <w:rPr>
          <w:rFonts w:ascii="Times New Roman" w:hAnsi="Times New Roman" w:cs="Times New Roman" w:eastAsia="Times New Roman" w:hint="default"/>
          <w:spacing w:val="-2"/>
        </w:rPr>
        <w:t>3</w:t>
      </w:r>
      <w:r>
        <w:rPr>
          <w:spacing w:val="-2"/>
        </w:rPr>
        <w:t>、资产独立情况公司拥有独立的生产经营场所，对全部资产拥有完全的控制支配权，拥有独立的经营系统和配套设施、</w:t>
      </w:r>
      <w:r>
        <w:rPr/>
        <w:t> </w:t>
      </w:r>
      <w:r>
        <w:rPr>
          <w:spacing w:val="-4"/>
        </w:rPr>
        <w:t>专有技术、计算机软件著作权等资产。公司和控股股东产权关系明确，公司资产完整并由公司实际控制和使用，不存在资产、</w:t>
      </w:r>
      <w:r>
        <w:rPr>
          <w:spacing w:val="-46"/>
        </w:rPr>
        <w:t> </w:t>
      </w:r>
      <w:r>
        <w:rPr>
          <w:spacing w:val="-46"/>
        </w:rPr>
      </w:r>
      <w:r>
        <w:rPr/>
        <w:t>资金被控股股东、实际控制人及其控制的企业违规占用而损害公司利益的情况。</w:t>
      </w:r>
    </w:p>
    <w:p>
      <w:pPr>
        <w:pStyle w:val="BodyText"/>
        <w:spacing w:line="300" w:lineRule="auto" w:before="24"/>
        <w:ind w:right="1140" w:firstLine="360"/>
        <w:jc w:val="both"/>
      </w:pPr>
      <w:r>
        <w:rPr>
          <w:rFonts w:ascii="Times New Roman" w:hAnsi="Times New Roman" w:cs="Times New Roman" w:eastAsia="Times New Roman" w:hint="default"/>
        </w:rPr>
        <w:t>4</w:t>
      </w:r>
      <w:r>
        <w:rPr/>
        <w:t>、机构独立情况公司根据《公司法》、《证券法》及《公司章程》的相关规定，设立了健全的组织结构体系，独立运 作，不存在与控股股东或其职能部门之间的从属关系。</w:t>
      </w:r>
    </w:p>
    <w:p>
      <w:pPr>
        <w:pStyle w:val="BodyText"/>
        <w:spacing w:line="312" w:lineRule="auto" w:before="31"/>
        <w:ind w:right="1130" w:firstLine="360"/>
        <w:jc w:val="both"/>
      </w:pPr>
      <w:r>
        <w:rPr>
          <w:rFonts w:ascii="Times New Roman" w:hAnsi="Times New Roman" w:cs="Times New Roman" w:eastAsia="Times New Roman" w:hint="default"/>
        </w:rPr>
        <w:t>5</w:t>
      </w:r>
      <w:r>
        <w:rPr/>
        <w:t>、财务独立情况公司已依照相关法律、法规成立了独立的财务部门，建立了独立的会计核算体系和财务管理制度，并 </w:t>
      </w:r>
      <w:r>
        <w:rPr>
          <w:spacing w:val="-2"/>
        </w:rPr>
        <w:t>实施严格的内部审计制度，不存在本公司股东或其他关联方干预本公司资金使用的情况；公司拥有独立的银行账户，独立进</w:t>
      </w:r>
      <w:r>
        <w:rPr>
          <w:spacing w:val="-63"/>
        </w:rPr>
        <w:t> </w:t>
      </w:r>
      <w:r>
        <w:rPr>
          <w:spacing w:val="-63"/>
        </w:rPr>
      </w:r>
      <w:r>
        <w:rPr>
          <w:spacing w:val="-2"/>
        </w:rPr>
        <w:t>行纳税申报并履行纳税义务，本公司股东及其他关联方未以任何形式占用公司资金、资产和其他资源。截止目前，本公司没</w:t>
      </w:r>
      <w:r>
        <w:rPr>
          <w:spacing w:val="-64"/>
        </w:rPr>
        <w:t> </w:t>
      </w:r>
      <w:r>
        <w:rPr>
          <w:spacing w:val="-64"/>
        </w:rPr>
      </w:r>
      <w:r>
        <w:rPr/>
        <w:t>有以资产、权益或信誉为股东、股东的控股子公司或附属企业、个人提供担保的行为。</w:t>
      </w:r>
    </w:p>
    <w:p>
      <w:pPr>
        <w:spacing w:after="0" w:line="312" w:lineRule="auto"/>
        <w:jc w:val="both"/>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三、同业竞争情况" w:id="138"/>
      <w:bookmarkEnd w:id="138"/>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8"/>
                <w:sz w:val="18"/>
                <w:szCs w:val="18"/>
              </w:rPr>
              <w:t>报》、《证券日报》、</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《证券时报》及巨潮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07" w:lineRule="auto" w:before="19"/>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上的《东华软件 股份公司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2018-006</w:t>
            </w:r>
            <w:r>
              <w:rPr>
                <w:rFonts w:ascii="宋体" w:hAnsi="宋体" w:cs="宋体" w:eastAsia="宋体" w:hint="default"/>
                <w:sz w:val="18"/>
                <w:szCs w:val="18"/>
              </w:rPr>
              <w:t>）</w:t>
            </w: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8"/>
                <w:sz w:val="18"/>
                <w:szCs w:val="18"/>
              </w:rPr>
              <w:t>报》、《证券日报》、</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《证券时报》及巨潮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07" w:lineRule="auto" w:before="19"/>
              <w:ind w:left="23" w:right="24"/>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上的《东华软件 股份公司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2018-047</w:t>
            </w:r>
            <w:r>
              <w:rPr>
                <w:rFonts w:ascii="宋体" w:hAnsi="宋体" w:cs="宋体" w:eastAsia="宋体" w:hint="default"/>
                <w:sz w:val="18"/>
                <w:szCs w:val="18"/>
              </w:rPr>
              <w:t>）</w:t>
            </w:r>
          </w:p>
        </w:tc>
      </w:tr>
      <w:tr>
        <w:trPr>
          <w:trHeight w:val="32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8"/>
                <w:sz w:val="18"/>
                <w:szCs w:val="18"/>
              </w:rPr>
              <w:t>报》、《证券日报》、</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《证券时报》及巨潮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07" w:lineRule="auto" w:before="19"/>
              <w:ind w:left="23" w:right="24"/>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上的《东华软件 股份公司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二次临时股东大会 </w:t>
            </w:r>
            <w:r>
              <w:rPr>
                <w:rFonts w:ascii="宋体" w:hAnsi="宋体" w:cs="宋体" w:eastAsia="宋体" w:hint="default"/>
                <w:spacing w:val="-11"/>
                <w:sz w:val="18"/>
                <w:szCs w:val="18"/>
              </w:rPr>
              <w:t>决议公告》（公告编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2018-064</w:t>
            </w:r>
            <w:r>
              <w:rPr>
                <w:rFonts w:ascii="宋体" w:hAnsi="宋体" w:cs="宋体" w:eastAsia="宋体" w:hint="default"/>
                <w:sz w:val="18"/>
                <w:szCs w:val="18"/>
              </w:rPr>
              <w:t>）</w:t>
            </w:r>
          </w:p>
        </w:tc>
      </w:tr>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8"/>
                <w:sz w:val="18"/>
                <w:szCs w:val="18"/>
              </w:rPr>
              <w:t>报》、《证券日报》、</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《证券时报》及巨潮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9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上的《东华软件 股份公司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三次临时股东大会 </w:t>
            </w:r>
            <w:r>
              <w:rPr>
                <w:rFonts w:ascii="宋体" w:hAnsi="宋体" w:cs="宋体" w:eastAsia="宋体" w:hint="default"/>
                <w:spacing w:val="-11"/>
                <w:sz w:val="18"/>
                <w:szCs w:val="18"/>
              </w:rPr>
              <w:t>决议公告》（公告编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2018-076</w:t>
            </w:r>
            <w:r>
              <w:rPr>
                <w:rFonts w:ascii="宋体" w:hAnsi="宋体" w:cs="宋体" w:eastAsia="宋体" w:hint="default"/>
                <w:sz w:val="18"/>
                <w:szCs w:val="18"/>
              </w:rPr>
              <w:t>）</w:t>
            </w: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8"/>
                <w:sz w:val="18"/>
                <w:szCs w:val="18"/>
              </w:rPr>
              <w:t>报》、《证券日报》、</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《证券时报》及巨潮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07" w:lineRule="auto" w:before="19"/>
              <w:ind w:left="23" w:right="24"/>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上的《东华软件 股份公司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四次临时股东大会 </w:t>
            </w:r>
            <w:r>
              <w:rPr>
                <w:rFonts w:ascii="宋体" w:hAnsi="宋体" w:cs="宋体" w:eastAsia="宋体" w:hint="default"/>
                <w:spacing w:val="-11"/>
                <w:sz w:val="18"/>
                <w:szCs w:val="18"/>
              </w:rPr>
              <w:t>决议公告》（公告编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2018-093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范玉顺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栾大龙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王以朋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86"/>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986"/>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t>独立董事对公司有关事项是否提出异议</w:t>
      </w:r>
    </w:p>
    <w:p>
      <w:pPr>
        <w:pStyle w:val="BodyText"/>
        <w:spacing w:line="338" w:lineRule="auto" w:before="117"/>
        <w:ind w:right="69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38"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0"/>
        <w:jc w:val="both"/>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5"/>
        <w:ind w:right="67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1"/>
        <w:ind w:right="1130" w:firstLine="360"/>
        <w:jc w:val="both"/>
      </w:pPr>
      <w:r>
        <w:rPr>
          <w:spacing w:val="-2"/>
        </w:rPr>
        <w:t>报告期内，公司独立董事勤勉尽责、有效地履行独立董事职务，对公司进行了多次实地现场考察，详细了解公司日常经</w:t>
      </w:r>
      <w:r>
        <w:rPr/>
        <w:t> </w:t>
      </w:r>
      <w:r>
        <w:rPr>
          <w:spacing w:val="-2"/>
        </w:rPr>
        <w:t>营和公司财务状况。报告期内，公司四名独立董事全部出席公司历次董事会，并在会议中提出对公司发展的建议与意见。在</w:t>
      </w:r>
      <w:r>
        <w:rPr>
          <w:spacing w:val="-64"/>
        </w:rPr>
        <w:t> </w:t>
      </w:r>
      <w:r>
        <w:rPr>
          <w:spacing w:val="-64"/>
        </w:rPr>
      </w:r>
      <w:r>
        <w:rPr>
          <w:spacing w:val="-2"/>
        </w:rPr>
        <w:t>公司定期报告前后，独立董事与公司董事、高级管理人员、内审部门及会计师进行沟通，对公司内部控制、公司治理、经营</w:t>
      </w:r>
      <w:r>
        <w:rPr>
          <w:spacing w:val="-66"/>
        </w:rPr>
        <w:t> </w:t>
      </w:r>
      <w:r>
        <w:rPr>
          <w:spacing w:val="-66"/>
        </w:rPr>
      </w:r>
      <w:r>
        <w:rPr>
          <w:spacing w:val="-2"/>
        </w:rPr>
        <w:t>策略、发展方向、公司战略等诸多方面提出指导性意见；同时，及时获悉公司各大重大事项的进展情况，并对公司重大事项</w:t>
      </w:r>
      <w:r>
        <w:rPr>
          <w:spacing w:val="-67"/>
        </w:rPr>
        <w:t> </w:t>
      </w:r>
      <w:r>
        <w:rPr>
          <w:spacing w:val="-67"/>
        </w:rPr>
      </w:r>
      <w:r>
        <w:rPr/>
        <w:t>发表独立意见，为公司董事会各项议案的审议表决提供了有力的支持，保护了公司和广大投资者的利益。</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034"/>
        <w:jc w:val="left"/>
      </w:pPr>
      <w:r>
        <w:rPr>
          <w:spacing w:val="-2"/>
        </w:rPr>
        <w:t>公司董事会下设四个专门委员会，分别为审计委员会、提名委员会、薪酬与考核委员会、战略委员会。</w:t>
      </w:r>
      <w:r>
        <w:rPr>
          <w:rFonts w:ascii="Times New Roman" w:hAnsi="Times New Roman" w:cs="Times New Roman" w:eastAsia="Times New Roman" w:hint="default"/>
          <w:spacing w:val="-2"/>
        </w:rPr>
        <w:t>2018</w:t>
      </w:r>
      <w:r>
        <w:rPr>
          <w:spacing w:val="-2"/>
        </w:rPr>
        <w:t>年各专门委员会</w:t>
      </w:r>
      <w:r>
        <w:rPr>
          <w:spacing w:val="-65"/>
        </w:rPr>
        <w:t> </w:t>
      </w:r>
      <w:r>
        <w:rPr>
          <w:spacing w:val="-65"/>
        </w:rPr>
      </w:r>
      <w:r>
        <w:rPr/>
        <w:t>本着勤勉尽责的原则，按照有关法律法规、规范性文件及公司各专门委员会工作细则的有关规定开展相关工作，报告期内， 各专门委员会履职情况如下：</w:t>
      </w:r>
    </w:p>
    <w:p>
      <w:pPr>
        <w:spacing w:line="468" w:lineRule="exact" w:before="16"/>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、审计委员会的履行职责情况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报告期内，公司董事会审计委员会认真履行职责，共召开五次审计委员会工作会议，听取了审计公司年度工作总结和</w:t>
      </w:r>
    </w:p>
    <w:p>
      <w:pPr>
        <w:pStyle w:val="BodyText"/>
        <w:spacing w:line="316" w:lineRule="auto" w:before="8"/>
        <w:ind w:right="1130"/>
        <w:jc w:val="both"/>
      </w:pPr>
      <w:r>
        <w:rPr>
          <w:spacing w:val="-2"/>
        </w:rPr>
        <w:t>工作计划安排，与公司内部审计部门积极沟通配合，指导审计部门开展各项相关工作；提议续聘外部审计机构；积极监督公</w:t>
      </w:r>
      <w:r>
        <w:rPr>
          <w:spacing w:val="-65"/>
        </w:rPr>
        <w:t> </w:t>
      </w:r>
      <w:r>
        <w:rPr>
          <w:spacing w:val="-65"/>
        </w:rPr>
      </w:r>
      <w:r>
        <w:rPr>
          <w:spacing w:val="-2"/>
        </w:rPr>
        <w:t>司的内部审计制度及其实施情况，对公司的内控制度的健全和完善提出意见和建议；对公司定期财务报告等需要披露的重要</w:t>
      </w:r>
      <w:r>
        <w:rPr>
          <w:spacing w:val="-64"/>
        </w:rPr>
        <w:t> </w:t>
      </w:r>
      <w:r>
        <w:rPr>
          <w:spacing w:val="-64"/>
        </w:rPr>
      </w:r>
      <w:r>
        <w:rPr/>
        <w:t>财务信息进行严格审核，与审计会计师及时、有效沟通，并对重要事项进行充分讨论。</w:t>
      </w:r>
    </w:p>
    <w:p>
      <w:pPr>
        <w:spacing w:line="468" w:lineRule="exact" w:before="11"/>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、提名委员会的履行职责情况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报告期内，提名委员会共召开一次会议，认证履行职责，对提名增选董事会人选事宜进行讨论，并对候选人的任职资</w:t>
      </w:r>
    </w:p>
    <w:p>
      <w:pPr>
        <w:pStyle w:val="BodyText"/>
        <w:spacing w:line="240" w:lineRule="auto" w:before="8"/>
        <w:ind w:right="0"/>
        <w:jc w:val="both"/>
      </w:pPr>
      <w:r>
        <w:rPr/>
        <w:t>格进行了审查。</w:t>
      </w:r>
    </w:p>
    <w:p>
      <w:pPr>
        <w:spacing w:line="450" w:lineRule="atLeast" w:before="31"/>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、薪酬与考核委员会的履行职责情况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报告期内，公司董事会薪酬与考核委员会认真履行职责，共召开一次薪酬与开合委员会工作会议，年底依据公司《高</w:t>
      </w:r>
    </w:p>
    <w:p>
      <w:pPr>
        <w:pStyle w:val="BodyText"/>
        <w:spacing w:line="240" w:lineRule="auto" w:before="76"/>
        <w:ind w:right="0"/>
        <w:jc w:val="both"/>
      </w:pPr>
      <w:r>
        <w:rPr/>
        <w:t>级管理人员薪酬及考核制度》对公司高级管理人员进行考核，确认薪酬。</w:t>
      </w:r>
    </w:p>
    <w:p>
      <w:pPr>
        <w:spacing w:line="450" w:lineRule="atLeast" w:before="31"/>
        <w:ind w:left="572"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、战略委员会的履行职责情况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报告期内，公司董事会战略委员会认真履行职责，共召开七次战略委员会工作会议，对公司未来发展规划以及影响公</w:t>
      </w:r>
    </w:p>
    <w:p>
      <w:pPr>
        <w:pStyle w:val="BodyText"/>
        <w:spacing w:line="316" w:lineRule="auto" w:before="76"/>
        <w:ind w:right="1130"/>
        <w:jc w:val="both"/>
      </w:pPr>
      <w:r>
        <w:rPr>
          <w:spacing w:val="-2"/>
        </w:rPr>
        <w:t>司未来发展的重大事项进行了深入探讨研究并提出了建议；讨论对外投资成立淮北东华企云科技有限责任公司、新疆东华大</w:t>
      </w:r>
      <w:r>
        <w:rPr>
          <w:spacing w:val="-64"/>
        </w:rPr>
        <w:t> </w:t>
      </w:r>
      <w:r>
        <w:rPr>
          <w:spacing w:val="-64"/>
        </w:rPr>
      </w:r>
      <w:r>
        <w:rPr>
          <w:spacing w:val="-2"/>
        </w:rPr>
        <w:t>数据有限公司、东华安庆岳西大数据有限公司、东华智城云计算有限公司、东华健康乐互联网医院有限公司、东华至高通信</w:t>
      </w:r>
      <w:r>
        <w:rPr>
          <w:spacing w:val="-65"/>
        </w:rPr>
        <w:t> </w:t>
      </w:r>
      <w:r>
        <w:rPr>
          <w:spacing w:val="-65"/>
        </w:rPr>
      </w:r>
      <w:r>
        <w:rPr>
          <w:spacing w:val="-2"/>
        </w:rPr>
        <w:t>技术有限公司、重庆东华合创科技有限公司、东华软件濮阳有限公司、东华鲁信计算机技术有限公司的相关事项；研讨公司</w:t>
      </w:r>
      <w:r>
        <w:rPr>
          <w:spacing w:val="-65"/>
        </w:rPr>
        <w:t> </w:t>
      </w:r>
      <w:r>
        <w:rPr>
          <w:spacing w:val="-65"/>
        </w:rPr>
      </w:r>
      <w:r>
        <w:rPr/>
        <w:t>与腾讯云计算</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有限责任公司开展战略合作的相关事项。</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6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after="0" w:line="3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986" w:firstLine="360"/>
        <w:jc w:val="left"/>
      </w:pPr>
      <w:r>
        <w:rPr>
          <w:spacing w:val="-2"/>
        </w:rPr>
        <w:t>根据公司《高级管理人员薪酬及考核制度》等相关制度的规定，公司高管人员的薪酬分配与考核以公司经济效益为出发</w:t>
      </w:r>
      <w:r>
        <w:rPr/>
        <w:t> </w:t>
      </w:r>
      <w:r>
        <w:rPr>
          <w:spacing w:val="-2"/>
        </w:rPr>
        <w:t>点，主要由基本薪酬、绩效薪酬和奖励三部分组成，根据考核结果确定高管人员的年度薪酬分配。报告期内，公司进一步完</w:t>
      </w:r>
      <w:r>
        <w:rPr>
          <w:spacing w:val="-67"/>
        </w:rPr>
        <w:t> </w:t>
      </w:r>
      <w:r>
        <w:rPr>
          <w:spacing w:val="-67"/>
        </w:rPr>
      </w:r>
      <w:r>
        <w:rPr/>
        <w:t>善高级管理人员的绩效评价体系和激励机制，于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日披露了《</w:t>
      </w:r>
      <w:r>
        <w:rPr>
          <w:rFonts w:ascii="Times New Roman" w:hAnsi="Times New Roman" w:cs="Times New Roman" w:eastAsia="Times New Roman" w:hint="default"/>
        </w:rPr>
        <w:t>2018</w:t>
      </w:r>
      <w:r>
        <w:rPr/>
        <w:t>年员工持股计划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》，在报告期内积极实 </w:t>
      </w:r>
      <w:r>
        <w:rPr>
          <w:spacing w:val="-2"/>
        </w:rPr>
        <w:t>施面向公司全体员工的员工持股计划。通过员工持股计划，公司将大幅度提高了员工对工作的积极性和对公司的归属感，有</w:t>
      </w:r>
      <w:r>
        <w:rPr>
          <w:spacing w:val="-65"/>
        </w:rPr>
        <w:t> </w:t>
      </w:r>
      <w:r>
        <w:rPr>
          <w:spacing w:val="-65"/>
        </w:rPr>
      </w:r>
      <w:r>
        <w:rPr/>
        <w:t>效地吸引优秀人才，为公司长期稳健发展奠定夯实基础。</w:t>
      </w:r>
    </w:p>
    <w:p>
      <w:pPr>
        <w:spacing w:line="240" w:lineRule="auto" w:before="0"/>
        <w:rPr>
          <w:rFonts w:ascii="宋体" w:hAnsi="宋体" w:cs="宋体" w:eastAsia="宋体" w:hint="default"/>
          <w:sz w:val="21"/>
          <w:szCs w:val="21"/>
        </w:rPr>
      </w:pPr>
    </w:p>
    <w:p>
      <w:pPr>
        <w:pStyle w:val="Heading3"/>
        <w:spacing w:line="240" w:lineRule="auto"/>
        <w:ind w:right="986"/>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4"/>
        <w:gridCol w:w="3322"/>
        <w:gridCol w:w="305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61"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6374"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详见刊登在巨潮资讯网（</w:t>
            </w:r>
            <w:hyperlink r:id="rId13">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）上的《东华软件股份公司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4" w:space="0" w:color="000000"/>
              <w:right w:val="single" w:sz="4" w:space="0" w:color="000000"/>
            </w:tcBorders>
          </w:tcPr>
          <w:p>
            <w:pPr/>
          </w:p>
        </w:tc>
      </w:tr>
      <w:tr>
        <w:trPr>
          <w:trHeight w:val="161"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6374" w:type="dxa"/>
            <w:gridSpan w:val="2"/>
            <w:vMerge/>
            <w:tcBorders>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47"/>
              <w:jc w:val="both"/>
              <w:rPr>
                <w:rFonts w:ascii="宋体" w:hAnsi="宋体" w:cs="宋体" w:eastAsia="宋体" w:hint="default"/>
                <w:sz w:val="18"/>
                <w:szCs w:val="18"/>
              </w:rPr>
            </w:pPr>
            <w:r>
              <w:rPr>
                <w:rFonts w:ascii="宋体" w:hAnsi="宋体" w:cs="宋体" w:eastAsia="宋体" w:hint="default"/>
                <w:sz w:val="18"/>
                <w:szCs w:val="18"/>
              </w:rPr>
              <w:t>属于财务报告重大缺陷的情形：①公司董 事、监事及高级管理人员的舞弊行为；② 公司更正已发布的财务报告；③注册会计 师发现的却未被公司内部控制识别的当期 财务报告中的重大错报；④审计委员会和 审计内控部门对公司的对外财务报告和财 务报告内部控制监督无效。属于财务报告 重要缺陷的情形：①按照公认会计准则选 择和应用会计政策；②公司内控系统未建 立反舞弊程序和控制措施；③重要的业务 流程或系统存在缺陷；④当期财务报告出 现重要错报。属于财务报告一般缺陷的情 形：未构成重大缺陷、重要缺陷标准的其 他内部控制缺陷。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51"/>
              <w:ind w:left="26" w:right="-44"/>
              <w:jc w:val="left"/>
              <w:rPr>
                <w:rFonts w:ascii="宋体" w:hAnsi="宋体" w:cs="宋体" w:eastAsia="宋体" w:hint="default"/>
                <w:sz w:val="18"/>
                <w:szCs w:val="18"/>
              </w:rPr>
            </w:pPr>
            <w:r>
              <w:rPr>
                <w:rFonts w:ascii="宋体" w:hAnsi="宋体" w:cs="宋体" w:eastAsia="宋体" w:hint="default"/>
                <w:sz w:val="18"/>
                <w:szCs w:val="18"/>
              </w:rPr>
              <w:t>非财务报告重大缺陷的存在迹象包括：</w:t>
            </w:r>
          </w:p>
          <w:p>
            <w:pPr>
              <w:pStyle w:val="TableParagraph"/>
              <w:spacing w:line="316" w:lineRule="auto" w:before="76"/>
              <w:ind w:left="26" w:right="19"/>
              <w:jc w:val="left"/>
              <w:rPr>
                <w:rFonts w:ascii="宋体" w:hAnsi="宋体" w:cs="宋体" w:eastAsia="宋体" w:hint="default"/>
                <w:sz w:val="18"/>
                <w:szCs w:val="18"/>
              </w:rPr>
            </w:pPr>
            <w:r>
              <w:rPr>
                <w:rFonts w:ascii="宋体" w:hAnsi="宋体" w:cs="宋体" w:eastAsia="宋体" w:hint="default"/>
                <w:spacing w:val="-4"/>
                <w:sz w:val="18"/>
                <w:szCs w:val="18"/>
              </w:rPr>
              <w:t>①严重违反国家法律、法规，并造成重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大损失；②缺乏民主决策程序，决策程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序不科学或出现重大失误，给公司造成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重大财产损失；③重要业务制度性缺失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或制度运行系统性失效；④严重违规并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处以重罚或承担刑事责任。非财务报告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重要缺陷的存在迹象包括：①决策程序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存在缺陷，可能导致一般失误；②违反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企业内部规章，形成损失；③关键岗位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业务人员流失严重；④内部控制重要或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一般缺陷未得到整改；非财务报告一般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缺陷的存在迹象包括：除上述重大缺 陷、重要缺陷之外的其他缺陷。</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95"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定量标准指标 重大缺陷 重要缺陷</w:t>
            </w:r>
            <w:r>
              <w:rPr>
                <w:rFonts w:ascii="宋体" w:hAnsi="宋体" w:cs="宋体" w:eastAsia="宋体" w:hint="default"/>
                <w:spacing w:val="-1"/>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般缺陷利润总额潜在错报 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利润总额的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51"/>
              <w:ind w:left="26" w:right="43"/>
              <w:jc w:val="left"/>
              <w:rPr>
                <w:rFonts w:ascii="宋体" w:hAnsi="宋体" w:cs="宋体" w:eastAsia="宋体" w:hint="default"/>
                <w:sz w:val="18"/>
                <w:szCs w:val="18"/>
              </w:rPr>
            </w:pPr>
            <w:r>
              <w:rPr>
                <w:rFonts w:ascii="宋体" w:hAnsi="宋体" w:cs="宋体" w:eastAsia="宋体" w:hint="default"/>
                <w:sz w:val="18"/>
                <w:szCs w:val="18"/>
              </w:rPr>
              <w:t>定量标准指标 重大缺陷</w:t>
            </w:r>
            <w:r>
              <w:rPr>
                <w:rFonts w:ascii="宋体" w:hAnsi="宋体" w:cs="宋体" w:eastAsia="宋体" w:hint="default"/>
                <w:spacing w:val="88"/>
                <w:sz w:val="18"/>
                <w:szCs w:val="18"/>
              </w:rPr>
              <w:t> </w:t>
            </w:r>
            <w:r>
              <w:rPr>
                <w:rFonts w:ascii="宋体" w:hAnsi="宋体" w:cs="宋体" w:eastAsia="宋体" w:hint="default"/>
                <w:sz w:val="18"/>
                <w:szCs w:val="18"/>
              </w:rPr>
              <w:t>重要缺陷</w:t>
            </w:r>
            <w:r>
              <w:rPr>
                <w:rFonts w:ascii="宋体" w:hAnsi="宋体" w:cs="宋体" w:eastAsia="宋体" w:hint="default"/>
                <w:sz w:val="18"/>
                <w:szCs w:val="18"/>
              </w:rPr>
              <w:t> 一般缺陷利润总额潜在错报</w:t>
            </w:r>
            <w:r>
              <w:rPr>
                <w:rFonts w:ascii="宋体" w:hAnsi="宋体" w:cs="宋体" w:eastAsia="宋体" w:hint="default"/>
                <w:spacing w:val="1"/>
                <w:sz w:val="18"/>
                <w:szCs w:val="18"/>
              </w:rPr>
              <w:t> </w:t>
            </w:r>
            <w:r>
              <w:rPr>
                <w:rFonts w:ascii="宋体" w:hAnsi="宋体" w:cs="宋体" w:eastAsia="宋体" w:hint="default"/>
                <w:sz w:val="18"/>
                <w:szCs w:val="18"/>
              </w:rPr>
              <w:t>直接损失</w:t>
            </w:r>
          </w:p>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利润总额的</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98"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1610"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错报＜利润总额的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 潜在错报 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6" w:right="19"/>
              <w:jc w:val="both"/>
              <w:rPr>
                <w:rFonts w:ascii="宋体" w:hAnsi="宋体" w:cs="宋体" w:eastAsia="宋体" w:hint="default"/>
                <w:sz w:val="18"/>
                <w:szCs w:val="18"/>
              </w:rPr>
            </w:pP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资产总额潜在错报</w:t>
            </w:r>
            <w:r>
              <w:rPr>
                <w:rFonts w:ascii="宋体" w:hAnsi="宋体" w:cs="宋体" w:eastAsia="宋体" w:hint="default"/>
                <w:spacing w:val="-1"/>
                <w:sz w:val="18"/>
                <w:szCs w:val="18"/>
              </w:rPr>
              <w:t> </w:t>
            </w:r>
            <w:r>
              <w:rPr>
                <w:rFonts w:ascii="宋体" w:hAnsi="宋体" w:cs="宋体" w:eastAsia="宋体" w:hint="default"/>
                <w:sz w:val="18"/>
                <w:szCs w:val="18"/>
              </w:rPr>
              <w:t>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资产总额的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错报＜资产总额的</w:t>
            </w:r>
          </w:p>
          <w:p>
            <w:pPr>
              <w:pStyle w:val="TableParagraph"/>
              <w:spacing w:line="240" w:lineRule="auto" w:before="55"/>
              <w:ind w:left="26" w:right="0"/>
              <w:jc w:val="both"/>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不适用</w:t>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986"/>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6" w:right="986"/>
        <w:jc w:val="left"/>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bookmarkStart w:name="一、审计报告" w:id="157"/>
      <w:bookmarkEnd w:id="157"/>
      <w:r>
        <w:rPr>
          <w:b w:val="0"/>
          <w:bCs w:val="0"/>
        </w:rPr>
      </w: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京会兴审字第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03020027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肖丽娟、邢博晖</w:t>
            </w:r>
          </w:p>
        </w:tc>
      </w:tr>
    </w:tbl>
    <w:p>
      <w:pPr>
        <w:spacing w:line="240" w:lineRule="auto" w:before="8"/>
        <w:rPr>
          <w:rFonts w:ascii="宋体" w:hAnsi="宋体" w:cs="宋体" w:eastAsia="宋体" w:hint="default"/>
          <w:b/>
          <w:bCs/>
          <w:sz w:val="8"/>
          <w:szCs w:val="8"/>
        </w:rPr>
      </w:pPr>
    </w:p>
    <w:p>
      <w:pPr>
        <w:pStyle w:val="Heading2"/>
        <w:spacing w:line="240" w:lineRule="auto" w:before="14"/>
        <w:ind w:left="134" w:right="1116"/>
        <w:jc w:val="center"/>
        <w:rPr>
          <w:b w:val="0"/>
          <w:bCs w:val="0"/>
        </w:rPr>
      </w:pPr>
      <w:r>
        <w:rPr/>
        <w:t>审计报告正文</w:t>
      </w:r>
      <w:r>
        <w:rPr>
          <w:b w:val="0"/>
          <w:bCs w:val="0"/>
        </w:rPr>
      </w:r>
    </w:p>
    <w:p>
      <w:pPr>
        <w:spacing w:line="240" w:lineRule="auto" w:before="7"/>
        <w:rPr>
          <w:rFonts w:ascii="宋体" w:hAnsi="宋体" w:cs="宋体" w:eastAsia="宋体" w:hint="default"/>
          <w:b/>
          <w:bCs/>
          <w:sz w:val="27"/>
          <w:szCs w:val="27"/>
        </w:rPr>
      </w:pPr>
    </w:p>
    <w:p>
      <w:pPr>
        <w:pStyle w:val="Heading4"/>
        <w:spacing w:line="240" w:lineRule="auto" w:before="36"/>
        <w:ind w:right="986"/>
        <w:jc w:val="left"/>
        <w:rPr>
          <w:b w:val="0"/>
          <w:bCs w:val="0"/>
        </w:rPr>
      </w:pPr>
      <w:r>
        <w:rPr/>
        <w:t>东华软件股份公司全体股东：</w:t>
      </w:r>
      <w:r>
        <w:rPr>
          <w:b w:val="0"/>
          <w:bCs w:val="0"/>
        </w:rPr>
      </w:r>
    </w:p>
    <w:p>
      <w:pPr>
        <w:spacing w:line="240" w:lineRule="auto" w:before="12"/>
        <w:rPr>
          <w:rFonts w:ascii="宋体" w:hAnsi="宋体" w:cs="宋体" w:eastAsia="宋体" w:hint="default"/>
          <w:b/>
          <w:bCs/>
          <w:sz w:val="22"/>
          <w:szCs w:val="22"/>
        </w:rPr>
      </w:pPr>
    </w:p>
    <w:p>
      <w:pPr>
        <w:pStyle w:val="BodyText"/>
        <w:spacing w:line="316" w:lineRule="auto"/>
        <w:ind w:left="623" w:right="986" w:firstLine="12"/>
        <w:jc w:val="left"/>
      </w:pPr>
      <w:r>
        <w:rPr>
          <w:rFonts w:ascii="宋体" w:hAnsi="宋体" w:cs="宋体" w:eastAsia="宋体" w:hint="default"/>
          <w:b/>
          <w:bCs/>
        </w:rPr>
        <w:t>一、审计意见</w:t>
      </w:r>
      <w:r>
        <w:rPr>
          <w:rFonts w:ascii="宋体" w:hAnsi="宋体" w:cs="宋体" w:eastAsia="宋体" w:hint="default"/>
          <w:b/>
          <w:bCs/>
          <w:w w:val="99"/>
        </w:rPr>
        <w:t> </w:t>
      </w:r>
      <w:r>
        <w:rPr>
          <w:spacing w:val="-1"/>
        </w:rPr>
        <w:t>我们审计了东华软件股份公司（以下简称东华软件公司）合并及母公司财务报表（以下简称财务报表），包括</w:t>
      </w:r>
      <w:r>
        <w:rPr>
          <w:rFonts w:ascii="Times New Roman" w:hAnsi="Times New Roman" w:cs="Times New Roman" w:eastAsia="Times New Roman" w:hint="default"/>
          <w:spacing w:val="-1"/>
        </w:rPr>
        <w:t>2018</w:t>
      </w:r>
      <w:r>
        <w:rPr>
          <w:spacing w:val="-1"/>
        </w:rPr>
        <w:t>年</w:t>
      </w:r>
    </w:p>
    <w:p>
      <w:pPr>
        <w:pStyle w:val="BodyText"/>
        <w:spacing w:line="300" w:lineRule="auto"/>
        <w:ind w:right="986"/>
        <w:jc w:val="left"/>
      </w:pP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年度的合并及母公司利润表、合并及母公司现金流量表、合并及母公司所有者权</w:t>
      </w:r>
      <w:r>
        <w:rPr>
          <w:spacing w:val="-59"/>
        </w:rPr>
        <w:t> </w:t>
      </w:r>
      <w:r>
        <w:rPr>
          <w:spacing w:val="-59"/>
        </w:rPr>
      </w:r>
      <w:r>
        <w:rPr/>
        <w:t>益变动表以及相关财务报表附注。</w:t>
      </w:r>
    </w:p>
    <w:p>
      <w:pPr>
        <w:pStyle w:val="BodyText"/>
        <w:spacing w:line="300" w:lineRule="auto" w:before="31"/>
        <w:ind w:right="986" w:firstLine="470"/>
        <w:jc w:val="left"/>
      </w:pPr>
      <w:r>
        <w:rPr>
          <w:spacing w:val="-1"/>
        </w:rPr>
        <w:t>我们认为，后附的财务报表在所有重大方面按照企业会计准则的规定编制，公允反映了东华软件公司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6" w:lineRule="auto" w:before="13"/>
        <w:ind w:left="623" w:right="1123" w:firstLine="1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986"/>
        <w:jc w:val="left"/>
      </w:pPr>
      <w:r>
        <w:rPr>
          <w:spacing w:val="-2"/>
        </w:rPr>
        <w:t>步阐述了我们在这些准则下的责任。按照中国注册会计师职业道德守则，我们独立于东华软件公司，并履行了职业道德方面</w:t>
      </w:r>
      <w:r>
        <w:rPr>
          <w:spacing w:val="-63"/>
        </w:rPr>
        <w:t> </w:t>
      </w:r>
      <w:r>
        <w:rPr>
          <w:spacing w:val="-63"/>
        </w:rPr>
      </w:r>
      <w:r>
        <w:rPr/>
        <w:t>的其他责任。我们相信，我们获取的审计证据是充分、适当的，为发表审计意见提供了基础。</w:t>
      </w:r>
    </w:p>
    <w:p>
      <w:pPr>
        <w:pStyle w:val="BodyText"/>
        <w:spacing w:line="316" w:lineRule="auto" w:before="19"/>
        <w:ind w:left="623" w:right="986" w:firstLine="1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8"/>
        <w:ind w:left="505" w:right="5534" w:hanging="353"/>
        <w:jc w:val="left"/>
        <w:rPr>
          <w:rFonts w:ascii="宋体" w:hAnsi="宋体" w:cs="宋体" w:eastAsia="宋体" w:hint="default"/>
        </w:rPr>
      </w:pPr>
      <w:r>
        <w:rPr/>
        <w:t>行审计并形成审计意见为背景，我们不对这些事项单独发表意见。 我们在本期财务报表审计中识别出的关键审计事项如下：</w:t>
      </w:r>
      <w:r>
        <w:rPr>
          <w:rFonts w:ascii="宋体" w:hAnsi="宋体" w:cs="宋体" w:eastAsia="宋体" w:hint="default"/>
        </w:rPr>
        <w:t> </w:t>
      </w:r>
    </w:p>
    <w:tbl>
      <w:tblPr>
        <w:tblW w:w="0" w:type="auto"/>
        <w:jc w:val="left"/>
        <w:tblInd w:w="217" w:type="dxa"/>
        <w:tblLayout w:type="fixed"/>
        <w:tblCellMar>
          <w:top w:w="0" w:type="dxa"/>
          <w:left w:w="0" w:type="dxa"/>
          <w:bottom w:w="0" w:type="dxa"/>
          <w:right w:w="0" w:type="dxa"/>
        </w:tblCellMar>
        <w:tblLook w:val="01E0"/>
      </w:tblPr>
      <w:tblGrid>
        <w:gridCol w:w="3689"/>
        <w:gridCol w:w="5810"/>
      </w:tblGrid>
      <w:tr>
        <w:trPr>
          <w:trHeight w:val="578" w:hRule="exact"/>
        </w:trPr>
        <w:tc>
          <w:tcPr>
            <w:tcW w:w="9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、营业收入的确认</w:t>
            </w:r>
            <w:r>
              <w:rPr>
                <w:rFonts w:ascii="宋体" w:hAnsi="宋体" w:cs="宋体" w:eastAsia="宋体" w:hint="default"/>
                <w:sz w:val="18"/>
                <w:szCs w:val="18"/>
              </w:rPr>
              <w:t> </w:t>
            </w:r>
          </w:p>
        </w:tc>
      </w:tr>
      <w:tr>
        <w:trPr>
          <w:trHeight w:val="634" w:hRule="exact"/>
        </w:trPr>
        <w:tc>
          <w:tcPr>
            <w:tcW w:w="9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2"/>
                <w:sz w:val="18"/>
                <w:szCs w:val="18"/>
              </w:rPr>
              <w:t>请参阅合并财务报表附注四“重要会计政策和会计估计”中第（二十六）项和合并财务报表附注六中第（三十三）项所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述。</w:t>
            </w:r>
            <w:r>
              <w:rPr>
                <w:rFonts w:ascii="宋体" w:hAnsi="宋体" w:cs="宋体" w:eastAsia="宋体" w:hint="default"/>
                <w:sz w:val="18"/>
                <w:szCs w:val="18"/>
              </w:rPr>
              <w:t> </w:t>
            </w:r>
          </w:p>
        </w:tc>
      </w:tr>
      <w:tr>
        <w:trPr>
          <w:trHeight w:val="576"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295"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7"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196"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99" w:firstLine="180"/>
              <w:jc w:val="both"/>
              <w:rPr>
                <w:rFonts w:ascii="宋体" w:hAnsi="宋体" w:cs="宋体" w:eastAsia="宋体" w:hint="default"/>
                <w:sz w:val="18"/>
                <w:szCs w:val="18"/>
              </w:rPr>
            </w:pPr>
            <w:r>
              <w:rPr>
                <w:rFonts w:ascii="宋体" w:hAnsi="宋体" w:cs="宋体" w:eastAsia="宋体" w:hint="default"/>
                <w:spacing w:val="2"/>
                <w:sz w:val="18"/>
                <w:szCs w:val="18"/>
              </w:rPr>
              <w:t>东华软件公司的主营业务收入主要包括系 统集成、软件销售、技术服务等收入。</w:t>
            </w:r>
            <w:r>
              <w:rPr>
                <w:rFonts w:ascii="宋体" w:hAnsi="宋体" w:cs="宋体" w:eastAsia="宋体" w:hint="default"/>
                <w:spacing w:val="2"/>
                <w:sz w:val="18"/>
                <w:szCs w:val="18"/>
              </w:rPr>
              <w:t>2018</w:t>
            </w:r>
            <w:r>
              <w:rPr>
                <w:rFonts w:ascii="宋体" w:hAnsi="宋体" w:cs="宋体" w:eastAsia="宋体" w:hint="default"/>
                <w:spacing w:val="-87"/>
                <w:sz w:val="18"/>
                <w:szCs w:val="18"/>
              </w:rPr>
              <w:t> </w:t>
            </w:r>
            <w:r>
              <w:rPr>
                <w:rFonts w:ascii="宋体" w:hAnsi="宋体" w:cs="宋体" w:eastAsia="宋体" w:hint="default"/>
                <w:sz w:val="18"/>
                <w:szCs w:val="18"/>
              </w:rPr>
              <w:t>年度公司实现营业收入 </w:t>
            </w:r>
            <w:r>
              <w:rPr>
                <w:rFonts w:ascii="宋体" w:hAnsi="宋体" w:cs="宋体" w:eastAsia="宋体" w:hint="default"/>
                <w:sz w:val="18"/>
                <w:szCs w:val="18"/>
              </w:rPr>
              <w:t>84.76</w:t>
            </w:r>
            <w:r>
              <w:rPr>
                <w:rFonts w:ascii="宋体" w:hAnsi="宋体" w:cs="宋体" w:eastAsia="宋体" w:hint="default"/>
                <w:spacing w:val="-40"/>
                <w:sz w:val="18"/>
                <w:szCs w:val="18"/>
              </w:rPr>
              <w:t> </w:t>
            </w:r>
            <w:r>
              <w:rPr>
                <w:rFonts w:ascii="宋体" w:hAnsi="宋体" w:cs="宋体" w:eastAsia="宋体" w:hint="default"/>
                <w:sz w:val="18"/>
                <w:szCs w:val="18"/>
              </w:rPr>
              <w:t>亿元。由于公 </w:t>
            </w:r>
            <w:r>
              <w:rPr>
                <w:rFonts w:ascii="宋体" w:hAnsi="宋体" w:cs="宋体" w:eastAsia="宋体" w:hint="default"/>
                <w:spacing w:val="2"/>
                <w:sz w:val="18"/>
                <w:szCs w:val="18"/>
              </w:rPr>
              <w:t>司销售金额较大，其收入确认的准确性，以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及是否在恰当的财务报表期间确认可能存在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潜在错报，因此我们将收入确认作为关键审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计事项。</w:t>
            </w:r>
            <w:r>
              <w:rPr>
                <w:rFonts w:ascii="宋体" w:hAnsi="宋体" w:cs="宋体" w:eastAsia="宋体" w:hint="default"/>
                <w:sz w:val="18"/>
                <w:szCs w:val="18"/>
              </w:rPr>
              <w:t> </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0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）了解、评价了东华软件公司销售业务内部控制的设计，并测试关键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控制执行的有效性；</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18"/>
              <w:ind w:left="103" w:right="93" w:hanging="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）执行的实质性测试程序包括：①了解经营核算模式及收入确认方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法，对与收入确认有关的重大风险及报酬转移时点进行分析评估，进而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检查收入确认是否与披露的会计政策一致；②对收入执行月度波动分析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和毛利率分析，并与公司上年进行对比分析，分析收入变动的合理性；</w:t>
            </w:r>
          </w:p>
          <w:p>
            <w:pPr>
              <w:pStyle w:val="TableParagraph"/>
              <w:spacing w:line="240" w:lineRule="auto" w:before="18"/>
              <w:ind w:left="103" w:right="0"/>
              <w:jc w:val="both"/>
              <w:rPr>
                <w:rFonts w:ascii="宋体" w:hAnsi="宋体" w:cs="宋体" w:eastAsia="宋体" w:hint="default"/>
                <w:sz w:val="18"/>
                <w:szCs w:val="18"/>
              </w:rPr>
            </w:pPr>
            <w:r>
              <w:rPr>
                <w:rFonts w:ascii="宋体" w:hAnsi="宋体" w:cs="宋体" w:eastAsia="宋体" w:hint="default"/>
                <w:sz w:val="18"/>
                <w:szCs w:val="18"/>
              </w:rPr>
              <w:t>③对于系统集成收入和软件销售收入检查了客户验收报告、发票、检查</w:t>
            </w:r>
          </w:p>
        </w:tc>
      </w:tr>
    </w:tbl>
    <w:p>
      <w:pPr>
        <w:spacing w:after="0" w:line="240" w:lineRule="auto"/>
        <w:jc w:val="both"/>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217" w:type="dxa"/>
        <w:tblLayout w:type="fixed"/>
        <w:tblCellMar>
          <w:top w:w="0" w:type="dxa"/>
          <w:left w:w="0" w:type="dxa"/>
          <w:bottom w:w="0" w:type="dxa"/>
          <w:right w:w="0" w:type="dxa"/>
        </w:tblCellMar>
        <w:tblLook w:val="01E0"/>
      </w:tblPr>
      <w:tblGrid>
        <w:gridCol w:w="3689"/>
        <w:gridCol w:w="5810"/>
      </w:tblGrid>
      <w:tr>
        <w:trPr>
          <w:trHeight w:val="2194"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回款记录，核实收入确认的真实性；对于技术服务收入，如果一次性提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供服务，检查了客户的验收报告，如果在一定期限内提供服务，根据已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签订的合同金额及服务时间进行测算；④检查了资产负债表日前后确认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收入的支持性文件，评估收入是否在恰当的期间确认。</w:t>
            </w:r>
            <w:r>
              <w:rPr>
                <w:rFonts w:ascii="宋体" w:hAnsi="宋体" w:cs="宋体" w:eastAsia="宋体" w:hint="default"/>
                <w:sz w:val="18"/>
                <w:szCs w:val="18"/>
              </w:rPr>
              <w:t> </w:t>
            </w:r>
            <w:r>
              <w:rPr>
                <w:rFonts w:ascii="宋体" w:hAnsi="宋体" w:cs="宋体" w:eastAsia="宋体" w:hint="default"/>
                <w:sz w:val="18"/>
                <w:szCs w:val="18"/>
              </w:rPr>
              <w:t>基于所实施的审计程序，我们认为，东华软件公司的收入确认符合其收 入确认的会计政策，我们未发现影响合并财务报表的与收入确认相关的 重大差异。</w:t>
            </w:r>
            <w:r>
              <w:rPr>
                <w:rFonts w:ascii="宋体" w:hAnsi="宋体" w:cs="宋体" w:eastAsia="宋体" w:hint="default"/>
                <w:sz w:val="18"/>
                <w:szCs w:val="18"/>
              </w:rPr>
              <w:t> </w:t>
            </w:r>
          </w:p>
        </w:tc>
      </w:tr>
    </w:tbl>
    <w:p>
      <w:pPr>
        <w:spacing w:line="240" w:lineRule="auto" w:before="11"/>
        <w:rPr>
          <w:rFonts w:ascii="宋体" w:hAnsi="宋体" w:cs="宋体" w:eastAsia="宋体" w:hint="default"/>
          <w:sz w:val="23"/>
          <w:szCs w:val="23"/>
        </w:rPr>
      </w:pPr>
    </w:p>
    <w:tbl>
      <w:tblPr>
        <w:tblW w:w="0" w:type="auto"/>
        <w:jc w:val="left"/>
        <w:tblInd w:w="207" w:type="dxa"/>
        <w:tblLayout w:type="fixed"/>
        <w:tblCellMar>
          <w:top w:w="0" w:type="dxa"/>
          <w:left w:w="0" w:type="dxa"/>
          <w:bottom w:w="0" w:type="dxa"/>
          <w:right w:w="0" w:type="dxa"/>
        </w:tblCellMar>
        <w:tblLook w:val="01E0"/>
      </w:tblPr>
      <w:tblGrid>
        <w:gridCol w:w="4073"/>
        <w:gridCol w:w="5443"/>
      </w:tblGrid>
      <w:tr>
        <w:trPr>
          <w:trHeight w:val="578" w:hRule="exact"/>
        </w:trPr>
        <w:tc>
          <w:tcPr>
            <w:tcW w:w="9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、商誉减值</w:t>
            </w:r>
            <w:r>
              <w:rPr>
                <w:rFonts w:ascii="宋体" w:hAnsi="宋体" w:cs="宋体" w:eastAsia="宋体" w:hint="default"/>
                <w:sz w:val="18"/>
                <w:szCs w:val="18"/>
              </w:rPr>
              <w:t> </w:t>
            </w:r>
          </w:p>
        </w:tc>
      </w:tr>
      <w:tr>
        <w:trPr>
          <w:trHeight w:val="576" w:hRule="exact"/>
        </w:trPr>
        <w:tc>
          <w:tcPr>
            <w:tcW w:w="9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请参阅合并财务报表附注六中第（十五）项所述。</w:t>
            </w:r>
            <w:r>
              <w:rPr>
                <w:rFonts w:ascii="宋体" w:hAnsi="宋体" w:cs="宋体" w:eastAsia="宋体" w:hint="default"/>
                <w:sz w:val="18"/>
                <w:szCs w:val="18"/>
              </w:rPr>
              <w:t> </w:t>
            </w:r>
          </w:p>
        </w:tc>
      </w:tr>
      <w:tr>
        <w:trPr>
          <w:trHeight w:val="5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7"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3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7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z w:val="18"/>
                <w:szCs w:val="18"/>
              </w:rPr>
              <w:t>日，东华软件公司商誉的账面</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z w:val="18"/>
                <w:szCs w:val="18"/>
              </w:rPr>
              <w:t>价值为</w:t>
            </w:r>
            <w:r>
              <w:rPr>
                <w:rFonts w:ascii="宋体" w:hAnsi="宋体" w:cs="宋体" w:eastAsia="宋体" w:hint="default"/>
                <w:spacing w:val="-28"/>
                <w:sz w:val="18"/>
                <w:szCs w:val="18"/>
              </w:rPr>
              <w:t> </w:t>
            </w:r>
            <w:r>
              <w:rPr>
                <w:rFonts w:ascii="宋体" w:hAnsi="宋体" w:cs="宋体" w:eastAsia="宋体" w:hint="default"/>
                <w:sz w:val="18"/>
                <w:szCs w:val="18"/>
              </w:rPr>
              <w:t>7.81</w:t>
            </w:r>
            <w:r>
              <w:rPr>
                <w:rFonts w:ascii="宋体" w:hAnsi="宋体" w:cs="宋体" w:eastAsia="宋体" w:hint="default"/>
                <w:spacing w:val="-26"/>
                <w:sz w:val="18"/>
                <w:szCs w:val="18"/>
              </w:rPr>
              <w:t> </w:t>
            </w:r>
            <w:r>
              <w:rPr>
                <w:rFonts w:ascii="宋体" w:hAnsi="宋体" w:cs="宋体" w:eastAsia="宋体" w:hint="default"/>
                <w:sz w:val="18"/>
                <w:szCs w:val="18"/>
              </w:rPr>
              <w:t>亿元，其中</w:t>
            </w:r>
            <w:r>
              <w:rPr>
                <w:rFonts w:ascii="宋体" w:hAnsi="宋体" w:cs="宋体" w:eastAsia="宋体" w:hint="default"/>
                <w:spacing w:val="-28"/>
                <w:sz w:val="18"/>
                <w:szCs w:val="18"/>
              </w:rPr>
              <w:t> </w:t>
            </w:r>
            <w:r>
              <w:rPr>
                <w:rFonts w:ascii="宋体" w:hAnsi="宋体" w:cs="宋体" w:eastAsia="宋体" w:hint="default"/>
                <w:sz w:val="18"/>
                <w:szCs w:val="18"/>
              </w:rPr>
              <w:t>2018</w:t>
            </w:r>
            <w:r>
              <w:rPr>
                <w:rFonts w:ascii="宋体" w:hAnsi="宋体" w:cs="宋体" w:eastAsia="宋体" w:hint="default"/>
                <w:spacing w:val="-29"/>
                <w:sz w:val="18"/>
                <w:szCs w:val="18"/>
              </w:rPr>
              <w:t> </w:t>
            </w:r>
            <w:r>
              <w:rPr>
                <w:rFonts w:ascii="宋体" w:hAnsi="宋体" w:cs="宋体" w:eastAsia="宋体" w:hint="default"/>
                <w:sz w:val="18"/>
                <w:szCs w:val="18"/>
              </w:rPr>
              <w:t>年计提商誉减值准</w:t>
            </w:r>
          </w:p>
          <w:p>
            <w:pPr>
              <w:pStyle w:val="TableParagraph"/>
              <w:spacing w:line="316" w:lineRule="auto" w:before="76"/>
              <w:ind w:left="103" w:right="93"/>
              <w:jc w:val="both"/>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53"/>
                <w:sz w:val="18"/>
                <w:szCs w:val="18"/>
              </w:rPr>
              <w:t> </w:t>
            </w:r>
            <w:r>
              <w:rPr>
                <w:rFonts w:ascii="宋体" w:hAnsi="宋体" w:cs="宋体" w:eastAsia="宋体" w:hint="default"/>
                <w:sz w:val="18"/>
                <w:szCs w:val="18"/>
              </w:rPr>
              <w:t>2.26</w:t>
            </w:r>
            <w:r>
              <w:rPr>
                <w:rFonts w:ascii="宋体" w:hAnsi="宋体" w:cs="宋体" w:eastAsia="宋体" w:hint="default"/>
                <w:spacing w:val="-52"/>
                <w:sz w:val="18"/>
                <w:szCs w:val="18"/>
              </w:rPr>
              <w:t> </w:t>
            </w:r>
            <w:r>
              <w:rPr>
                <w:rFonts w:ascii="宋体" w:hAnsi="宋体" w:cs="宋体" w:eastAsia="宋体" w:hint="default"/>
                <w:sz w:val="18"/>
                <w:szCs w:val="18"/>
              </w:rPr>
              <w:t>亿元。根据企业会计准则，管理层须每年 </w:t>
            </w:r>
            <w:r>
              <w:rPr>
                <w:rFonts w:ascii="宋体" w:hAnsi="宋体" w:cs="宋体" w:eastAsia="宋体" w:hint="default"/>
                <w:spacing w:val="3"/>
                <w:sz w:val="18"/>
                <w:szCs w:val="18"/>
              </w:rPr>
              <w:t>对商誉进行减值测试。由于商誉金额较大，且管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理层需要作出重大判断，我们将商誉的减值确定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为关键审计事项。</w:t>
            </w:r>
            <w:r>
              <w:rPr>
                <w:rFonts w:ascii="宋体" w:hAnsi="宋体" w:cs="宋体" w:eastAsia="宋体" w:hint="default"/>
                <w:sz w:val="18"/>
                <w:szCs w:val="18"/>
              </w:rPr>
              <w:t> </w:t>
            </w:r>
          </w:p>
          <w:p>
            <w:pPr>
              <w:pStyle w:val="TableParagraph"/>
              <w:spacing w:line="240" w:lineRule="auto" w:before="18"/>
              <w:ind w:left="103" w:right="0"/>
              <w:jc w:val="both"/>
              <w:rPr>
                <w:rFonts w:ascii="宋体" w:hAnsi="宋体" w:cs="宋体" w:eastAsia="宋体" w:hint="default"/>
                <w:sz w:val="18"/>
                <w:szCs w:val="18"/>
              </w:rPr>
            </w:pPr>
            <w:r>
              <w:rPr>
                <w:rFonts w:ascii="宋体"/>
                <w:sz w:val="18"/>
              </w:rPr>
              <w:t> </w:t>
            </w:r>
          </w:p>
        </w:tc>
        <w:tc>
          <w:tcPr>
            <w:tcW w:w="5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）我们评估并测试了与商誉减值测试相关的内部控制，包括关键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假设及减值计提金额的复核和审批。</w:t>
            </w:r>
            <w:r>
              <w:rPr>
                <w:rFonts w:ascii="宋体" w:hAnsi="宋体" w:cs="宋体" w:eastAsia="宋体" w:hint="default"/>
                <w:sz w:val="18"/>
                <w:szCs w:val="18"/>
              </w:rPr>
              <w:t> </w:t>
            </w:r>
          </w:p>
          <w:p>
            <w:pPr>
              <w:pStyle w:val="TableParagraph"/>
              <w:spacing w:line="316" w:lineRule="auto" w:before="18"/>
              <w:ind w:left="103" w:right="9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）分析管理层对非同一控制下企业合并产生的商誉所属资产组的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认定和进行商誉减值测试时采用的关键假设和方法；</w:t>
            </w:r>
            <w:r>
              <w:rPr>
                <w:rFonts w:ascii="宋体" w:hAnsi="宋体" w:cs="宋体" w:eastAsia="宋体" w:hint="default"/>
                <w:sz w:val="18"/>
                <w:szCs w:val="18"/>
              </w:rPr>
              <w:t> </w:t>
            </w:r>
          </w:p>
          <w:p>
            <w:pPr>
              <w:pStyle w:val="TableParagraph"/>
              <w:spacing w:line="316" w:lineRule="auto" w:before="18"/>
              <w:ind w:left="103" w:right="1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）我们获取了管理层聘请的外部评估师出具的商誉减值测试报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告，并对外部评估师的胜任能力、专业素质和客观性进行了评估。</w:t>
            </w:r>
            <w:r>
              <w:rPr>
                <w:rFonts w:ascii="宋体" w:hAnsi="宋体" w:cs="宋体" w:eastAsia="宋体" w:hint="default"/>
                <w:sz w:val="18"/>
                <w:szCs w:val="18"/>
              </w:rPr>
              <w:t> </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）复核外部估值专家对资产组的估值方法及出具的评估报告；</w:t>
            </w:r>
            <w:r>
              <w:rPr>
                <w:rFonts w:ascii="宋体" w:hAnsi="宋体" w:cs="宋体" w:eastAsia="宋体" w:hint="default"/>
                <w:sz w:val="18"/>
                <w:szCs w:val="18"/>
              </w:rPr>
              <w:t> </w:t>
            </w:r>
          </w:p>
          <w:p>
            <w:pPr>
              <w:pStyle w:val="TableParagraph"/>
              <w:spacing w:line="316" w:lineRule="auto" w:before="76"/>
              <w:ind w:left="103" w:right="9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）获取并复核管理层编制的商誉所属资产组可收回金额的计算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表，比较商誉所属资产组的账面价值与其可收回金额的差异，确认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是否存在商誉减值情况；</w:t>
            </w:r>
            <w:r>
              <w:rPr>
                <w:rFonts w:ascii="宋体" w:hAnsi="宋体" w:cs="宋体" w:eastAsia="宋体" w:hint="default"/>
                <w:sz w:val="18"/>
                <w:szCs w:val="18"/>
              </w:rPr>
              <w:t> </w:t>
            </w:r>
          </w:p>
          <w:p>
            <w:pPr>
              <w:pStyle w:val="TableParagraph"/>
              <w:spacing w:line="316" w:lineRule="auto" w:before="18"/>
              <w:ind w:left="103" w:right="9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6</w:t>
            </w:r>
            <w:r>
              <w:rPr>
                <w:rFonts w:ascii="宋体" w:hAnsi="宋体" w:cs="宋体" w:eastAsia="宋体" w:hint="default"/>
                <w:spacing w:val="-3"/>
                <w:sz w:val="18"/>
                <w:szCs w:val="18"/>
              </w:rPr>
              <w:t>）根据商誉减值测试结果，检查和评价商誉的列报和披露是否准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确和恰当。</w:t>
            </w:r>
            <w:r>
              <w:rPr>
                <w:rFonts w:ascii="宋体" w:hAnsi="宋体" w:cs="宋体" w:eastAsia="宋体" w:hint="default"/>
                <w:sz w:val="18"/>
                <w:szCs w:val="18"/>
              </w:rPr>
              <w:t> </w:t>
            </w:r>
            <w:r>
              <w:rPr>
                <w:rFonts w:ascii="宋体" w:hAnsi="宋体" w:cs="宋体" w:eastAsia="宋体" w:hint="default"/>
                <w:sz w:val="18"/>
                <w:szCs w:val="18"/>
              </w:rPr>
              <w:t>基于所实施的审计程序，我们认为，管理层在商誉减值测试中作出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的判断可以被我们获取的证据所支持。</w:t>
            </w:r>
            <w:r>
              <w:rPr>
                <w:rFonts w:ascii="宋体" w:hAnsi="宋体" w:cs="宋体" w:eastAsia="宋体" w:hint="default"/>
                <w:sz w:val="18"/>
                <w:szCs w:val="18"/>
              </w:rPr>
              <w:t> </w:t>
            </w:r>
          </w:p>
        </w:tc>
      </w:tr>
    </w:tbl>
    <w:p>
      <w:pPr>
        <w:pStyle w:val="Heading5"/>
        <w:spacing w:line="240" w:lineRule="auto" w:before="10"/>
        <w:ind w:right="986"/>
        <w:jc w:val="left"/>
        <w:rPr>
          <w:rFonts w:ascii="宋体" w:hAnsi="宋体" w:cs="宋体" w:eastAsia="宋体" w:hint="default"/>
          <w:b w:val="0"/>
          <w:bCs w:val="0"/>
        </w:rPr>
      </w:pPr>
      <w:bookmarkStart w:name="四、其他信息" w:id="158"/>
      <w:bookmarkEnd w:id="158"/>
      <w:r>
        <w:rPr>
          <w:b w:val="0"/>
          <w:bCs w:val="0"/>
        </w:rPr>
      </w:r>
      <w:r>
        <w:rPr/>
        <w:t>四、其他信息</w:t>
      </w:r>
      <w:r>
        <w:rPr>
          <w:rFonts w:ascii="宋体" w:hAnsi="宋体" w:cs="宋体" w:eastAsia="宋体" w:hint="default"/>
          <w:spacing w:val="-2"/>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76"/>
        <w:ind w:right="1118" w:firstLine="352"/>
        <w:jc w:val="left"/>
        <w:rPr>
          <w:rFonts w:ascii="宋体" w:hAnsi="宋体" w:cs="宋体" w:eastAsia="宋体" w:hint="default"/>
        </w:rPr>
      </w:pPr>
      <w:r>
        <w:rPr/>
        <w:t>东华软件公司管理层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对其他信息负责。其他信息包括东华软件公司</w:t>
      </w:r>
      <w:r>
        <w:rPr>
          <w:spacing w:val="-39"/>
        </w:rPr>
        <w:t> </w:t>
      </w:r>
      <w:r>
        <w:rPr>
          <w:rFonts w:ascii="宋体" w:hAnsi="宋体" w:cs="宋体" w:eastAsia="宋体" w:hint="default"/>
        </w:rPr>
        <w:t>2018</w:t>
      </w:r>
      <w:r>
        <w:rPr>
          <w:rFonts w:ascii="宋体" w:hAnsi="宋体" w:cs="宋体" w:eastAsia="宋体" w:hint="default"/>
          <w:spacing w:val="-37"/>
        </w:rPr>
        <w:t> </w:t>
      </w:r>
      <w:r>
        <w:rPr/>
        <w:t>年年度报告中涵盖的信息， 但不包括合并财务报表和我们的审计报告。</w:t>
      </w:r>
      <w:r>
        <w:rPr>
          <w:rFonts w:ascii="宋体" w:hAnsi="宋体" w:cs="宋体" w:eastAsia="宋体" w:hint="default"/>
        </w:rPr>
        <w:t> </w:t>
      </w:r>
    </w:p>
    <w:p>
      <w:pPr>
        <w:pStyle w:val="BodyText"/>
        <w:spacing w:line="316" w:lineRule="auto" w:before="18"/>
        <w:ind w:left="505" w:right="986"/>
        <w:jc w:val="left"/>
      </w:pPr>
      <w:r>
        <w:rPr/>
        <w:t>我们对财务报表发表的审计意见不涵盖其他信息，我们也不对其他信息发表任何形式的鉴证结论。</w:t>
      </w:r>
      <w:r>
        <w:rPr>
          <w:rFonts w:ascii="宋体" w:hAnsi="宋体" w:cs="宋体" w:eastAsia="宋体" w:hint="default"/>
        </w:rPr>
        <w:t> </w:t>
      </w:r>
      <w:r>
        <w:rPr>
          <w:spacing w:val="-2"/>
        </w:rPr>
        <w:t>结合我们对财务报表的审计，我们的责任是阅读其他信息，在此过程中，考虑其他信息是否与财务报表或我们在审计过</w:t>
      </w:r>
    </w:p>
    <w:p>
      <w:pPr>
        <w:pStyle w:val="BodyText"/>
        <w:spacing w:line="316" w:lineRule="auto" w:before="18"/>
        <w:ind w:left="505" w:right="986" w:hanging="353"/>
        <w:jc w:val="left"/>
      </w:pPr>
      <w:r>
        <w:rPr/>
        <w:t>程中了解到的情况存在重大不一致或者似乎存在重大错报。</w:t>
      </w:r>
      <w:r>
        <w:rPr>
          <w:rFonts w:ascii="宋体" w:hAnsi="宋体" w:cs="宋体" w:eastAsia="宋体" w:hint="default"/>
        </w:rPr>
        <w:t> </w:t>
      </w:r>
      <w:r>
        <w:rPr>
          <w:spacing w:val="-2"/>
        </w:rPr>
        <w:t>基于我们已执行的工作，如果我们确定其他信息存在重大错报，我们应当报告该事实。在这方面，我们无任何事项需要</w:t>
      </w:r>
    </w:p>
    <w:p>
      <w:pPr>
        <w:pStyle w:val="BodyText"/>
        <w:spacing w:line="240" w:lineRule="auto" w:before="18"/>
        <w:ind w:right="986"/>
        <w:jc w:val="left"/>
        <w:rPr>
          <w:rFonts w:ascii="宋体" w:hAnsi="宋体" w:cs="宋体" w:eastAsia="宋体" w:hint="default"/>
        </w:rPr>
      </w:pPr>
      <w:r>
        <w:rPr/>
        <w:t>报告。</w:t>
      </w:r>
      <w:r>
        <w:rPr>
          <w:rFonts w:ascii="宋体" w:hAnsi="宋体" w:cs="宋体" w:eastAsia="宋体" w:hint="default"/>
        </w:rPr>
        <w:t> </w:t>
      </w:r>
    </w:p>
    <w:p>
      <w:pPr>
        <w:spacing w:line="316" w:lineRule="auto" w:before="77"/>
        <w:ind w:left="505" w:right="986" w:firstLine="7"/>
        <w:jc w:val="left"/>
        <w:rPr>
          <w:rFonts w:ascii="宋体" w:hAnsi="宋体" w:cs="宋体" w:eastAsia="宋体" w:hint="default"/>
          <w:sz w:val="18"/>
          <w:szCs w:val="18"/>
        </w:rPr>
      </w:pPr>
      <w:bookmarkStart w:name="五、管理层和治理层对财务报表的责任" w:id="159"/>
      <w:bookmarkEnd w:id="159"/>
      <w:r>
        <w:rPr/>
      </w: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b/>
          <w:bCs/>
          <w:spacing w:val="-2"/>
          <w:w w:val="99"/>
          <w:sz w:val="18"/>
          <w:szCs w:val="18"/>
        </w:rPr>
        <w:t> </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8"/>
        <w:ind w:left="505" w:right="986" w:hanging="353"/>
        <w:jc w:val="left"/>
      </w:pPr>
      <w:r>
        <w:rPr/>
        <w:t>务报表不存在由于舞弊或错误导致的重大错报。</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spacing w:val="-2"/>
        </w:rPr>
        <w:t>在编制财务报表时，管理层负责评估东华软件公司的持续经营能力，披露与持续经营相关的事项（如适用），并运用持</w:t>
      </w:r>
    </w:p>
    <w:p>
      <w:pPr>
        <w:spacing w:line="316" w:lineRule="auto" w:before="18"/>
        <w:ind w:left="505" w:right="3914" w:hanging="353"/>
        <w:jc w:val="left"/>
        <w:rPr>
          <w:rFonts w:ascii="宋体" w:hAnsi="宋体" w:cs="宋体" w:eastAsia="宋体" w:hint="default"/>
          <w:sz w:val="18"/>
          <w:szCs w:val="18"/>
        </w:rPr>
      </w:pPr>
      <w:r>
        <w:rPr>
          <w:rFonts w:ascii="宋体" w:hAnsi="宋体" w:cs="宋体" w:eastAsia="宋体" w:hint="default"/>
          <w:sz w:val="18"/>
          <w:szCs w:val="18"/>
        </w:rPr>
        <w:t>续经营假设，除非管理层计划清算东华软件公司、终止运营或别无其他现实的选择。</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治理层负责监督东华软件公司的财务报告过程。</w:t>
      </w:r>
      <w:r>
        <w:rPr>
          <w:rFonts w:ascii="宋体" w:hAnsi="宋体" w:cs="宋体" w:eastAsia="宋体" w:hint="default"/>
          <w:spacing w:val="1"/>
          <w:sz w:val="18"/>
          <w:szCs w:val="18"/>
        </w:rPr>
        <w:t> </w:t>
      </w:r>
      <w:r>
        <w:rPr>
          <w:rFonts w:ascii="宋体" w:hAnsi="宋体" w:cs="宋体" w:eastAsia="宋体" w:hint="default"/>
          <w:sz w:val="18"/>
          <w:szCs w:val="18"/>
        </w:rPr>
        <w:t> </w:t>
      </w:r>
      <w:bookmarkStart w:name="六、注册会计师对财务报表审计的责任" w:id="160"/>
      <w:bookmarkEnd w:id="160"/>
      <w:r>
        <w:rPr>
          <w:rFonts w:ascii="宋体" w:hAnsi="宋体" w:cs="宋体" w:eastAsia="宋体" w:hint="default"/>
          <w:sz w:val="18"/>
          <w:szCs w:val="18"/>
        </w:rPr>
      </w:r>
      <w:r>
        <w:rPr>
          <w:rFonts w:ascii="宋体" w:hAnsi="宋体" w:cs="宋体" w:eastAsia="宋体" w:hint="default"/>
          <w:b/>
          <w:bCs/>
          <w:sz w:val="18"/>
          <w:szCs w:val="18"/>
        </w:rPr>
        <w:t>六、注册会计师对财务报表审计的责任</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19"/>
        <w:ind w:right="986" w:firstLine="352"/>
        <w:jc w:val="left"/>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p>
    <w:p>
      <w:pPr>
        <w:spacing w:after="0" w:line="316"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986"/>
        <w:jc w:val="left"/>
        <w:rPr>
          <w:rFonts w:ascii="宋体" w:hAnsi="宋体" w:cs="宋体" w:eastAsia="宋体" w:hint="default"/>
        </w:rPr>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8"/>
        <w:ind w:left="505" w:right="1131"/>
        <w:jc w:val="left"/>
      </w:pPr>
      <w:r>
        <w:rPr/>
        <w:t>在按照审计准则执行审计工作的过程中，我们运用职业判断，并保持职业怀疑。同时，我们也执行以下工作：</w:t>
      </w:r>
      <w:r>
        <w:rPr>
          <w:rFonts w:ascii="宋体" w:hAnsi="宋体" w:cs="宋体" w:eastAsia="宋体" w:hint="default"/>
          <w:spacing w:val="1"/>
        </w:rPr>
        <w:t> </w:t>
      </w:r>
      <w:r>
        <w:rPr>
          <w:rFonts w:ascii="宋体" w:hAnsi="宋体" w:cs="宋体" w:eastAsia="宋体" w:hint="default"/>
        </w:rPr>
        <w:t> 1</w:t>
      </w:r>
      <w:r>
        <w:rPr/>
        <w:t>、识别和评估由于舞弊或错误导致的财务报表重大错报风险；设计和实施审计程序以应对这些风险；并获取充分、适</w:t>
      </w:r>
    </w:p>
    <w:p>
      <w:pPr>
        <w:pStyle w:val="BodyText"/>
        <w:spacing w:line="316" w:lineRule="auto" w:before="18"/>
        <w:ind w:right="986"/>
        <w:jc w:val="left"/>
        <w:rPr>
          <w:rFonts w:ascii="宋体" w:hAnsi="宋体" w:cs="宋体" w:eastAsia="宋体" w:hint="default"/>
        </w:rPr>
      </w:pP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8"/>
        <w:ind w:left="505" w:right="986"/>
        <w:jc w:val="left"/>
        <w:rPr>
          <w:rFonts w:ascii="宋体" w:hAnsi="宋体" w:cs="宋体" w:eastAsia="宋体" w:hint="default"/>
        </w:rPr>
      </w:pPr>
      <w:r>
        <w:rPr>
          <w:rFonts w:ascii="宋体" w:hAnsi="宋体" w:cs="宋体" w:eastAsia="宋体" w:hint="default"/>
        </w:rPr>
        <w:t>2</w:t>
      </w:r>
      <w:r>
        <w:rPr/>
        <w:t>、了解与审计相关的内部控制，以设计恰当的审计程序，但目的并非对内部控制的有效性发表意见。</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76"/>
        <w:ind w:left="505" w:right="986"/>
        <w:jc w:val="left"/>
        <w:rPr>
          <w:rFonts w:ascii="宋体" w:hAnsi="宋体" w:cs="宋体" w:eastAsia="宋体" w:hint="default"/>
        </w:rPr>
      </w:pP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76"/>
        <w:ind w:left="153" w:right="1132" w:firstLine="352"/>
        <w:jc w:val="both"/>
        <w:rPr>
          <w:rFonts w:ascii="宋体" w:hAnsi="宋体" w:cs="宋体" w:eastAsia="宋体" w:hint="default"/>
        </w:rPr>
      </w:pPr>
      <w:r>
        <w:rPr>
          <w:rFonts w:ascii="宋体" w:hAnsi="宋体" w:cs="宋体" w:eastAsia="宋体" w:hint="default"/>
        </w:rPr>
        <w:t>4</w:t>
      </w:r>
      <w:r>
        <w:rPr/>
        <w:t>、对管理层使用持续经营假设的恰当性得出结论。同时，根据获取的审计证据，就可能导致对东华软件公司持续经营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基于截至审计报告日可获得的信息。然而，未来的事项或情况可能导致东华软件公司不能持续经营。</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8"/>
        <w:ind w:left="505" w:right="986"/>
        <w:jc w:val="left"/>
        <w:rPr>
          <w:rFonts w:ascii="宋体" w:hAnsi="宋体" w:cs="宋体" w:eastAsia="宋体" w:hint="default"/>
        </w:rPr>
      </w:pPr>
      <w:r>
        <w:rPr>
          <w:rFonts w:ascii="宋体" w:hAnsi="宋体" w:cs="宋体" w:eastAsia="宋体" w:hint="default"/>
          <w:spacing w:val="1"/>
        </w:rPr>
        <w:t>5</w:t>
      </w:r>
      <w:r>
        <w:rPr/>
        <w:t>、评价财务报表的总体列报、结构和内容（包括披露</w:t>
      </w:r>
      <w:r>
        <w:rPr>
          <w:spacing w:val="-92"/>
        </w:rPr>
        <w:t>）</w:t>
      </w:r>
      <w:r>
        <w:rPr/>
        <w:t>，并</w:t>
      </w:r>
      <w:r>
        <w:rPr>
          <w:spacing w:val="2"/>
        </w:rPr>
        <w:t>评</w:t>
      </w:r>
      <w:r>
        <w:rPr/>
        <w:t>价财务报表是否公允反映相关交易和事项。</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76"/>
        <w:ind w:left="153" w:right="1135" w:firstLine="352"/>
        <w:jc w:val="both"/>
        <w:rPr>
          <w:rFonts w:ascii="宋体" w:hAnsi="宋体" w:cs="宋体" w:eastAsia="宋体" w:hint="default"/>
        </w:rPr>
      </w:pPr>
      <w:r>
        <w:rPr>
          <w:rFonts w:ascii="宋体" w:hAnsi="宋体" w:cs="宋体" w:eastAsia="宋体" w:hint="default"/>
        </w:rPr>
        <w:t>6</w:t>
      </w:r>
      <w:r>
        <w:rPr/>
        <w:t>、就东华软件公司中实体或业务活动的财务信息获取充分、适当的审计证据，以对财务报表发表审计意见。我们负责 指导、监督和执行集团审计，并对审计意见承担全部责任。</w:t>
      </w:r>
      <w:r>
        <w:rPr>
          <w:rFonts w:ascii="宋体" w:hAnsi="宋体" w:cs="宋体" w:eastAsia="宋体" w:hint="default"/>
        </w:rPr>
        <w:t> </w:t>
      </w:r>
    </w:p>
    <w:p>
      <w:pPr>
        <w:pStyle w:val="BodyText"/>
        <w:spacing w:line="316" w:lineRule="auto" w:before="18"/>
        <w:ind w:left="153" w:right="1135" w:firstLine="352"/>
        <w:jc w:val="both"/>
        <w:rPr>
          <w:rFonts w:ascii="宋体" w:hAnsi="宋体" w:cs="宋体" w:eastAsia="宋体" w:hint="default"/>
        </w:rPr>
      </w:pPr>
      <w:r>
        <w:rPr>
          <w:spacing w:val="-2"/>
        </w:rPr>
        <w:t>我们与治理层就计划的审计范围、时间安排和重大审计发现等事项进行沟通，包括沟通我们在审计中识别出的值得关注</w:t>
      </w:r>
      <w:r>
        <w:rPr/>
        <w:t> 的内部控制缺陷。</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8"/>
        <w:ind w:left="153" w:right="1132" w:firstLine="352"/>
        <w:jc w:val="both"/>
        <w:rPr>
          <w:rFonts w:ascii="宋体" w:hAnsi="宋体" w:cs="宋体" w:eastAsia="宋体" w:hint="default"/>
        </w:rPr>
      </w:pPr>
      <w:r>
        <w:rPr/>
        <w:t>我们还就已遵守与独立性相关的职业道德要求向治理层提供声明</w:t>
      </w:r>
      <w:r>
        <w:rPr>
          <w:spacing w:val="-75"/>
        </w:rPr>
        <w:t>，</w:t>
      </w:r>
      <w:r>
        <w:rPr/>
        <w:t>并与治理层沟通可能被合理认为影响我们独立性的所</w:t>
      </w:r>
      <w:r>
        <w:rPr/>
        <w:t> 有关系和其他事项，以及相关的防范措施（如适用</w:t>
      </w:r>
      <w:r>
        <w:rPr>
          <w:spacing w:val="-92"/>
        </w:rPr>
        <w:t>）</w:t>
      </w:r>
      <w:r>
        <w:rPr/>
        <w:t>。</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8"/>
        <w:ind w:left="153" w:right="1130" w:firstLine="352"/>
        <w:jc w:val="both"/>
        <w:rPr>
          <w:rFonts w:ascii="宋体" w:hAnsi="宋体" w:cs="宋体" w:eastAsia="宋体" w:hint="default"/>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r>
        <w:rPr>
          <w:rFonts w:ascii="宋体" w:hAnsi="宋体" w:cs="宋体" w:eastAsia="宋体" w:hint="default"/>
        </w:rPr>
        <w:t> </w:t>
      </w:r>
    </w:p>
    <w:p>
      <w:pPr>
        <w:pStyle w:val="BodyText"/>
        <w:spacing w:line="240" w:lineRule="auto" w:before="18"/>
        <w:ind w:left="153" w:right="0"/>
        <w:jc w:val="lef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316" w:lineRule="auto" w:before="76"/>
        <w:ind w:left="4931" w:right="986" w:firstLine="537"/>
        <w:jc w:val="left"/>
        <w:rPr>
          <w:rFonts w:ascii="宋体" w:hAnsi="宋体" w:cs="宋体" w:eastAsia="宋体" w:hint="default"/>
        </w:rPr>
      </w:pPr>
      <w:r>
        <w:rPr/>
        <w:t>北京兴华</w:t>
      </w:r>
      <w:r>
        <w:rPr>
          <w:spacing w:val="80"/>
        </w:rPr>
        <w:t> </w:t>
      </w:r>
      <w:r>
        <w:rPr>
          <w:rFonts w:ascii="宋体" w:hAnsi="宋体" w:cs="宋体" w:eastAsia="宋体" w:hint="default"/>
          <w:spacing w:val="80"/>
        </w:rPr>
      </w:r>
      <w:r>
        <w:rPr/>
        <w:t>中国注册会计师：</w:t>
      </w:r>
      <w:r>
        <w:rPr>
          <w:rFonts w:ascii="宋体" w:hAnsi="宋体" w:cs="宋体" w:eastAsia="宋体" w:hint="default"/>
        </w:rPr>
        <w:t> </w:t>
      </w:r>
      <w:r>
        <w:rPr/>
        <w:t>会计师事务所（特殊普通合伙）    </w:t>
      </w:r>
      <w:r>
        <w:rPr>
          <w:rFonts w:ascii="宋体" w:hAnsi="宋体" w:cs="宋体" w:eastAsia="宋体" w:hint="default"/>
        </w:rPr>
      </w:r>
      <w:r>
        <w:rPr/>
        <w:t>（项目合伙人）</w:t>
      </w:r>
      <w:r>
        <w:rPr>
          <w:spacing w:val="87"/>
        </w:rPr>
        <w:t> </w:t>
      </w:r>
      <w:r>
        <w:rPr>
          <w:rFonts w:ascii="宋体" w:hAnsi="宋体" w:cs="宋体" w:eastAsia="宋体" w:hint="default"/>
          <w:spacing w:val="87"/>
        </w:rPr>
      </w:r>
      <w:r>
        <w:rPr/>
        <w:t>肖丽娟</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8"/>
        <w:ind w:left="0" w:right="951"/>
        <w:jc w:val="right"/>
        <w:rPr>
          <w:rFonts w:ascii="宋体" w:hAnsi="宋体" w:cs="宋体" w:eastAsia="宋体" w:hint="default"/>
        </w:rPr>
      </w:pPr>
      <w:r>
        <w:rPr>
          <w:rFonts w:ascii="宋体"/>
          <w:spacing w:val="1"/>
        </w:rPr>
        <w:t> </w:t>
      </w: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240" w:lineRule="auto" w:before="76"/>
        <w:ind w:left="0" w:right="1042"/>
        <w:jc w:val="right"/>
        <w:rPr>
          <w:rFonts w:ascii="宋体" w:hAnsi="宋体" w:cs="宋体" w:eastAsia="宋体" w:hint="default"/>
        </w:rPr>
      </w:pPr>
      <w:r>
        <w:rPr>
          <w:rFonts w:ascii="宋体"/>
        </w:rPr>
        <w:t> </w:t>
      </w:r>
    </w:p>
    <w:p>
      <w:pPr>
        <w:pStyle w:val="BodyText"/>
        <w:spacing w:line="316" w:lineRule="auto" w:before="78"/>
        <w:ind w:left="4928" w:right="986" w:firstLine="540"/>
        <w:jc w:val="left"/>
        <w:rPr>
          <w:rFonts w:ascii="宋体" w:hAnsi="宋体" w:cs="宋体" w:eastAsia="宋体" w:hint="default"/>
        </w:rPr>
      </w:pPr>
      <w:r>
        <w:rPr/>
        <w:t>中国</w:t>
      </w:r>
      <w:r>
        <w:rPr>
          <w:rFonts w:ascii="宋体" w:hAnsi="宋体" w:cs="宋体" w:eastAsia="宋体" w:hint="default"/>
          <w:b/>
          <w:bCs/>
        </w:rPr>
        <w:t>·</w:t>
      </w:r>
      <w:r>
        <w:rPr/>
        <w:t>北京    </w:t>
      </w:r>
      <w:r>
        <w:rPr>
          <w:spacing w:val="79"/>
        </w:rPr>
        <w:t> </w:t>
      </w:r>
      <w:r>
        <w:rPr>
          <w:rFonts w:ascii="宋体" w:hAnsi="宋体" w:cs="宋体" w:eastAsia="宋体" w:hint="default"/>
          <w:spacing w:val="79"/>
        </w:rPr>
      </w:r>
      <w:r>
        <w:rPr/>
        <w:t>中国注册会计师：</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t>二○一九年四月二十九日                        </w:t>
      </w:r>
      <w:r>
        <w:rPr>
          <w:spacing w:val="79"/>
        </w:rPr>
        <w:t> </w:t>
      </w:r>
      <w:r>
        <w:rPr>
          <w:rFonts w:ascii="宋体" w:hAnsi="宋体" w:cs="宋体" w:eastAsia="宋体" w:hint="default"/>
          <w:spacing w:val="79"/>
        </w:rPr>
      </w:r>
      <w:r>
        <w:rPr/>
        <w:t>邢博晖</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8"/>
        <w:ind w:left="0" w:right="1043"/>
        <w:jc w:val="right"/>
        <w:rPr>
          <w:rFonts w:ascii="宋体" w:hAnsi="宋体" w:cs="宋体" w:eastAsia="宋体" w:hint="default"/>
        </w:rPr>
      </w:pPr>
      <w:r>
        <w:rPr>
          <w:rFonts w:ascii="宋体"/>
        </w:rPr>
        <w:t> </w:t>
      </w:r>
    </w:p>
    <w:p>
      <w:pPr>
        <w:spacing w:after="0" w:line="240" w:lineRule="auto"/>
        <w:jc w:val="right"/>
        <w:rPr>
          <w:rFonts w:ascii="宋体" w:hAnsi="宋体" w:cs="宋体" w:eastAsia="宋体" w:hint="default"/>
        </w:rPr>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4"/>
        <w:ind w:right="986"/>
        <w:jc w:val="left"/>
        <w:rPr>
          <w:b w:val="0"/>
          <w:bCs w:val="0"/>
        </w:rPr>
      </w:pPr>
      <w:bookmarkStart w:name="二、财务报表" w:id="161"/>
      <w:bookmarkEnd w:id="161"/>
      <w:r>
        <w:rPr>
          <w:b w:val="0"/>
          <w:bCs w:val="0"/>
        </w:rPr>
      </w: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6"/>
          <w:szCs w:val="26"/>
        </w:rPr>
      </w:pPr>
    </w:p>
    <w:p>
      <w:pPr>
        <w:pStyle w:val="BodyText"/>
        <w:tabs>
          <w:tab w:pos="8257" w:val="left" w:leader="none"/>
        </w:tabs>
        <w:spacing w:line="240" w:lineRule="auto"/>
        <w:ind w:right="986"/>
        <w:jc w:val="left"/>
      </w:pPr>
      <w:r>
        <w:rPr/>
        <w:t>编制单位：东华软件股份公司</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1"/>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2,086,641,271.60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1,749,004,889.56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5,614,104,354.04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4,910,013,753.74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53,165,741.89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181,649,503.56</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5,560,938,612.15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4,728,364,250.18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732,496,302.70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855,852,244.20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549,284,862.70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508,072,788.87</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4,636,520,569.72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3,670,295,492.37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142,981,032.43</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94,063,444.80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13,762,028,393.19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11,787,302,613.54</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651,564,110.01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651,576,099.18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78,720,446.17</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220,607,273.97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136,481,215.02</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5,757,183.93</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277,851,299.56</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306,577,145.99</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25,799,394.13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10,300,218.23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132,152,912.00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152,831,504.48</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24,752,258.08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781,400,416.80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1,005,999,688.59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3,671,997.77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4,007,873.47</w:t>
            </w:r>
            <w:r>
              <w:rPr>
                <w:rFonts w:ascii="Times New Roman"/>
                <w:sz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65,997,709.57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49,120,482.46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99,800.00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25,099,800.00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2,243,622,543.91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2,366,746,285.50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16,005,650,937.10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14,154,048,899.04</w:t>
            </w:r>
            <w:r>
              <w:rPr>
                <w:rFonts w:ascii="Times New Roman"/>
                <w:sz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1,845,260,277.48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931,772,643.44</w:t>
            </w:r>
            <w:r>
              <w:rPr>
                <w:rFonts w:ascii="Times New Roman"/>
                <w:sz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1,389,481,379.52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1,391,990,364.08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1,226,465,240.61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858,437,966.98</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8,300,124.07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8,578,883.33</w:t>
            </w:r>
            <w:r>
              <w:rPr>
                <w:rFonts w:ascii="Times New Roman"/>
                <w:sz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103,458,810.22</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156,243,357.01</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2,095,499,728.18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1,706,924,418.83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438,934,312.27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6,672,465,560.08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5,053,947,633.67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60,461,757.35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71,050,860.79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1,948,885.01</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4,183,474.54</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62,410,642.36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79,234,335.33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6,734,876,202.44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5,133,181,969.00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3,115,482,375.00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3,139,787,560.00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2,154,182,656.86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2,342,590,897.89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367,438.39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-2,598.39</w:t>
            </w:r>
            <w:r>
              <w:rPr>
                <w:rFonts w:ascii="Times New Roman"/>
                <w:sz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622,573,289.39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562,504,022.49</w:t>
            </w:r>
            <w:r>
              <w:rPr>
                <w:rFonts w:ascii="Times New Roman"/>
                <w:sz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3,282,424,450.60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2,849,927,261.22</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9,175,030,210.24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8,894,807,143.21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95,744,524.42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126,059,786.83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3406"/>
        <w:gridCol w:w="2969"/>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9,270,774,734.66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9,020,866,930.04</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16,005,650,937.10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14,154,048,899.04</w:t>
            </w:r>
            <w:r>
              <w:rPr>
                <w:rFonts w:ascii="Times New Roman"/>
                <w:sz w:val="18"/>
              </w:rPr>
            </w:r>
          </w:p>
        </w:tc>
      </w:tr>
    </w:tbl>
    <w:p>
      <w:pPr>
        <w:spacing w:line="240" w:lineRule="auto" w:before="2"/>
        <w:rPr>
          <w:rFonts w:ascii="Times New Roman" w:hAnsi="Times New Roman" w:cs="Times New Roman" w:eastAsia="Times New Roman" w:hint="default"/>
          <w:sz w:val="23"/>
          <w:szCs w:val="23"/>
        </w:rPr>
      </w:pPr>
    </w:p>
    <w:p>
      <w:pPr>
        <w:pStyle w:val="BodyText"/>
        <w:tabs>
          <w:tab w:pos="3514" w:val="left" w:leader="none"/>
          <w:tab w:pos="7566" w:val="left" w:leader="none"/>
        </w:tabs>
        <w:spacing w:line="240" w:lineRule="auto" w:before="44"/>
        <w:ind w:left="0" w:right="1225"/>
        <w:jc w:val="right"/>
      </w:pPr>
      <w:r>
        <w:rPr/>
        <w:t>法定代表人：薛向东</w:t>
        <w:tab/>
      </w:r>
      <w:r>
        <w:rPr>
          <w:spacing w:val="-1"/>
        </w:rPr>
        <w:t>主管会计工作负责人：叶莉</w:t>
        <w:tab/>
      </w:r>
      <w:r>
        <w:rPr/>
        <w:t>会计机构负责人：初美伶</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3"/>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0"/>
        <w:gridCol w:w="3302"/>
        <w:gridCol w:w="2966"/>
      </w:tblGrid>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1,284,074,301.69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850,115,023.41</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02"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3,592,509,286.53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3,275,114,031.30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15,394,152.26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40,800,873.03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3,577,115,134.27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3,234,313,158.27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187,586,703.67</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249,119,864.12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1,267,434,141.69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684,910,163.57</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2,598,978,884.01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2,236,778,519.20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47,682,378.38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54,919,557.83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8,978,265,695.97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7,350,957,159.43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501,544,976.10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501,556,965.27</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78,720,446.17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3,251,349,620.97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3,346,469,108.82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9,190,315.98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10,127,884.02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137,521,750.55</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183,477,493.06</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28,821,472.95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61,143,933.43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2,025,791.25</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1,692,988.55</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44,513,597.30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33,547,738.40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99,800.00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25,099,800.00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4,053,787,771.27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4,163,115,911.55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13,032,053,467.24</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11,514,073,070.98</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1,235,254,985.60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402,107,280.35</w:t>
            </w:r>
            <w:r>
              <w:rPr>
                <w:rFonts w:ascii="Times New Roman"/>
                <w:sz w:val="18"/>
              </w:rPr>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02"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562,959,634.62</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394,118,832.16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436,362,222.86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252,002,285.92</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775,382.73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631,072.55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32,863,239.42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114,228,585.13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2,786,483,940.87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2,437,537,055.16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438,934,312.27</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5,054,699,406.10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3,600,625,111.27</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40,681,757.35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52,654,667.90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40,681,757.35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52,654,821.02</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5,095,381,163.45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3,653,279,932.29</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3,115,482,375.00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3,139,787,560.00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2,157,604,807.17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2,344,268,627.97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1,378.02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621,195,346.88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561,126,079.98</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2,042,389,774.74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1,815,609,492.72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7,936,672,303.79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7,860,793,138.69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13,032,053,467.24</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11,514,073,070.98</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8,470,591,084.10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7,290,128,453.42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8,470,591,084.10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7,290,128,453.42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8,016,869,938.54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6,973,433,186.11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6,203,435,633.63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5,125,265,454.37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17,325,473.28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21,868,912.64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293,566,960.81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289,066,827.51</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599,530,467.67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556,889,854.19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416,928,963.49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343,963,250.41</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98,972,856.49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42,106,099.02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81,462,744.63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43,388,597.11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23,070,281.90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5,479,332.50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387,109,583.17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594,272,787.97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82,981,519.19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65,251,456.03</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-15,499,661.72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375,682,650.55</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-21,705,793.05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1,039,974.01</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-417,255.11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1,834,981.83</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520,785,747.92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759,464,355.72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308,095,676.47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13,808,865.57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2,781,928.70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12,308,156.98</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826,099,495.69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760,965,064.31</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28,290,830.97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95,670,412.66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797,808,664.72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665,294,651.65</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797,808,664.72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665,294,651.65</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806,409,576.38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663,799,645.53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-8,600,911.66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1,495,006.12</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370,036.78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-317,135,897.29</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370,036.78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-317,135,897.29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370,036.78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-317,135,897.29</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-317,068,575.76</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371,414.80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-67,321.53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798,178,701.50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348,158,754.36</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806,779,613.16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346,663,748.24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-8,600,911.66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1,495,006.12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0.2114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0.2114</w:t>
            </w:r>
            <w:r>
              <w:rPr>
                <w:rFonts w:ascii="Times New Roman"/>
                <w:sz w:val="18"/>
              </w:rPr>
            </w:r>
          </w:p>
        </w:tc>
      </w:tr>
    </w:tbl>
    <w:p>
      <w:pPr>
        <w:pStyle w:val="BodyText"/>
        <w:tabs>
          <w:tab w:pos="3667" w:val="left" w:leader="none"/>
          <w:tab w:pos="7718" w:val="left" w:leader="none"/>
        </w:tabs>
        <w:spacing w:line="592" w:lineRule="auto" w:before="51"/>
        <w:ind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 </w:t>
      </w:r>
      <w:r>
        <w:rPr/>
        <w:t>法定代表人：薛向东</w:t>
        <w:tab/>
      </w:r>
      <w:r>
        <w:rPr>
          <w:spacing w:val="-1"/>
        </w:rPr>
        <w:t>主管会计工作负责人：叶莉</w:t>
        <w:tab/>
      </w:r>
      <w:r>
        <w:rPr/>
        <w:t>会计机构负责人：初美伶</w:t>
      </w:r>
      <w:r>
        <w:rPr/>
        <w:t>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5"/>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4,046,015,274.97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3,191,568,377.26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2,857,580,921.62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1,901,544,614.40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6,945,352.11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9,349,129.29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99,256,516.00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95,434,359.90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246,143,583.96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230,012,707.74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112,416,942.83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119,282,310.00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47,088,593.92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11,621,954.72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47,023,760.07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11,655,499.24</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20,598,120.03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1,647,261.84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461,971,650.29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324,260,132.14</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37,020,832.51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36,253,780.11</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64,181,753.71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393,022,515.60</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-23,990,918.89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1,039,974.01</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-526,025.65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315,288,274.81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929,339,464.78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304,660,123.87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132,213.10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1,509,898.71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11,661,147.59</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618,438,499.97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917,810,530.29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17,745,830.95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77,127,503.87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600,692,669.02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840,683,026.42</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600,692,669.02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840,683,026.42</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-317,068,575.76</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-317,068,575.76</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-317,068,575.76</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600,691,291.00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523,614,450.66</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0.1918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0.2678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0.2678</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9,070,870,277.90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7,961,161,389.74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51,187,085.15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40,381,243.65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300,089,323.58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204,356,616.22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9,422,146,686.63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8,205,899,249.61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7,110,083,654.88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6,038,608,432.37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1,085,440,285.87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963,379,274.72</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243,208,036.70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252,889,754.43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631,953,901.54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783,344,072.05</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9,070,685,878.99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8,038,221,533.57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351,460,807.64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167,677,716.04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1,871.28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14,611,145.97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374,712,414.67</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6,839,538.19</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93,537,785.00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93,669,656.28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396,163,098.83</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116,395,517.11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83,655,553.10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72,794,432.00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493,535,403.91</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9,923,159.21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628,999.27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199,113,108.32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577,819,956.28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-105,443,452.04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-181,656,857.45</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3,319,740.00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864,700.00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3,319,740.00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864,700.00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1,679,182,948.86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1,078,044,449.39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1,632,783,394.78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695,066,000.00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3,315,286,083.64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1,773,975,149.39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1,445,892,837.53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769,266,290.03</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321,280,753.32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171,187,687.78</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1,630,440,194.78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314,590,000.00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3,397,613,785.63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1,255,043,977.81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-82,327,701.99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518,931,171.58</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917,961.81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-836,611.84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164,607,615.42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504,115,418.33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1,599,348,732.26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1,095,233,313.93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1,763,956,347.68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1,599,348,732.26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4,302,485,146.88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3,289,492,886.75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25,047,921.96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19,734,069.37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228,009,937.08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80,106,570.71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4,555,543,005.92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3,389,333,526.83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2,988,884,298.75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2,397,707,076.41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396,258,416.58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351,708,795.90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144,729,083.66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125,394,956.18</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638,892,602.21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602,195,898.68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4,168,764,401.20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3,477,006,727.17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386,778,604.72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-87,673,200.34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1,871.28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14,611,145.97</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81,153,200.00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414,161,114.67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93,480,713.45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174,635,784.73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428,772,260.64</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42,213,416.81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41,243,309.40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274,147,072.28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510,436,196.56</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359,117,071.05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675,477,560.14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551,679,505.96</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-500,841,775.41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-122,907,245.32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1,202,614,980.00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438,025,884.12</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1,622,360,000.00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618,796,000.00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2,824,974,980.00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1,056,821,884.12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632,937,474.44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57,011,590.34</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286,320,351.77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139,711,779.15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1,622,560,000.00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314,590,000.00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2,541,817,826.21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511,313,369.49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283,157,153.79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545,508,514.63</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169,093,983.10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334,928,068.97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810,375,299.17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475,447,230.20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979,469,282.27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810,375,299.17</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t>本期金额</w:t>
      </w:r>
    </w:p>
    <w:p>
      <w:pPr>
        <w:pStyle w:val="BodyText"/>
        <w:spacing w:line="240" w:lineRule="auto" w:before="115"/>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8134"/>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787,56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2,342,5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562,504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2,849,9</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27,261.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126,059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,786.83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9,020,8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787,56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562,504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2,849,9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27,261.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126,059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,786.83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9,020,8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-188,40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8,241.0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370,036</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60,069,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266.90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432,497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,189.38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-30,315,</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262.41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249,907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,804.62</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370,036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806,409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,576.38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-8,600,9</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11.66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798,178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,701.50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-188,40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8,241.0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-21,714,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350.75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-234,42</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7,776.7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3,820.8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3,319,7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9,265.8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-1,744,4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20.23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090.75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-26,778,</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510.98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60,069,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266.90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-373,91</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2,387.0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-313,84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3,120.1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 w:right="0"/>
              <w:jc w:val="left"/>
              <w:rPr>
                <w:rFonts w:ascii="Times New Roman" w:hAnsi="Times New Roman" w:cs="Times New Roman" w:eastAsia="Times New Roman" w:hint="default"/>
                <w:sz w:val="18"/>
                <w:szCs w:val="18"/>
              </w:rPr>
            </w:pPr>
            <w:r>
              <w:rPr>
                <w:rFonts w:ascii="Times New Roman"/>
                <w:sz w:val="18"/>
              </w:rPr>
              <w:t>60,069,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-60,069,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6" w:right="0"/>
              <w:jc w:val="left"/>
              <w:rPr>
                <w:rFonts w:ascii="Times New Roman" w:hAnsi="Times New Roman" w:cs="Times New Roman" w:eastAsia="Times New Roman" w:hint="default"/>
                <w:sz w:val="18"/>
                <w:szCs w:val="18"/>
              </w:rPr>
            </w:pPr>
            <w:r>
              <w:rPr>
                <w:rFonts w:ascii="Times New Roman"/>
                <w:sz w:val="18"/>
              </w:rPr>
              <w:t>266.90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left"/>
              <w:rPr>
                <w:rFonts w:ascii="Times New Roman" w:hAnsi="Times New Roman" w:cs="Times New Roman" w:eastAsia="Times New Roman" w:hint="default"/>
                <w:sz w:val="18"/>
                <w:szCs w:val="18"/>
              </w:rPr>
            </w:pPr>
            <w:r>
              <w:rPr>
                <w:rFonts w:ascii="Times New Roman"/>
                <w:sz w:val="18"/>
              </w:rPr>
              <w:t>266.90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-313,84</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3,120.1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-313,84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3,120.1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3,115,</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482,37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82,656.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367,438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622,573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,289.39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3,282,4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24,450.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95,744,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524.42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9,270,7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74,734.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r>
    </w:tbl>
    <w:p>
      <w:pPr>
        <w:pStyle w:val="BodyText"/>
        <w:spacing w:line="240" w:lineRule="auto" w:before="51"/>
        <w:ind w:right="986"/>
        <w:jc w:val="left"/>
      </w:pPr>
      <w:r>
        <w:rPr/>
        <w:t>上期金额</w:t>
      </w:r>
    </w:p>
    <w:p>
      <w:pPr>
        <w:pStyle w:val="BodyText"/>
        <w:spacing w:line="240" w:lineRule="auto" w:before="115"/>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4D4D4"/>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79" w:type="dxa"/>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2,341,5</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30,826.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317,133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,298.90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478,435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73,765.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123,564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,216.08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8,906,1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31,607.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2,341,5</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30,826.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317,133</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,298.90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478,435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,719.85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4,075,5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73,765.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123,564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,216.08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8,906,1</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31,607.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-317,13</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5,897.2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46,504.</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2,495,5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70.75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114,735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,323.00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-317,13</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5,897.2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663,799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,645.53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1,495,0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06.12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348,158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,754.36</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1,000,5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64.63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2,060,6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35.64</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864,700</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864,700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135,864</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1,195,9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35.64</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302.64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46,149.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-235,48</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4,067.0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302.64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-235,48</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4,067.0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787,56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2,342,5</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90,897.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562,504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126,059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,786.83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9,020,8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66,930.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t>本期金额</w:t>
      </w:r>
    </w:p>
    <w:p>
      <w:pPr>
        <w:pStyle w:val="BodyText"/>
        <w:spacing w:line="240" w:lineRule="auto" w:before="117"/>
        <w:ind w:left="0" w:right="1133"/>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3,139,78</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7,560.00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2,344,268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1,378.02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561,126,0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7,860,793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,138.69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3,139,78</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7,560.00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2,344,268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1,378.02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561,126,0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7,860,793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,138.69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-24,305,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185.00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-186,663,</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820.80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-1,378.02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60,069,26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226,780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,282.02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75,879,16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5.10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-1,378.02</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600,692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,669.02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600,691,2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 w:right="0"/>
              <w:jc w:val="center"/>
              <w:rPr>
                <w:rFonts w:ascii="Times New Roman" w:hAnsi="Times New Roman" w:cs="Times New Roman" w:eastAsia="Times New Roman" w:hint="default"/>
                <w:sz w:val="18"/>
                <w:szCs w:val="18"/>
              </w:rPr>
            </w:pPr>
            <w:r>
              <w:rPr>
                <w:rFonts w:ascii="Times New Roman"/>
                <w:sz w:val="18"/>
              </w:rPr>
              <w:t>-24,305,</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185.00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-186,663,</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820.80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-210,969,</w:t>
            </w:r>
          </w:p>
          <w:p>
            <w:pPr>
              <w:pStyle w:val="TableParagraph"/>
              <w:spacing w:line="240" w:lineRule="auto" w:before="102"/>
              <w:ind w:left="232" w:right="0"/>
              <w:jc w:val="center"/>
              <w:rPr>
                <w:rFonts w:ascii="Times New Roman" w:hAnsi="Times New Roman" w:cs="Times New Roman" w:eastAsia="Times New Roman" w:hint="default"/>
                <w:sz w:val="18"/>
                <w:szCs w:val="18"/>
              </w:rPr>
            </w:pPr>
            <w:r>
              <w:rPr>
                <w:rFonts w:ascii="Times New Roman"/>
                <w:sz w:val="18"/>
              </w:rPr>
              <w:t>005.80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center"/>
              <w:rPr>
                <w:rFonts w:ascii="Times New Roman" w:hAnsi="Times New Roman" w:cs="Times New Roman" w:eastAsia="Times New Roman" w:hint="default"/>
                <w:sz w:val="18"/>
                <w:szCs w:val="18"/>
              </w:rPr>
            </w:pPr>
            <w:r>
              <w:rPr>
                <w:rFonts w:ascii="Times New Roman"/>
                <w:sz w:val="18"/>
              </w:rPr>
              <w:t>-24,305,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185.00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-186,663,</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820.80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-210,969,</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005.80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60,069,26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-373,91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2,387.0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-313,843,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120.10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60,069,26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center"/>
              <w:rPr>
                <w:rFonts w:ascii="Times New Roman" w:hAnsi="Times New Roman" w:cs="Times New Roman" w:eastAsia="Times New Roman" w:hint="default"/>
                <w:sz w:val="18"/>
                <w:szCs w:val="18"/>
              </w:rPr>
            </w:pPr>
            <w:r>
              <w:rPr>
                <w:rFonts w:ascii="Times New Roman"/>
                <w:sz w:val="18"/>
              </w:rPr>
              <w:t>-60,069,</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266.90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-313,84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3,120.1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-313,843,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120.10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left"/>
              <w:rPr>
                <w:rFonts w:ascii="Times New Roman" w:hAnsi="Times New Roman" w:cs="Times New Roman" w:eastAsia="Times New Roman" w:hint="default"/>
                <w:sz w:val="18"/>
                <w:szCs w:val="18"/>
              </w:rPr>
            </w:pPr>
            <w:r>
              <w:rPr>
                <w:rFonts w:ascii="Times New Roman"/>
                <w:sz w:val="18"/>
              </w:rPr>
              <w:t>3,115,48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2,157,604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621,195,3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2,042,3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7,936,672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2"/>
      </w:tblGrid>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left"/>
              <w:rPr>
                <w:rFonts w:ascii="Times New Roman" w:hAnsi="Times New Roman" w:cs="Times New Roman" w:eastAsia="Times New Roman" w:hint="default"/>
                <w:sz w:val="18"/>
                <w:szCs w:val="18"/>
              </w:rPr>
            </w:pPr>
            <w:r>
              <w:rPr>
                <w:rFonts w:ascii="Times New Roman"/>
                <w:sz w:val="18"/>
              </w:rPr>
              <w:t>2,375.00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5" w:right="0"/>
              <w:jc w:val="left"/>
              <w:rPr>
                <w:rFonts w:ascii="Times New Roman" w:hAnsi="Times New Roman" w:cs="Times New Roman" w:eastAsia="Times New Roman" w:hint="default"/>
                <w:sz w:val="18"/>
                <w:szCs w:val="18"/>
              </w:rPr>
            </w:pPr>
            <w:r>
              <w:rPr>
                <w:rFonts w:ascii="Times New Roman"/>
                <w:sz w:val="18"/>
              </w:rPr>
              <w:t>,807.17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0" w:right="0"/>
              <w:jc w:val="left"/>
              <w:rPr>
                <w:rFonts w:ascii="Times New Roman" w:hAnsi="Times New Roman" w:cs="Times New Roman" w:eastAsia="Times New Roman" w:hint="default"/>
                <w:sz w:val="18"/>
                <w:szCs w:val="18"/>
              </w:rPr>
            </w:pPr>
            <w:r>
              <w:rPr>
                <w:rFonts w:ascii="Times New Roman"/>
                <w:sz w:val="18"/>
              </w:rPr>
              <w:t>46.88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89,774.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8" w:right="0"/>
              <w:jc w:val="left"/>
              <w:rPr>
                <w:rFonts w:ascii="Times New Roman" w:hAnsi="Times New Roman" w:cs="Times New Roman" w:eastAsia="Times New Roman" w:hint="default"/>
                <w:sz w:val="18"/>
                <w:szCs w:val="18"/>
              </w:rPr>
            </w:pPr>
            <w:r>
              <w:rPr>
                <w:rFonts w:ascii="Times New Roman"/>
                <w:sz w:val="18"/>
              </w:rPr>
              <w:t>,303.79</w:t>
            </w:r>
          </w:p>
        </w:tc>
      </w:tr>
    </w:tbl>
    <w:p>
      <w:pPr>
        <w:pStyle w:val="BodyText"/>
        <w:spacing w:line="240" w:lineRule="auto" w:before="51"/>
        <w:ind w:right="986"/>
        <w:jc w:val="left"/>
      </w:pPr>
      <w:r>
        <w:rPr/>
        <w:t>上期金额</w:t>
      </w:r>
    </w:p>
    <w:p>
      <w:pPr>
        <w:pStyle w:val="BodyText"/>
        <w:spacing w:line="240" w:lineRule="auto" w:before="115"/>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3,780.00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2,342,972</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,692.33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317,069,9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53.78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477,057,7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77.34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2,864,3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72,615.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7,571,366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,819.39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3,780.00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2,342,972</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,692.33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317,069,9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53.78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477,057,7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77.34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2,864,3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72,615.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7,571,366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,819.39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3,780.00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1,295,935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-317,068,</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575.76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84,068,30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63,123.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289,426,3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19.30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-317,068,</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575.76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840,683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523,614,4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50.66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1,295,935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1,295,935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1,295,935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1,295,935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3,780.00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84,068,30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46,149.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-235,484,</w:t>
            </w:r>
          </w:p>
          <w:p>
            <w:pPr>
              <w:pStyle w:val="TableParagraph"/>
              <w:spacing w:line="240" w:lineRule="auto" w:before="102"/>
              <w:ind w:left="232" w:right="0"/>
              <w:jc w:val="center"/>
              <w:rPr>
                <w:rFonts w:ascii="Times New Roman" w:hAnsi="Times New Roman" w:cs="Times New Roman" w:eastAsia="Times New Roman" w:hint="default"/>
                <w:sz w:val="18"/>
                <w:szCs w:val="18"/>
              </w:rPr>
            </w:pPr>
            <w:r>
              <w:rPr>
                <w:rFonts w:ascii="Times New Roman"/>
                <w:sz w:val="18"/>
              </w:rPr>
              <w:t>067.00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84,068,30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302.64</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3,780.00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-235,484,</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067.00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3,139,78</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7,560.00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2,344,268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1,378.02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561,126,0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7,860,793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,138.69</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bookmarkStart w:name="三、公司基本情况" w:id="170"/>
      <w:bookmarkEnd w:id="170"/>
      <w:r>
        <w:rPr>
          <w:b w:val="0"/>
          <w:bCs w:val="0"/>
        </w:rPr>
      </w: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130" w:firstLine="420"/>
        <w:jc w:val="both"/>
      </w:pPr>
      <w:r>
        <w:rPr>
          <w:spacing w:val="-2"/>
        </w:rPr>
        <w:t>东华软件股份公司（原</w:t>
      </w:r>
      <w:r>
        <w:rPr>
          <w:rFonts w:ascii="Times New Roman" w:hAnsi="Times New Roman" w:cs="Times New Roman" w:eastAsia="Times New Roman" w:hint="default"/>
          <w:spacing w:val="-2"/>
        </w:rPr>
        <w:t>“</w:t>
      </w:r>
      <w:r>
        <w:rPr>
          <w:spacing w:val="-2"/>
        </w:rPr>
        <w:t>北京东华合创数码科技股份有限公司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）是由北京东华诚信电脑科</w:t>
      </w:r>
      <w:r>
        <w:rPr/>
        <w:t> </w:t>
      </w:r>
      <w:r>
        <w:rPr>
          <w:spacing w:val="-2"/>
        </w:rPr>
        <w:t>技发展有限公司（原北京东华诚信电脑科技发展公司）、北京东华诚信投资管理中心（有限合伙）（原北京东华诚信工业设</w:t>
      </w:r>
      <w:r>
        <w:rPr>
          <w:spacing w:val="-67"/>
        </w:rPr>
        <w:t> </w:t>
      </w:r>
      <w:r>
        <w:rPr>
          <w:spacing w:val="-67"/>
        </w:rPr>
      </w:r>
      <w:r>
        <w:rPr/>
        <w:t>备有限公司） </w:t>
      </w:r>
      <w:r>
        <w:rPr>
          <w:spacing w:val="-2"/>
        </w:rPr>
        <w:t>、北京合创电商投资顾问中心（有限合伙））（原北京合创电商投资顾问有限公司）等</w:t>
      </w:r>
      <w:r>
        <w:rPr>
          <w:rFonts w:ascii="Times New Roman" w:hAnsi="Times New Roman" w:cs="Times New Roman" w:eastAsia="Times New Roman" w:hint="default"/>
          <w:spacing w:val="-2"/>
        </w:rPr>
        <w:t>3</w:t>
      </w:r>
      <w:r>
        <w:rPr>
          <w:spacing w:val="-2"/>
        </w:rPr>
        <w:t>家法人企业及薛向东</w:t>
      </w:r>
      <w:r>
        <w:rPr>
          <w:spacing w:val="-76"/>
        </w:rPr>
        <w:t> </w:t>
      </w:r>
      <w:r>
        <w:rPr/>
        <w:t>等</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个自然人共同发起，在原北京东华合创数码科技有限公司的基础上，依法改制设立的股份有限公司。公司的注册资本 为人民币</w:t>
      </w:r>
      <w:r>
        <w:rPr>
          <w:rFonts w:ascii="Times New Roman" w:hAnsi="Times New Roman" w:cs="Times New Roman" w:eastAsia="Times New Roman" w:hint="default"/>
        </w:rPr>
        <w:t>3,115,482,375.00</w:t>
      </w:r>
      <w:r>
        <w:rPr/>
        <w:t>元，注册地址位于北京市海淀区紫金数码园</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15</w:t>
      </w:r>
      <w:r>
        <w:rPr/>
        <w:t>层</w:t>
      </w:r>
      <w:r>
        <w:rPr>
          <w:rFonts w:ascii="Times New Roman" w:hAnsi="Times New Roman" w:cs="Times New Roman" w:eastAsia="Times New Roman" w:hint="default"/>
        </w:rPr>
        <w:t>1501</w:t>
      </w:r>
      <w:r>
        <w:rPr/>
        <w:t>室，法定代表人：薛向东，企业统一社 会信用代码为</w:t>
      </w:r>
      <w:r>
        <w:rPr>
          <w:rFonts w:ascii="Times New Roman" w:hAnsi="Times New Roman" w:cs="Times New Roman" w:eastAsia="Times New Roman" w:hint="default"/>
        </w:rPr>
        <w:t>“</w:t>
      </w:r>
      <w:r>
        <w:rPr/>
        <w:t>第</w:t>
      </w:r>
      <w:r>
        <w:rPr>
          <w:rFonts w:ascii="Times New Roman" w:hAnsi="Times New Roman" w:cs="Times New Roman" w:eastAsia="Times New Roman" w:hint="default"/>
        </w:rPr>
        <w:t>911100007226188818</w:t>
      </w:r>
      <w:r>
        <w:rPr/>
        <w:t>号</w:t>
      </w:r>
      <w:r>
        <w:rPr>
          <w:rFonts w:ascii="Times New Roman" w:hAnsi="Times New Roman" w:cs="Times New Roman" w:eastAsia="Times New Roman" w:hint="default"/>
        </w:rPr>
        <w:t>”</w:t>
      </w:r>
      <w:r>
        <w:rPr/>
        <w:t>。</w:t>
      </w:r>
    </w:p>
    <w:p>
      <w:pPr>
        <w:pStyle w:val="BodyText"/>
        <w:spacing w:line="307" w:lineRule="auto" w:before="50"/>
        <w:ind w:right="1126" w:firstLine="420"/>
        <w:jc w:val="both"/>
      </w:pPr>
      <w:r>
        <w:rPr/>
        <w:t>公司的前身北京东华合创数码科技有限公司，成立于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月，注册资本为人民币</w:t>
      </w:r>
      <w:r>
        <w:rPr>
          <w:rFonts w:ascii="Times New Roman" w:hAnsi="Times New Roman" w:cs="Times New Roman" w:eastAsia="Times New Roman" w:hint="default"/>
        </w:rPr>
        <w:t>3,700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日，经</w:t>
      </w:r>
      <w:r>
        <w:rPr>
          <w:spacing w:val="2"/>
        </w:rPr>
        <w:t> </w:t>
      </w:r>
      <w:r>
        <w:rPr/>
        <w:t>北京市人民政府经济体制改革办公室以</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[2001]69</w:t>
      </w:r>
      <w:r>
        <w:rPr/>
        <w:t>号</w:t>
      </w:r>
      <w:r>
        <w:rPr>
          <w:rFonts w:ascii="Times New Roman" w:hAnsi="Times New Roman" w:cs="Times New Roman" w:eastAsia="Times New Roman" w:hint="default"/>
        </w:rPr>
        <w:t>”</w:t>
      </w:r>
      <w:r>
        <w:rPr/>
        <w:t>文《关于同意北京东华合创数码科技有限公司变更为北京 </w:t>
      </w:r>
      <w:r>
        <w:rPr>
          <w:spacing w:val="-2"/>
        </w:rPr>
        <w:t>东华合创数码科技股份有限公司的通知》批复，北京东华合创数码科技有限公司依法改制设立为股份有限公司，注册资本为</w:t>
      </w:r>
      <w:r>
        <w:rPr>
          <w:spacing w:val="-66"/>
        </w:rPr>
        <w:t> </w:t>
      </w:r>
      <w:r>
        <w:rPr>
          <w:spacing w:val="-66"/>
        </w:rPr>
      </w:r>
      <w:r>
        <w:rPr/>
        <w:t>人民币</w:t>
      </w:r>
      <w:r>
        <w:rPr>
          <w:rFonts w:ascii="Times New Roman" w:hAnsi="Times New Roman" w:cs="Times New Roman" w:eastAsia="Times New Roman" w:hint="default"/>
        </w:rPr>
        <w:t>4,856.25</w:t>
      </w:r>
      <w:r>
        <w:rPr/>
        <w:t>万元。</w:t>
      </w:r>
    </w:p>
    <w:p>
      <w:pPr>
        <w:pStyle w:val="BodyText"/>
        <w:spacing w:line="300" w:lineRule="auto" w:before="48"/>
        <w:ind w:right="1132" w:firstLine="420"/>
        <w:jc w:val="both"/>
      </w:pPr>
      <w:r>
        <w:rPr/>
        <w:t>经公司于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月召开的</w:t>
      </w:r>
      <w:r>
        <w:rPr>
          <w:rFonts w:ascii="Times New Roman" w:hAnsi="Times New Roman" w:cs="Times New Roman" w:eastAsia="Times New Roman" w:hint="default"/>
        </w:rPr>
        <w:t>2002</w:t>
      </w:r>
      <w:r>
        <w:rPr/>
        <w:t>年度股东大会表决通过，公司按照</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4,856.25</w:t>
      </w:r>
      <w:r>
        <w:rPr/>
        <w:t>万元为基数，按 </w:t>
      </w:r>
      <w:r>
        <w:rPr>
          <w:rFonts w:ascii="Times New Roman" w:hAnsi="Times New Roman" w:cs="Times New Roman" w:eastAsia="Times New Roman" w:hint="default"/>
          <w:spacing w:val="-1"/>
        </w:rPr>
        <w:t>10</w:t>
      </w:r>
      <w:r>
        <w:rPr>
          <w:spacing w:val="-1"/>
        </w:rPr>
        <w:t>比</w:t>
      </w:r>
      <w:r>
        <w:rPr>
          <w:rFonts w:ascii="Times New Roman" w:hAnsi="Times New Roman" w:cs="Times New Roman" w:eastAsia="Times New Roman" w:hint="default"/>
          <w:spacing w:val="-1"/>
        </w:rPr>
        <w:t>1</w:t>
      </w:r>
      <w:r>
        <w:rPr>
          <w:spacing w:val="-1"/>
        </w:rPr>
        <w:t>的比例向公司的全体股东派送红股，共增加股本</w:t>
      </w:r>
      <w:r>
        <w:rPr>
          <w:rFonts w:ascii="Times New Roman" w:hAnsi="Times New Roman" w:cs="Times New Roman" w:eastAsia="Times New Roman" w:hint="default"/>
          <w:spacing w:val="-1"/>
        </w:rPr>
        <w:t>485.625</w:t>
      </w:r>
      <w:r>
        <w:rPr>
          <w:spacing w:val="-1"/>
        </w:rPr>
        <w:t>万元。该增资事项完成后，公司的股本增加为人民币</w:t>
      </w:r>
      <w:r>
        <w:rPr>
          <w:rFonts w:ascii="Times New Roman" w:hAnsi="Times New Roman" w:cs="Times New Roman" w:eastAsia="Times New Roman" w:hint="default"/>
          <w:spacing w:val="-1"/>
        </w:rPr>
        <w:t>5,341.875</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w:t>
      </w:r>
    </w:p>
    <w:p>
      <w:pPr>
        <w:pStyle w:val="BodyText"/>
        <w:spacing w:line="240" w:lineRule="auto" w:before="72"/>
        <w:ind w:left="572" w:right="986"/>
        <w:jc w:val="left"/>
      </w:pPr>
      <w:r>
        <w:rPr/>
        <w:t>经公司于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月召开的</w:t>
      </w:r>
      <w:r>
        <w:rPr>
          <w:rFonts w:ascii="Times New Roman" w:hAnsi="Times New Roman" w:cs="Times New Roman" w:eastAsia="Times New Roman" w:hint="default"/>
        </w:rPr>
        <w:t>2004</w:t>
      </w:r>
      <w:r>
        <w:rPr/>
        <w:t>年度股东大会表决通过，公司按照</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5,341.875</w:t>
      </w:r>
      <w:r>
        <w:rPr/>
        <w:t>万元为基数，按</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1"/>
        </w:rPr>
        <w:t>10</w:t>
      </w:r>
      <w:r>
        <w:rPr/>
        <w:t>比</w:t>
      </w:r>
      <w:r>
        <w:rPr>
          <w:rFonts w:ascii="Times New Roman" w:hAnsi="Times New Roman" w:cs="Times New Roman" w:eastAsia="Times New Roman" w:hint="default"/>
          <w:spacing w:val="1"/>
        </w:rPr>
        <w:t>1</w:t>
      </w:r>
      <w:r>
        <w:rPr/>
        <w:t>的比例向公司的全体股</w:t>
      </w:r>
      <w:r>
        <w:rPr>
          <w:spacing w:val="-3"/>
        </w:rPr>
        <w:t>东</w:t>
      </w:r>
      <w:r>
        <w:rPr/>
        <w:t>派送红股</w:t>
      </w:r>
      <w:r>
        <w:rPr>
          <w:spacing w:val="-72"/>
        </w:rPr>
        <w:t>，</w:t>
      </w:r>
      <w:r>
        <w:rPr/>
        <w:t>共增加股本</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75</w:t>
      </w:r>
      <w:r>
        <w:rPr/>
        <w:t>万元</w:t>
      </w:r>
      <w:r>
        <w:rPr>
          <w:spacing w:val="-72"/>
        </w:rPr>
        <w:t>。</w:t>
      </w:r>
      <w:r>
        <w:rPr/>
        <w:t>该增资事项完成后</w:t>
      </w:r>
      <w:r>
        <w:rPr>
          <w:spacing w:val="-72"/>
        </w:rPr>
        <w:t>，</w:t>
      </w:r>
      <w:r>
        <w:rPr/>
        <w:t>公司的股本增加为人民币</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25</w:t>
      </w:r>
      <w:r>
        <w:rPr>
          <w:rFonts w:ascii="Times New Roman" w:hAnsi="Times New Roman" w:cs="Times New Roman" w:eastAsia="Times New Roman" w:hint="default"/>
        </w:rPr>
      </w:r>
    </w:p>
    <w:p>
      <w:pPr>
        <w:pStyle w:val="BodyText"/>
        <w:spacing w:line="240" w:lineRule="auto" w:before="62"/>
        <w:ind w:right="0"/>
        <w:jc w:val="both"/>
      </w:pPr>
      <w:r>
        <w:rPr/>
        <w:t>万元。</w:t>
      </w:r>
    </w:p>
    <w:p>
      <w:pPr>
        <w:pStyle w:val="BodyText"/>
        <w:spacing w:line="300" w:lineRule="auto" w:before="117"/>
        <w:ind w:right="1122" w:firstLine="419"/>
        <w:jc w:val="both"/>
      </w:pPr>
      <w:r>
        <w:rPr/>
        <w:t>经公司于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2005</w:t>
      </w:r>
      <w:r>
        <w:rPr/>
        <w:t>年度股东大会表决通过，公司按照</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5,876.0625</w:t>
      </w:r>
      <w:r>
        <w:rPr/>
        <w:t>万元为基数， </w:t>
      </w:r>
      <w:r>
        <w:rPr>
          <w:spacing w:val="7"/>
        </w:rPr>
        <w:t>按</w:t>
      </w:r>
      <w:r>
        <w:rPr>
          <w:rFonts w:ascii="Times New Roman" w:hAnsi="Times New Roman" w:cs="Times New Roman" w:eastAsia="Times New Roman" w:hint="default"/>
          <w:spacing w:val="7"/>
        </w:rPr>
        <w:t>10</w:t>
      </w:r>
      <w:r>
        <w:rPr>
          <w:spacing w:val="7"/>
        </w:rPr>
        <w:t>比</w:t>
      </w:r>
      <w:r>
        <w:rPr>
          <w:rFonts w:ascii="Times New Roman" w:hAnsi="Times New Roman" w:cs="Times New Roman" w:eastAsia="Times New Roman" w:hint="default"/>
          <w:spacing w:val="7"/>
        </w:rPr>
        <w:t>1</w:t>
      </w:r>
      <w:r>
        <w:rPr>
          <w:spacing w:val="7"/>
        </w:rPr>
        <w:t>的比例向公司的全体股东派送红股，共增加股本</w:t>
      </w:r>
      <w:r>
        <w:rPr>
          <w:rFonts w:ascii="Times New Roman" w:hAnsi="Times New Roman" w:cs="Times New Roman" w:eastAsia="Times New Roman" w:hint="default"/>
          <w:spacing w:val="7"/>
        </w:rPr>
        <w:t>587.6062</w:t>
      </w:r>
      <w:r>
        <w:rPr>
          <w:spacing w:val="7"/>
        </w:rPr>
        <w:t>万元。该增资事项完成后，公司的股本增加为人民币</w:t>
      </w:r>
      <w:r>
        <w:rPr>
          <w:spacing w:val="9"/>
        </w:rPr>
        <w:t> </w:t>
      </w:r>
      <w:r>
        <w:rPr>
          <w:rFonts w:ascii="Times New Roman" w:hAnsi="Times New Roman" w:cs="Times New Roman" w:eastAsia="Times New Roman" w:hint="default"/>
        </w:rPr>
        <w:t>6,463.6687</w:t>
      </w:r>
      <w:r>
        <w:rPr/>
        <w:t>万元。</w:t>
      </w:r>
    </w:p>
    <w:p>
      <w:pPr>
        <w:pStyle w:val="BodyText"/>
        <w:spacing w:line="300" w:lineRule="auto" w:before="53"/>
        <w:ind w:right="1131" w:firstLine="42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月，根据中国证券监督管理委员会于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日下发的《关于核准北京东华合创数码科技股份有限公司首 次公开发行股票的通知》（文号为</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[2006]55</w:t>
      </w:r>
      <w:r>
        <w:rPr/>
        <w:t>号</w:t>
      </w:r>
      <w:r>
        <w:rPr>
          <w:rFonts w:ascii="Times New Roman" w:hAnsi="Times New Roman" w:cs="Times New Roman" w:eastAsia="Times New Roman" w:hint="default"/>
        </w:rPr>
        <w:t>”</w:t>
      </w:r>
      <w:r>
        <w:rPr/>
        <w:t>）的规定，公司于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日前完成了向境内投资者首次公</w:t>
      </w:r>
      <w:r>
        <w:rPr>
          <w:spacing w:val="-21"/>
        </w:rPr>
        <w:t> </w:t>
      </w:r>
      <w:r>
        <w:rPr>
          <w:spacing w:val="-21"/>
        </w:rPr>
      </w:r>
      <w:r>
        <w:rPr/>
        <w:t>开发行</w:t>
      </w:r>
      <w:r>
        <w:rPr>
          <w:rFonts w:ascii="Times New Roman" w:hAnsi="Times New Roman" w:cs="Times New Roman" w:eastAsia="Times New Roman" w:hint="default"/>
        </w:rPr>
        <w:t>21,600,000</w:t>
      </w:r>
      <w:r>
        <w:rPr/>
        <w:t>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股票的工作（发行价格为</w:t>
      </w:r>
      <w:r>
        <w:rPr>
          <w:rFonts w:ascii="Times New Roman" w:hAnsi="Times New Roman" w:cs="Times New Roman" w:eastAsia="Times New Roman" w:hint="default"/>
        </w:rPr>
        <w:t>14.50</w:t>
      </w:r>
      <w:r>
        <w:rPr/>
        <w:t>元</w:t>
      </w:r>
      <w:r>
        <w:rPr>
          <w:rFonts w:ascii="Times New Roman" w:hAnsi="Times New Roman" w:cs="Times New Roman" w:eastAsia="Times New Roman" w:hint="default"/>
        </w:rPr>
        <w:t>/</w:t>
      </w:r>
      <w:r>
        <w:rPr/>
        <w:t>股）。经过上述股份变更事项后，公司股本为人民币</w:t>
      </w:r>
      <w:r>
        <w:rPr>
          <w:spacing w:val="-79"/>
        </w:rPr>
        <w:t> </w:t>
      </w:r>
      <w:r>
        <w:rPr>
          <w:spacing w:val="-79"/>
        </w:rPr>
      </w:r>
      <w:r>
        <w:rPr>
          <w:rFonts w:ascii="Times New Roman" w:hAnsi="Times New Roman" w:cs="Times New Roman" w:eastAsia="Times New Roman" w:hint="default"/>
        </w:rPr>
        <w:t>8,623.6687</w:t>
      </w:r>
      <w:r>
        <w:rPr/>
        <w:t>万元。</w:t>
      </w:r>
    </w:p>
    <w:p>
      <w:pPr>
        <w:pStyle w:val="BodyText"/>
        <w:spacing w:line="300" w:lineRule="auto" w:before="53"/>
        <w:ind w:right="1131" w:firstLine="419"/>
        <w:jc w:val="both"/>
      </w:pPr>
      <w:r>
        <w:rPr/>
        <w:t>经公司于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2006</w:t>
      </w:r>
      <w:r>
        <w:rPr/>
        <w:t>年度股东大会表决通过，公司按照</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8,623.6687</w:t>
      </w:r>
      <w:r>
        <w:rPr/>
        <w:t>万元为基数， 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5</w:t>
      </w:r>
      <w:r>
        <w:rPr/>
        <w:t>的比例以资本公积转增股本，共增加股本</w:t>
      </w:r>
      <w:r>
        <w:rPr>
          <w:rFonts w:ascii="Times New Roman" w:hAnsi="Times New Roman" w:cs="Times New Roman" w:eastAsia="Times New Roman" w:hint="default"/>
        </w:rPr>
        <w:t>4,311.8343</w:t>
      </w:r>
      <w:r>
        <w:rPr/>
        <w:t>万元。该增资事项完成后，公司的股本增加为人民币</w:t>
      </w:r>
      <w:r>
        <w:rPr>
          <w:rFonts w:ascii="Times New Roman" w:hAnsi="Times New Roman" w:cs="Times New Roman" w:eastAsia="Times New Roman" w:hint="default"/>
        </w:rPr>
        <w:t>12,935.503 </w:t>
      </w:r>
      <w:r>
        <w:rPr/>
        <w:t>万元。</w:t>
      </w:r>
    </w:p>
    <w:p>
      <w:pPr>
        <w:pStyle w:val="BodyText"/>
        <w:spacing w:line="300" w:lineRule="auto" w:before="72"/>
        <w:ind w:right="1041" w:firstLine="419"/>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月，根据公司</w:t>
      </w:r>
      <w:r>
        <w:rPr>
          <w:rFonts w:ascii="Times New Roman" w:hAnsi="Times New Roman" w:cs="Times New Roman" w:eastAsia="Times New Roman" w:hint="default"/>
        </w:rPr>
        <w:t>2007</w:t>
      </w:r>
      <w:r>
        <w:rPr/>
        <w:t>年第一次临时股东大会决议和修改后章程以及中国证券监督管理委员会于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日下 </w:t>
      </w:r>
      <w:r>
        <w:rPr>
          <w:spacing w:val="-2"/>
        </w:rPr>
        <w:t>发的《关于核准北京东华合创数码科技股份有限公司向秦劳、翟曙春、柏红、胡明炜、谢坤等</w:t>
      </w:r>
      <w:r>
        <w:rPr>
          <w:rFonts w:ascii="Times New Roman" w:hAnsi="Times New Roman" w:cs="Times New Roman" w:eastAsia="Times New Roman" w:hint="default"/>
          <w:spacing w:val="-2"/>
        </w:rPr>
        <w:t>5</w:t>
      </w:r>
      <w:r>
        <w:rPr>
          <w:spacing w:val="-2"/>
        </w:rPr>
        <w:t>人发行新股购买资产的批复》</w:t>
      </w:r>
    </w:p>
    <w:p>
      <w:pPr>
        <w:pStyle w:val="BodyText"/>
        <w:spacing w:line="309" w:lineRule="auto" w:before="13"/>
        <w:ind w:right="1132"/>
        <w:jc w:val="both"/>
      </w:pPr>
      <w:r>
        <w:rPr/>
        <w:t>（文号为</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[2008]78</w:t>
      </w:r>
      <w:r>
        <w:rPr/>
        <w:t>号</w:t>
      </w:r>
      <w:r>
        <w:rPr>
          <w:rFonts w:ascii="Times New Roman" w:hAnsi="Times New Roman" w:cs="Times New Roman" w:eastAsia="Times New Roman" w:hint="default"/>
        </w:rPr>
        <w:t>”</w:t>
      </w:r>
      <w:r>
        <w:rPr/>
        <w:t>）的规定，公司申请增加注册资本人民币 </w:t>
      </w:r>
      <w:r>
        <w:rPr>
          <w:rFonts w:ascii="Times New Roman" w:hAnsi="Times New Roman" w:cs="Times New Roman" w:eastAsia="Times New Roman" w:hint="default"/>
        </w:rPr>
        <w:t>1,264</w:t>
      </w:r>
      <w:r>
        <w:rPr/>
        <w:t>万元，划分为每股人民币</w:t>
      </w:r>
      <w:r>
        <w:rPr>
          <w:rFonts w:ascii="Times New Roman" w:hAnsi="Times New Roman" w:cs="Times New Roman" w:eastAsia="Times New Roman" w:hint="default"/>
        </w:rPr>
        <w:t>1</w:t>
      </w:r>
      <w:r>
        <w:rPr/>
        <w:t>元的普通股</w:t>
      </w:r>
      <w:r>
        <w:rPr>
          <w:rFonts w:ascii="Times New Roman" w:hAnsi="Times New Roman" w:cs="Times New Roman" w:eastAsia="Times New Roman" w:hint="default"/>
        </w:rPr>
        <w:t>1,264</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2"/>
        </w:rPr>
        <w:t>万股，由自然人秦劳、翟曙春、柏红、胡明炜、谢坤等五人以所持有的北京联银通科技有限公司的股权认购，变更后的注册</w:t>
      </w:r>
      <w:r>
        <w:rPr>
          <w:spacing w:val="-68"/>
        </w:rPr>
        <w:t> </w:t>
      </w:r>
      <w:r>
        <w:rPr>
          <w:spacing w:val="-68"/>
        </w:rPr>
      </w:r>
      <w:r>
        <w:rPr/>
        <w:t>资本为人民币</w:t>
      </w:r>
      <w:r>
        <w:rPr>
          <w:rFonts w:ascii="Times New Roman" w:hAnsi="Times New Roman" w:cs="Times New Roman" w:eastAsia="Times New Roman" w:hint="default"/>
        </w:rPr>
        <w:t>14,199.503</w:t>
      </w:r>
      <w:r>
        <w:rPr/>
        <w:t>万元。经过上述股份变更事项后，公司股本为人民币</w:t>
      </w:r>
      <w:r>
        <w:rPr>
          <w:rFonts w:ascii="Times New Roman" w:hAnsi="Times New Roman" w:cs="Times New Roman" w:eastAsia="Times New Roman" w:hint="default"/>
        </w:rPr>
        <w:t>14,199.503</w:t>
      </w:r>
      <w:r>
        <w:rPr/>
        <w:t>万元。</w:t>
      </w:r>
    </w:p>
    <w:p>
      <w:pPr>
        <w:pStyle w:val="BodyText"/>
        <w:spacing w:line="300" w:lineRule="auto" w:before="46"/>
        <w:ind w:left="153" w:right="1127" w:firstLine="419"/>
        <w:jc w:val="both"/>
      </w:pPr>
      <w:r>
        <w:rPr/>
        <w:t>经公司于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月召开的</w:t>
      </w:r>
      <w:r>
        <w:rPr>
          <w:rFonts w:ascii="Times New Roman" w:hAnsi="Times New Roman" w:cs="Times New Roman" w:eastAsia="Times New Roman" w:hint="default"/>
        </w:rPr>
        <w:t>2007</w:t>
      </w:r>
      <w:r>
        <w:rPr/>
        <w:t>年度股东大会表决通过，公司按照</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日的股份总额</w:t>
      </w:r>
      <w:r>
        <w:rPr>
          <w:spacing w:val="-51"/>
        </w:rPr>
        <w:t> </w:t>
      </w:r>
      <w:r>
        <w:rPr>
          <w:rFonts w:ascii="Times New Roman" w:hAnsi="Times New Roman" w:cs="Times New Roman" w:eastAsia="Times New Roman" w:hint="default"/>
        </w:rPr>
        <w:t>12,935.503</w:t>
      </w:r>
      <w:r>
        <w:rPr/>
        <w:t>万股及向自然 </w:t>
      </w:r>
      <w:r>
        <w:rPr>
          <w:spacing w:val="-2"/>
        </w:rPr>
        <w:t>人秦劳、翟曙春、柏红、胡明炜、谢坤等五人定向增发</w:t>
      </w:r>
      <w:r>
        <w:rPr>
          <w:rFonts w:ascii="Times New Roman" w:hAnsi="Times New Roman" w:cs="Times New Roman" w:eastAsia="Times New Roman" w:hint="default"/>
          <w:spacing w:val="-2"/>
        </w:rPr>
        <w:t>1,264</w:t>
      </w:r>
      <w:r>
        <w:rPr>
          <w:spacing w:val="-2"/>
        </w:rPr>
        <w:t>万股共计</w:t>
      </w:r>
      <w:r>
        <w:rPr>
          <w:rFonts w:ascii="Times New Roman" w:hAnsi="Times New Roman" w:cs="Times New Roman" w:eastAsia="Times New Roman" w:hint="default"/>
          <w:spacing w:val="-2"/>
        </w:rPr>
        <w:t>14,199.503</w:t>
      </w:r>
      <w:r>
        <w:rPr>
          <w:spacing w:val="-2"/>
        </w:rPr>
        <w:t>万股为基数，以资本公积按</w:t>
      </w:r>
      <w:r>
        <w:rPr>
          <w:rFonts w:ascii="Times New Roman" w:hAnsi="Times New Roman" w:cs="Times New Roman" w:eastAsia="Times New Roman" w:hint="default"/>
          <w:spacing w:val="-2"/>
        </w:rPr>
        <w:t>10:10</w:t>
      </w:r>
      <w:r>
        <w:rPr>
          <w:spacing w:val="-2"/>
        </w:rPr>
        <w:t>的比例向全</w:t>
      </w:r>
      <w:r>
        <w:rPr>
          <w:spacing w:val="-54"/>
        </w:rPr>
        <w:t> </w:t>
      </w:r>
      <w:r>
        <w:rPr>
          <w:spacing w:val="-54"/>
        </w:rPr>
      </w:r>
      <w:r>
        <w:rPr/>
        <w:t>体股东转增股本，共增加股本</w:t>
      </w:r>
      <w:r>
        <w:rPr>
          <w:rFonts w:ascii="Times New Roman" w:hAnsi="Times New Roman" w:cs="Times New Roman" w:eastAsia="Times New Roman" w:hint="default"/>
        </w:rPr>
        <w:t>14,199.503</w:t>
      </w:r>
      <w:r>
        <w:rPr/>
        <w:t>万元。该增资事项完成后，公司的股本增加为人民币</w:t>
      </w:r>
      <w:r>
        <w:rPr>
          <w:spacing w:val="-22"/>
        </w:rPr>
        <w:t> </w:t>
      </w:r>
      <w:r>
        <w:rPr>
          <w:rFonts w:ascii="Times New Roman" w:hAnsi="Times New Roman" w:cs="Times New Roman" w:eastAsia="Times New Roman" w:hint="default"/>
        </w:rPr>
        <w:t>28,399.006</w:t>
      </w:r>
      <w:r>
        <w:rPr/>
        <w:t>万元。</w:t>
      </w:r>
    </w:p>
    <w:p>
      <w:pPr>
        <w:pStyle w:val="BodyText"/>
        <w:spacing w:line="300" w:lineRule="auto" w:before="53"/>
        <w:ind w:left="153" w:right="1127" w:firstLine="419"/>
        <w:jc w:val="both"/>
      </w:pPr>
      <w:r>
        <w:rPr/>
        <w:t>经公司于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2008</w:t>
      </w:r>
      <w:r>
        <w:rPr/>
        <w:t>年度股东大会表决通过，公司按照</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28,399.006</w:t>
      </w:r>
      <w:r>
        <w:rPr/>
        <w:t>万元为基数， 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3</w:t>
      </w:r>
      <w:r>
        <w:rPr/>
        <w:t>的比例以资本公积转增股本，按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2</w:t>
      </w:r>
      <w:r>
        <w:rPr/>
        <w:t>的比例向公司的全体股东派送红股，共增加股本</w:t>
      </w:r>
      <w:r>
        <w:rPr>
          <w:rFonts w:ascii="Times New Roman" w:hAnsi="Times New Roman" w:cs="Times New Roman" w:eastAsia="Times New Roman" w:hint="default"/>
        </w:rPr>
        <w:t>14,199.503</w:t>
      </w:r>
      <w:r>
        <w:rPr/>
        <w:t>万元。该增资事项</w:t>
      </w:r>
      <w:r>
        <w:rPr>
          <w:spacing w:val="-83"/>
        </w:rPr>
        <w:t> </w:t>
      </w:r>
      <w:r>
        <w:rPr/>
        <w:t>完成后，公司的股本增加为人民币</w:t>
      </w:r>
      <w:r>
        <w:rPr>
          <w:rFonts w:ascii="Times New Roman" w:hAnsi="Times New Roman" w:cs="Times New Roman" w:eastAsia="Times New Roman" w:hint="default"/>
        </w:rPr>
        <w:t>42,598.509</w:t>
      </w:r>
      <w:r>
        <w:rPr/>
        <w:t>万元。</w:t>
      </w:r>
    </w:p>
    <w:p>
      <w:pPr>
        <w:pStyle w:val="BodyText"/>
        <w:spacing w:line="300" w:lineRule="auto" w:before="53"/>
        <w:ind w:left="153" w:right="1135" w:firstLine="419"/>
        <w:jc w:val="both"/>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日，经北京市工商行政管理局核准变更登记，公司名称由</w:t>
      </w:r>
      <w:r>
        <w:rPr>
          <w:rFonts w:ascii="Times New Roman" w:hAnsi="Times New Roman" w:cs="Times New Roman" w:eastAsia="Times New Roman" w:hint="default"/>
          <w:spacing w:val="-3"/>
        </w:rPr>
        <w:t>“</w:t>
      </w:r>
      <w:r>
        <w:rPr>
          <w:spacing w:val="-3"/>
        </w:rPr>
        <w:t>北京东华合创数码科技股份有限公司</w:t>
      </w:r>
      <w:r>
        <w:rPr>
          <w:rFonts w:ascii="Times New Roman" w:hAnsi="Times New Roman" w:cs="Times New Roman" w:eastAsia="Times New Roman" w:hint="default"/>
          <w:spacing w:val="-3"/>
        </w:rPr>
        <w:t>”</w:t>
      </w:r>
      <w:r>
        <w:rPr>
          <w:spacing w:val="-3"/>
        </w:rPr>
        <w:t>变更为</w:t>
      </w:r>
      <w:r>
        <w:rPr>
          <w:rFonts w:ascii="Times New Roman" w:hAnsi="Times New Roman" w:cs="Times New Roman" w:eastAsia="Times New Roman" w:hint="default"/>
          <w:spacing w:val="-3"/>
        </w:rPr>
        <w:t>“</w:t>
      </w:r>
      <w:r>
        <w:rPr>
          <w:spacing w:val="-3"/>
        </w:rPr>
        <w:t>东</w:t>
      </w:r>
      <w:r>
        <w:rPr/>
        <w:t> 华软件股份公司</w:t>
      </w:r>
      <w:r>
        <w:rPr>
          <w:rFonts w:ascii="Times New Roman" w:hAnsi="Times New Roman" w:cs="Times New Roman" w:eastAsia="Times New Roman" w:hint="default"/>
        </w:rPr>
        <w:t>”</w:t>
      </w:r>
      <w:r>
        <w:rPr/>
        <w:t>。</w:t>
      </w:r>
    </w:p>
    <w:p>
      <w:pPr>
        <w:pStyle w:val="BodyText"/>
        <w:spacing w:line="300" w:lineRule="auto" w:before="53"/>
        <w:ind w:left="153" w:right="986" w:firstLine="420"/>
        <w:jc w:val="left"/>
      </w:pPr>
      <w:r>
        <w:rPr>
          <w:spacing w:val="-3"/>
        </w:rPr>
        <w:t>根据中国证券监督管理委员会于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日下发的《关于核准东华软件股份公司发行股份购买资产的批复》（文号：</w:t>
      </w:r>
      <w:r>
        <w:rPr/>
        <w:t> </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[2011]96</w:t>
      </w:r>
      <w:r>
        <w:rPr/>
        <w:t>号</w:t>
      </w:r>
      <w:r>
        <w:rPr>
          <w:rFonts w:ascii="Times New Roman" w:hAnsi="Times New Roman" w:cs="Times New Roman" w:eastAsia="Times New Roman" w:hint="default"/>
        </w:rPr>
        <w:t>”</w:t>
      </w:r>
      <w:r>
        <w:rPr/>
        <w:t>）的规定，按照公司与北京神州新桥科技有限公司自然人股东张秀珍、张建华、江海标、王佺、吕兴 海五人确定的交易价格</w:t>
      </w:r>
      <w:r>
        <w:rPr>
          <w:rFonts w:ascii="Times New Roman" w:hAnsi="Times New Roman" w:cs="Times New Roman" w:eastAsia="Times New Roman" w:hint="default"/>
        </w:rPr>
        <w:t>32,000</w:t>
      </w:r>
      <w:r>
        <w:rPr/>
        <w:t>万元，公司以</w:t>
      </w:r>
      <w:r>
        <w:rPr>
          <w:rFonts w:ascii="Times New Roman" w:hAnsi="Times New Roman" w:cs="Times New Roman" w:eastAsia="Times New Roman" w:hint="default"/>
        </w:rPr>
        <w:t>19.63</w:t>
      </w:r>
      <w:r>
        <w:rPr/>
        <w:t>元</w:t>
      </w:r>
      <w:r>
        <w:rPr>
          <w:rFonts w:ascii="Times New Roman" w:hAnsi="Times New Roman" w:cs="Times New Roman" w:eastAsia="Times New Roman" w:hint="default"/>
        </w:rPr>
        <w:t>/</w:t>
      </w:r>
      <w:r>
        <w:rPr/>
        <w:t>股的价格向张秀珍、张建华、江海标、王佺、吕兴海五人合计发行股份</w:t>
      </w:r>
      <w:r>
        <w:rPr>
          <w:spacing w:val="-53"/>
        </w:rPr>
        <w:t> </w:t>
      </w:r>
      <w:r>
        <w:rPr>
          <w:spacing w:val="-53"/>
        </w:rPr>
      </w:r>
      <w:r>
        <w:rPr>
          <w:rFonts w:ascii="Times New Roman" w:hAnsi="Times New Roman" w:cs="Times New Roman" w:eastAsia="Times New Roman" w:hint="default"/>
        </w:rPr>
        <w:t>16,301,577</w:t>
      </w:r>
      <w:r>
        <w:rPr/>
        <w:t>股，作为公司收购北京神州新桥科技有限公司</w:t>
      </w:r>
      <w:r>
        <w:rPr>
          <w:rFonts w:ascii="Times New Roman" w:hAnsi="Times New Roman" w:cs="Times New Roman" w:eastAsia="Times New Roman" w:hint="default"/>
        </w:rPr>
        <w:t>100%</w:t>
      </w:r>
      <w:r>
        <w:rPr/>
        <w:t>股权的支付对价。根据中登深圳分公司出具的《证券登记确认 书》，公司于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日办理完毕本次发行股份的证券登记。经过上述股份变更事项后，公司股本为人民币</w:t>
      </w:r>
      <w:r>
        <w:rPr>
          <w:rFonts w:ascii="Times New Roman" w:hAnsi="Times New Roman" w:cs="Times New Roman" w:eastAsia="Times New Roman" w:hint="default"/>
        </w:rPr>
        <w:t>44,228.6667 </w:t>
      </w:r>
      <w:r>
        <w:rPr/>
        <w:t>万元。</w:t>
      </w:r>
    </w:p>
    <w:p>
      <w:pPr>
        <w:pStyle w:val="BodyText"/>
        <w:spacing w:line="240" w:lineRule="auto" w:before="72"/>
        <w:ind w:left="573" w:right="986"/>
        <w:jc w:val="left"/>
      </w:pPr>
      <w:r>
        <w:rPr/>
        <w:t>经公司于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18</w:t>
      </w:r>
      <w:r>
        <w:rPr/>
        <w:t>日召开的公司</w:t>
      </w:r>
      <w:r>
        <w:rPr>
          <w:rFonts w:ascii="Times New Roman" w:hAnsi="Times New Roman" w:cs="Times New Roman" w:eastAsia="Times New Roman" w:hint="default"/>
        </w:rPr>
        <w:t>2010</w:t>
      </w:r>
      <w:r>
        <w:rPr/>
        <w:t>年度股东大会表决通过，以公司总股本</w:t>
      </w:r>
      <w:r>
        <w:rPr>
          <w:rFonts w:ascii="Times New Roman" w:hAnsi="Times New Roman" w:cs="Times New Roman" w:eastAsia="Times New Roman" w:hint="default"/>
        </w:rPr>
        <w:t>442,286,667</w:t>
      </w:r>
      <w:r>
        <w:rPr/>
        <w:t>股为基数，向全体股东每</w:t>
      </w:r>
    </w:p>
    <w:p>
      <w:pPr>
        <w:pStyle w:val="BodyText"/>
        <w:spacing w:line="340" w:lineRule="auto" w:before="62"/>
        <w:ind w:left="573" w:right="1127" w:hanging="421"/>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股红股，共增加股本</w:t>
      </w:r>
      <w:r>
        <w:rPr>
          <w:rFonts w:ascii="Times New Roman" w:hAnsi="Times New Roman" w:cs="Times New Roman" w:eastAsia="Times New Roman" w:hint="default"/>
        </w:rPr>
        <w:t>8,845.7333</w:t>
      </w:r>
      <w:r>
        <w:rPr/>
        <w:t>万元，变更后公司股本为人民币</w:t>
      </w:r>
      <w:r>
        <w:rPr>
          <w:rFonts w:ascii="Times New Roman" w:hAnsi="Times New Roman" w:cs="Times New Roman" w:eastAsia="Times New Roman" w:hint="default"/>
        </w:rPr>
        <w:t>53,074.4</w:t>
      </w:r>
      <w:r>
        <w:rPr/>
        <w:t>万元。 </w:t>
      </w:r>
      <w:r>
        <w:rPr>
          <w:spacing w:val="-1"/>
        </w:rPr>
        <w:t>经公司于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日召开的公司</w:t>
      </w:r>
      <w:r>
        <w:rPr>
          <w:rFonts w:ascii="Times New Roman" w:hAnsi="Times New Roman" w:cs="Times New Roman" w:eastAsia="Times New Roman" w:hint="default"/>
          <w:spacing w:val="-1"/>
        </w:rPr>
        <w:t>2011</w:t>
      </w:r>
      <w:r>
        <w:rPr>
          <w:spacing w:val="-1"/>
        </w:rPr>
        <w:t>年度股东大会表决通过，以公司总股本</w:t>
      </w:r>
      <w:r>
        <w:rPr>
          <w:rFonts w:ascii="Times New Roman" w:hAnsi="Times New Roman" w:cs="Times New Roman" w:eastAsia="Times New Roman" w:hint="default"/>
          <w:spacing w:val="-1"/>
        </w:rPr>
        <w:t>530,744,000</w:t>
      </w:r>
      <w:r>
        <w:rPr>
          <w:spacing w:val="-1"/>
        </w:rPr>
        <w:t>股为基数，向全体股东每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28" w:lineRule="exact"/>
        <w:ind w:left="153" w:right="0"/>
        <w:jc w:val="both"/>
      </w:pPr>
      <w:r>
        <w:rPr/>
        <w:t>股送</w:t>
      </w:r>
      <w:r>
        <w:rPr>
          <w:rFonts w:ascii="Times New Roman" w:hAnsi="Times New Roman" w:cs="Times New Roman" w:eastAsia="Times New Roman" w:hint="default"/>
        </w:rPr>
        <w:t>3</w:t>
      </w:r>
      <w:r>
        <w:rPr/>
        <w:t>股红股，共增加股本</w:t>
      </w:r>
      <w:r>
        <w:rPr>
          <w:rFonts w:ascii="Times New Roman" w:hAnsi="Times New Roman" w:cs="Times New Roman" w:eastAsia="Times New Roman" w:hint="default"/>
        </w:rPr>
        <w:t>15,922.32</w:t>
      </w:r>
      <w:r>
        <w:rPr/>
        <w:t>万元，变更后公司股本为人民币</w:t>
      </w:r>
      <w:r>
        <w:rPr>
          <w:rFonts w:ascii="Times New Roman" w:hAnsi="Times New Roman" w:cs="Times New Roman" w:eastAsia="Times New Roman" w:hint="default"/>
        </w:rPr>
        <w:t>68,996.72</w:t>
      </w:r>
      <w:r>
        <w:rPr/>
        <w:t>万元。</w:t>
      </w:r>
    </w:p>
    <w:p>
      <w:pPr>
        <w:pStyle w:val="BodyText"/>
        <w:spacing w:line="297" w:lineRule="auto" w:before="103"/>
        <w:ind w:left="153" w:right="1132" w:firstLine="419"/>
        <w:jc w:val="both"/>
      </w:pPr>
      <w:r>
        <w:rPr>
          <w:spacing w:val="-1"/>
        </w:rPr>
        <w:t>根据公司股票期权激励计划的规定，</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月公司股票期权激励计划第一期行权的</w:t>
      </w:r>
      <w:r>
        <w:rPr>
          <w:rFonts w:ascii="Times New Roman" w:hAnsi="Times New Roman" w:cs="Times New Roman" w:eastAsia="Times New Roman" w:hint="default"/>
          <w:spacing w:val="-1"/>
        </w:rPr>
        <w:t>432</w:t>
      </w:r>
      <w:r>
        <w:rPr>
          <w:spacing w:val="-1"/>
        </w:rPr>
        <w:t>名激励对象缴纳出资增加注册</w:t>
      </w:r>
      <w:r>
        <w:rPr/>
        <w:t> 资本</w:t>
      </w:r>
      <w:r>
        <w:rPr>
          <w:rFonts w:ascii="Times New Roman" w:hAnsi="Times New Roman" w:cs="Times New Roman" w:eastAsia="Times New Roman" w:hint="default"/>
        </w:rPr>
        <w:t>4,336,410.00</w:t>
      </w:r>
      <w:r>
        <w:rPr/>
        <w:t>元，变更后公司股本为人民币</w:t>
      </w:r>
      <w:r>
        <w:rPr>
          <w:rFonts w:ascii="Times New Roman" w:hAnsi="Times New Roman" w:cs="Times New Roman" w:eastAsia="Times New Roman" w:hint="default"/>
        </w:rPr>
        <w:t>694,303,610</w:t>
      </w:r>
      <w:r>
        <w:rPr/>
        <w:t>元。</w:t>
      </w:r>
    </w:p>
    <w:p>
      <w:pPr>
        <w:pStyle w:val="BodyText"/>
        <w:spacing w:line="300" w:lineRule="auto" w:before="55"/>
        <w:ind w:left="153" w:right="1127" w:firstLine="419"/>
        <w:jc w:val="both"/>
      </w:pPr>
      <w:r>
        <w:rPr>
          <w:spacing w:val="-1"/>
        </w:rPr>
        <w:t>根据公司股票期权激励计划的规定，</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月股票期权激励计划第一期行权的</w:t>
      </w:r>
      <w:r>
        <w:rPr>
          <w:rFonts w:ascii="Times New Roman" w:hAnsi="Times New Roman" w:cs="Times New Roman" w:eastAsia="Times New Roman" w:hint="default"/>
          <w:spacing w:val="-1"/>
        </w:rPr>
        <w:t>1</w:t>
      </w:r>
      <w:r>
        <w:rPr>
          <w:spacing w:val="-1"/>
        </w:rPr>
        <w:t>名激励对象和第二期行权的</w:t>
      </w:r>
      <w:r>
        <w:rPr>
          <w:rFonts w:ascii="Times New Roman" w:hAnsi="Times New Roman" w:cs="Times New Roman" w:eastAsia="Times New Roman" w:hint="default"/>
          <w:spacing w:val="-1"/>
        </w:rPr>
        <w:t>339</w:t>
      </w:r>
      <w:r>
        <w:rPr>
          <w:spacing w:val="-1"/>
        </w:rPr>
        <w:t>名激励</w:t>
      </w:r>
      <w:r>
        <w:rPr/>
        <w:t> 对象出资增加注册资本</w:t>
      </w:r>
      <w:r>
        <w:rPr>
          <w:rFonts w:ascii="Times New Roman" w:hAnsi="Times New Roman" w:cs="Times New Roman" w:eastAsia="Times New Roman" w:hint="default"/>
        </w:rPr>
        <w:t>4,295,460.00</w:t>
      </w:r>
      <w:r>
        <w:rPr/>
        <w:t>元，变更后公司股本为人民币</w:t>
      </w:r>
      <w:r>
        <w:rPr>
          <w:rFonts w:ascii="Times New Roman" w:hAnsi="Times New Roman" w:cs="Times New Roman" w:eastAsia="Times New Roman" w:hint="default"/>
        </w:rPr>
        <w:t>698,599,070</w:t>
      </w:r>
      <w:r>
        <w:rPr/>
        <w:t>元。</w:t>
      </w:r>
    </w:p>
    <w:p>
      <w:pPr>
        <w:pStyle w:val="BodyText"/>
        <w:spacing w:line="240" w:lineRule="auto" w:before="53"/>
        <w:ind w:left="573" w:right="986"/>
        <w:jc w:val="left"/>
      </w:pPr>
      <w:r>
        <w:rPr/>
        <w:t>经中国证券监督管理委员会证监许可</w:t>
      </w:r>
      <w:r>
        <w:rPr>
          <w:rFonts w:ascii="Times New Roman" w:hAnsi="Times New Roman" w:cs="Times New Roman" w:eastAsia="Times New Roman" w:hint="default"/>
        </w:rPr>
        <w:t>[2013]845</w:t>
      </w:r>
      <w:r>
        <w:rPr/>
        <w:t>号文核准，公司于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26 </w:t>
      </w:r>
      <w:r>
        <w:rPr/>
        <w:t>日公开发行了 </w:t>
      </w:r>
      <w:r>
        <w:rPr>
          <w:rFonts w:ascii="Times New Roman" w:hAnsi="Times New Roman" w:cs="Times New Roman" w:eastAsia="Times New Roman" w:hint="default"/>
        </w:rPr>
        <w:t>1,000</w:t>
      </w:r>
      <w:r>
        <w:rPr>
          <w:rFonts w:ascii="Times New Roman" w:hAnsi="Times New Roman" w:cs="Times New Roman" w:eastAsia="Times New Roman" w:hint="default"/>
          <w:spacing w:val="44"/>
        </w:rPr>
        <w:t> </w:t>
      </w:r>
      <w:r>
        <w:rPr/>
        <w:t>万张可转换公</w:t>
      </w:r>
    </w:p>
    <w:p>
      <w:pPr>
        <w:pStyle w:val="BodyText"/>
        <w:spacing w:line="300" w:lineRule="auto" w:before="62"/>
        <w:ind w:left="153" w:right="1100" w:hanging="1"/>
        <w:jc w:val="both"/>
      </w:pPr>
      <w:r>
        <w:rPr/>
        <w:t>司债券，每张面值 </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100,000</w:t>
      </w:r>
      <w:r>
        <w:rPr/>
        <w:t>万元。转股起止日：</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7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39"/>
        </w:rPr>
        <w:t> </w:t>
      </w:r>
      <w:r>
        <w:rPr/>
        <w:t>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30</w:t>
      </w:r>
      <w:r>
        <w:rPr/>
        <w:t>日，可转换公司债券已转股</w:t>
      </w:r>
      <w:r>
        <w:rPr>
          <w:rFonts w:ascii="Times New Roman" w:hAnsi="Times New Roman" w:cs="Times New Roman" w:eastAsia="Times New Roman" w:hint="default"/>
        </w:rPr>
        <w:t>36,442,301</w:t>
      </w:r>
      <w:r>
        <w:rPr/>
        <w:t>股，转股后公司总股本为</w:t>
      </w:r>
      <w:r>
        <w:rPr>
          <w:rFonts w:ascii="Times New Roman" w:hAnsi="Times New Roman" w:cs="Times New Roman" w:eastAsia="Times New Roman" w:hint="default"/>
        </w:rPr>
        <w:t>735,041,371</w:t>
      </w:r>
      <w:r>
        <w:rPr/>
        <w:t>股。根据公司于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2013</w:t>
      </w:r>
      <w:r>
        <w:rPr/>
        <w:t>年度</w:t>
      </w:r>
      <w:r>
        <w:rPr>
          <w:spacing w:val="-3"/>
        </w:rPr>
        <w:t> </w:t>
      </w:r>
      <w:r>
        <w:rPr/>
        <w:t>股东大会决议，截止股权登记日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日，公司总股本 </w:t>
      </w:r>
      <w:r>
        <w:rPr>
          <w:rFonts w:ascii="Times New Roman" w:hAnsi="Times New Roman" w:cs="Times New Roman" w:eastAsia="Times New Roman" w:hint="default"/>
        </w:rPr>
        <w:t>735,041,371</w:t>
      </w:r>
      <w:r>
        <w:rPr/>
        <w:t>股，以资本公积金向全体股东每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w:t>
      </w:r>
    </w:p>
    <w:p>
      <w:pPr>
        <w:spacing w:after="0" w:line="300" w:lineRule="auto"/>
        <w:jc w:val="both"/>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共计转增</w:t>
      </w:r>
      <w:r>
        <w:rPr>
          <w:rFonts w:ascii="Times New Roman" w:hAnsi="Times New Roman" w:cs="Times New Roman" w:eastAsia="Times New Roman" w:hint="default"/>
        </w:rPr>
        <w:t>735,041,371</w:t>
      </w:r>
      <w:r>
        <w:rPr>
          <w:rFonts w:ascii="Times New Roman" w:hAnsi="Times New Roman" w:cs="Times New Roman" w:eastAsia="Times New Roman" w:hint="default"/>
          <w:spacing w:val="15"/>
        </w:rPr>
        <w:t> </w:t>
      </w:r>
      <w:r>
        <w:rPr/>
        <w:t>股。变更后股本为人民币</w:t>
      </w:r>
      <w:r>
        <w:rPr>
          <w:rFonts w:ascii="Times New Roman" w:hAnsi="Times New Roman" w:cs="Times New Roman" w:eastAsia="Times New Roman" w:hint="default"/>
        </w:rPr>
        <w:t>1,470,082,742</w:t>
      </w:r>
      <w:r>
        <w:rPr/>
        <w:t>元。</w:t>
      </w:r>
    </w:p>
    <w:p>
      <w:pPr>
        <w:pStyle w:val="BodyText"/>
        <w:spacing w:line="300" w:lineRule="auto" w:before="103"/>
        <w:ind w:right="1126" w:firstLine="42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月，根据公司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日召开的</w:t>
      </w:r>
      <w:r>
        <w:rPr>
          <w:rFonts w:ascii="Times New Roman" w:hAnsi="Times New Roman" w:cs="Times New Roman" w:eastAsia="Times New Roman" w:hint="default"/>
          <w:spacing w:val="3"/>
        </w:rPr>
        <w:t>2013</w:t>
      </w:r>
      <w:r>
        <w:rPr>
          <w:spacing w:val="3"/>
        </w:rPr>
        <w:t>年第一次临时股东大会决议，经中国证券监督管理委员会证监许可</w:t>
      </w:r>
      <w:r>
        <w:rPr>
          <w:spacing w:val="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rFonts w:ascii="Times New Roman" w:hAnsi="Times New Roman" w:cs="Times New Roman" w:eastAsia="Times New Roman" w:hint="default"/>
        </w:rPr>
        <w:t>343</w:t>
      </w:r>
      <w:r>
        <w:rPr/>
        <w:t>号《关于核准东华软件股份公司向黄麟雏等发行股份购买资产并募集配套资金的批复》核准，公司获准向北京威 锐达测控系统有限公司股东黄麟雏等</w:t>
      </w:r>
      <w:r>
        <w:rPr>
          <w:rFonts w:ascii="Times New Roman" w:hAnsi="Times New Roman" w:cs="Times New Roman" w:eastAsia="Times New Roman" w:hint="default"/>
        </w:rPr>
        <w:t>18</w:t>
      </w:r>
      <w:r>
        <w:rPr/>
        <w:t>名自然人发行人民币普通股（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29,212,592</w:t>
      </w:r>
      <w:r>
        <w:rPr/>
        <w:t>股，以及配融资支付现金，购买黄麟 雏等</w:t>
      </w:r>
      <w:r>
        <w:rPr>
          <w:rFonts w:ascii="Times New Roman" w:hAnsi="Times New Roman" w:cs="Times New Roman" w:eastAsia="Times New Roman" w:hint="default"/>
        </w:rPr>
        <w:t>18</w:t>
      </w:r>
      <w:r>
        <w:rPr/>
        <w:t>名自然人持有的北京威锐达测控系统有限公司</w:t>
      </w:r>
      <w:r>
        <w:rPr>
          <w:rFonts w:ascii="Times New Roman" w:hAnsi="Times New Roman" w:cs="Times New Roman" w:eastAsia="Times New Roman" w:hint="default"/>
        </w:rPr>
        <w:t>100%</w:t>
      </w:r>
      <w:r>
        <w:rPr/>
        <w:t>的股权。公司募集配套资金增加注册资本人民币</w:t>
      </w:r>
      <w:r>
        <w:rPr>
          <w:rFonts w:ascii="Times New Roman" w:hAnsi="Times New Roman" w:cs="Times New Roman" w:eastAsia="Times New Roman" w:hint="default"/>
        </w:rPr>
        <w:t>10,712,789</w:t>
      </w:r>
      <w:r>
        <w:rPr/>
        <w:t>元。</w:t>
      </w:r>
      <w:r>
        <w:rPr>
          <w:spacing w:val="2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日，公司发行的可转换公司债券共计转股</w:t>
      </w:r>
      <w:r>
        <w:rPr>
          <w:rFonts w:ascii="Times New Roman" w:hAnsi="Times New Roman" w:cs="Times New Roman" w:eastAsia="Times New Roman" w:hint="default"/>
        </w:rPr>
        <w:t>4,798,825</w:t>
      </w:r>
      <w:r>
        <w:rPr/>
        <w:t>股。经过上述变更后，公司的股本总额为人民币</w:t>
      </w:r>
    </w:p>
    <w:p>
      <w:pPr>
        <w:pStyle w:val="BodyText"/>
        <w:spacing w:line="240" w:lineRule="auto" w:before="13"/>
        <w:ind w:right="986"/>
        <w:jc w:val="left"/>
      </w:pPr>
      <w:r>
        <w:rPr>
          <w:rFonts w:ascii="Times New Roman" w:hAnsi="Times New Roman" w:cs="Times New Roman" w:eastAsia="Times New Roman" w:hint="default"/>
        </w:rPr>
        <w:t>1,514,806,948</w:t>
      </w:r>
      <w:r>
        <w:rPr/>
        <w:t>元。</w:t>
      </w:r>
    </w:p>
    <w:p>
      <w:pPr>
        <w:pStyle w:val="BodyText"/>
        <w:spacing w:line="297" w:lineRule="auto" w:before="103"/>
        <w:ind w:right="1135" w:firstLine="41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月，公司股权激励第二期行权的</w:t>
      </w:r>
      <w:r>
        <w:rPr>
          <w:rFonts w:ascii="Times New Roman" w:hAnsi="Times New Roman" w:cs="Times New Roman" w:eastAsia="Times New Roman" w:hint="default"/>
        </w:rPr>
        <w:t>1</w:t>
      </w:r>
      <w:r>
        <w:rPr/>
        <w:t>名激励对象缴纳出资增加注册资本人民币</w:t>
      </w:r>
      <w:r>
        <w:rPr>
          <w:rFonts w:ascii="Times New Roman" w:hAnsi="Times New Roman" w:cs="Times New Roman" w:eastAsia="Times New Roman" w:hint="default"/>
        </w:rPr>
        <w:t>62,400.00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月，公司股 权激励第三期行权的</w:t>
      </w:r>
      <w:r>
        <w:rPr>
          <w:rFonts w:ascii="Times New Roman" w:hAnsi="Times New Roman" w:cs="Times New Roman" w:eastAsia="Times New Roman" w:hint="default"/>
        </w:rPr>
        <w:t>333</w:t>
      </w:r>
      <w:r>
        <w:rPr/>
        <w:t>名激励对象缴纳出资增加注册资本</w:t>
      </w:r>
      <w:r>
        <w:rPr>
          <w:rFonts w:ascii="Times New Roman" w:hAnsi="Times New Roman" w:cs="Times New Roman" w:eastAsia="Times New Roman" w:hint="default"/>
        </w:rPr>
        <w:t>5,589,480</w:t>
      </w:r>
      <w:r>
        <w:rPr/>
        <w:t>元，增加注册资本</w:t>
      </w:r>
      <w:r>
        <w:rPr>
          <w:rFonts w:ascii="Times New Roman" w:hAnsi="Times New Roman" w:cs="Times New Roman" w:eastAsia="Times New Roman" w:hint="default"/>
        </w:rPr>
        <w:t>5,589,480</w:t>
      </w:r>
      <w:r>
        <w:rPr/>
        <w:t>元。</w:t>
      </w:r>
    </w:p>
    <w:p>
      <w:pPr>
        <w:pStyle w:val="BodyText"/>
        <w:spacing w:line="300" w:lineRule="auto" w:before="55"/>
        <w:ind w:right="1126" w:firstLine="42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月，根据公司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9</w:t>
      </w:r>
      <w:r>
        <w:rPr>
          <w:spacing w:val="3"/>
        </w:rPr>
        <w:t>日召开的</w:t>
      </w:r>
      <w:r>
        <w:rPr>
          <w:rFonts w:ascii="Times New Roman" w:hAnsi="Times New Roman" w:cs="Times New Roman" w:eastAsia="Times New Roman" w:hint="default"/>
          <w:spacing w:val="3"/>
        </w:rPr>
        <w:t>2014</w:t>
      </w:r>
      <w:r>
        <w:rPr>
          <w:spacing w:val="3"/>
        </w:rPr>
        <w:t>年第三次临时股东大会决议，经中国证券监督管理委员会证监许可</w:t>
      </w:r>
      <w:r>
        <w:rPr>
          <w:spacing w:val="4"/>
        </w:rPr>
        <w:t> </w:t>
      </w:r>
      <w:r>
        <w:rPr>
          <w:rFonts w:ascii="Times New Roman" w:hAnsi="Times New Roman" w:cs="Times New Roman" w:eastAsia="Times New Roman" w:hint="default"/>
          <w:spacing w:val="-1"/>
        </w:rPr>
        <w:t>[2015]1010</w:t>
      </w:r>
      <w:r>
        <w:rPr>
          <w:spacing w:val="-1"/>
        </w:rPr>
        <w:t>号《关于核准东华软件股份公司向章云芳等发行股份购买资产并募集配套资金的批复》核准，根据</w:t>
      </w:r>
      <w:r>
        <w:rPr>
          <w:rFonts w:ascii="Times New Roman" w:hAnsi="Times New Roman" w:cs="Times New Roman" w:eastAsia="Times New Roman" w:hint="default"/>
          <w:spacing w:val="-1"/>
        </w:rPr>
        <w:t>2014</w:t>
      </w:r>
      <w:r>
        <w:rPr>
          <w:spacing w:val="-1"/>
        </w:rPr>
        <w:t>年度利润</w:t>
      </w:r>
      <w:r>
        <w:rPr>
          <w:spacing w:val="-59"/>
        </w:rPr>
        <w:t> </w:t>
      </w:r>
      <w:r>
        <w:rPr>
          <w:spacing w:val="-59"/>
        </w:rPr>
      </w:r>
      <w:r>
        <w:rPr/>
        <w:t>分配方案情况，公司定向增发人民币普通股（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30,139,931</w:t>
      </w:r>
      <w:r>
        <w:rPr/>
        <w:t>股，增加注册资本</w:t>
      </w:r>
      <w:r>
        <w:rPr>
          <w:rFonts w:ascii="Times New Roman" w:hAnsi="Times New Roman" w:cs="Times New Roman" w:eastAsia="Times New Roman" w:hint="default"/>
        </w:rPr>
        <w:t>30,139,931</w:t>
      </w:r>
      <w:r>
        <w:rPr/>
        <w:t>元；以及配套融资支付现金，</w:t>
      </w:r>
      <w:r>
        <w:rPr>
          <w:spacing w:val="-49"/>
        </w:rPr>
        <w:t> </w:t>
      </w:r>
      <w:r>
        <w:rPr>
          <w:spacing w:val="-49"/>
        </w:rPr>
      </w:r>
      <w:r>
        <w:rPr/>
        <w:t>购买章云芳等所持有的深圳市至高通信技术发展有限公司</w:t>
      </w:r>
      <w:r>
        <w:rPr>
          <w:rFonts w:ascii="Times New Roman" w:hAnsi="Times New Roman" w:cs="Times New Roman" w:eastAsia="Times New Roman" w:hint="default"/>
        </w:rPr>
        <w:t>100%</w:t>
      </w:r>
      <w:r>
        <w:rPr/>
        <w:t>的股权，公司募集配套资金增加注册资本人民币</w:t>
      </w:r>
      <w:r>
        <w:rPr>
          <w:rFonts w:ascii="Times New Roman" w:hAnsi="Times New Roman" w:cs="Times New Roman" w:eastAsia="Times New Roman" w:hint="default"/>
        </w:rPr>
        <w:t>6,894,174.00</w:t>
      </w:r>
      <w:r>
        <w:rPr>
          <w:rFonts w:ascii="Times New Roman" w:hAnsi="Times New Roman" w:cs="Times New Roman" w:eastAsia="Times New Roman" w:hint="default"/>
          <w:spacing w:val="1"/>
        </w:rPr>
        <w:t> </w:t>
      </w:r>
      <w:r>
        <w:rPr/>
        <w:t>元。</w:t>
      </w:r>
    </w:p>
    <w:p>
      <w:pPr>
        <w:pStyle w:val="BodyText"/>
        <w:spacing w:line="240" w:lineRule="auto" w:before="72"/>
        <w:ind w:left="572" w:right="98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月，公司股权激励第三期行权的</w:t>
      </w:r>
      <w:r>
        <w:rPr>
          <w:rFonts w:ascii="Times New Roman" w:hAnsi="Times New Roman" w:cs="Times New Roman" w:eastAsia="Times New Roman" w:hint="default"/>
        </w:rPr>
        <w:t>2</w:t>
      </w:r>
      <w:r>
        <w:rPr/>
        <w:t>名激励对象缴纳出资增加注册资本</w:t>
      </w:r>
      <w:r>
        <w:rPr>
          <w:rFonts w:ascii="Times New Roman" w:hAnsi="Times New Roman" w:cs="Times New Roman" w:eastAsia="Times New Roman" w:hint="default"/>
        </w:rPr>
        <w:t>72,800.00</w:t>
      </w:r>
      <w:r>
        <w:rPr/>
        <w:t>元。</w:t>
      </w:r>
    </w:p>
    <w:p>
      <w:pPr>
        <w:pStyle w:val="BodyText"/>
        <w:spacing w:line="240" w:lineRule="auto" w:before="103"/>
        <w:ind w:left="572" w:right="98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日，公司发行的可转换公司债券共计转股</w:t>
      </w:r>
      <w:r>
        <w:rPr>
          <w:rFonts w:ascii="Times New Roman" w:hAnsi="Times New Roman" w:cs="Times New Roman" w:eastAsia="Times New Roman" w:hint="default"/>
        </w:rPr>
        <w:t>6,995,967</w:t>
      </w:r>
      <w:r>
        <w:rPr/>
        <w:t>股。</w:t>
      </w:r>
    </w:p>
    <w:p>
      <w:pPr>
        <w:pStyle w:val="BodyText"/>
        <w:spacing w:line="300" w:lineRule="auto" w:before="101"/>
        <w:ind w:left="153" w:right="1127" w:firstLine="419"/>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月，公司股权激励第四期行权的</w:t>
      </w:r>
      <w:r>
        <w:rPr>
          <w:rFonts w:ascii="Times New Roman" w:hAnsi="Times New Roman" w:cs="Times New Roman" w:eastAsia="Times New Roman" w:hint="default"/>
          <w:spacing w:val="-1"/>
        </w:rPr>
        <w:t>315</w:t>
      </w:r>
      <w:r>
        <w:rPr>
          <w:spacing w:val="-1"/>
        </w:rPr>
        <w:t>名激励对象缴纳出资增加注册资本</w:t>
      </w:r>
      <w:r>
        <w:rPr>
          <w:rFonts w:ascii="Times New Roman" w:hAnsi="Times New Roman" w:cs="Times New Roman" w:eastAsia="Times New Roman" w:hint="default"/>
          <w:spacing w:val="-1"/>
        </w:rPr>
        <w:t>5,332,080.00</w:t>
      </w:r>
      <w:r>
        <w:rPr>
          <w:spacing w:val="-1"/>
        </w:rPr>
        <w:t>元。</w:t>
      </w:r>
      <w:r>
        <w:rPr>
          <w:rFonts w:ascii="Times New Roman" w:hAnsi="Times New Roman" w:cs="Times New Roman" w:eastAsia="Times New Roman" w:hint="default"/>
          <w:spacing w:val="-1"/>
        </w:rPr>
        <w:t>2016</w:t>
      </w:r>
      <w:r>
        <w:rPr>
          <w:spacing w:val="-1"/>
        </w:rPr>
        <w:t>年度经过上述变更</w:t>
      </w:r>
      <w:r>
        <w:rPr/>
        <w:t> 后，公司注册资本变更为</w:t>
      </w:r>
      <w:r>
        <w:rPr>
          <w:rFonts w:ascii="Times New Roman" w:hAnsi="Times New Roman" w:cs="Times New Roman" w:eastAsia="Times New Roman" w:hint="default"/>
        </w:rPr>
        <w:t>1,569,893,780.00</w:t>
      </w:r>
      <w:r>
        <w:rPr/>
        <w:t>元。</w:t>
      </w:r>
    </w:p>
    <w:p>
      <w:pPr>
        <w:pStyle w:val="BodyText"/>
        <w:spacing w:line="300" w:lineRule="auto" w:before="53"/>
        <w:ind w:left="153" w:right="1122" w:firstLine="419"/>
        <w:jc w:val="both"/>
      </w:pPr>
      <w:r>
        <w:rPr/>
        <w:t>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2016</w:t>
      </w:r>
      <w:r>
        <w:rPr/>
        <w:t>年度股东大会表决通过，公司按照</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1,569,893,780</w:t>
      </w:r>
      <w:r>
        <w:rPr/>
        <w:t>元为基数， </w:t>
      </w:r>
      <w:r>
        <w:rPr>
          <w:spacing w:val="-1"/>
        </w:rPr>
        <w:t>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10</w:t>
      </w:r>
      <w:r>
        <w:rPr>
          <w:spacing w:val="-1"/>
        </w:rPr>
        <w:t>股，共增加股本</w:t>
      </w:r>
      <w:r>
        <w:rPr>
          <w:rFonts w:ascii="Times New Roman" w:hAnsi="Times New Roman" w:cs="Times New Roman" w:eastAsia="Times New Roman" w:hint="default"/>
          <w:spacing w:val="-1"/>
        </w:rPr>
        <w:t>1,569,893,780</w:t>
      </w:r>
      <w:r>
        <w:rPr>
          <w:spacing w:val="-1"/>
        </w:rPr>
        <w:t>元。该增资事项完成后，公司的股本增加为人民币</w:t>
      </w:r>
      <w:r>
        <w:rPr>
          <w:rFonts w:ascii="Times New Roman" w:hAnsi="Times New Roman" w:cs="Times New Roman" w:eastAsia="Times New Roman" w:hint="default"/>
          <w:spacing w:val="-1"/>
        </w:rPr>
        <w:t>3,139,787,560.00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w:t>
      </w:r>
    </w:p>
    <w:p>
      <w:pPr>
        <w:pStyle w:val="BodyText"/>
        <w:spacing w:line="297" w:lineRule="auto" w:before="72"/>
        <w:ind w:right="1135"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日，深圳市至高通信技术发展有限公司因未完成业绩承诺，公司回购并注销章云芳等</w:t>
      </w:r>
      <w:r>
        <w:rPr>
          <w:rFonts w:ascii="Times New Roman" w:hAnsi="Times New Roman" w:cs="Times New Roman" w:eastAsia="Times New Roman" w:hint="default"/>
        </w:rPr>
        <w:t>4</w:t>
      </w:r>
      <w:r>
        <w:rPr/>
        <w:t>人应补偿的股份数 量</w:t>
      </w:r>
      <w:r>
        <w:rPr>
          <w:rFonts w:ascii="Times New Roman" w:hAnsi="Times New Roman" w:cs="Times New Roman" w:eastAsia="Times New Roman" w:hint="default"/>
        </w:rPr>
        <w:t>24,305,185</w:t>
      </w:r>
      <w:r>
        <w:rPr/>
        <w:t>股，公司的股本变更为人民币</w:t>
      </w:r>
      <w:r>
        <w:rPr>
          <w:rFonts w:ascii="Times New Roman" w:hAnsi="Times New Roman" w:cs="Times New Roman" w:eastAsia="Times New Roman" w:hint="default"/>
        </w:rPr>
        <w:t>3,115,482,375.00</w:t>
      </w:r>
      <w:r>
        <w:rPr/>
        <w:t>元。</w:t>
      </w:r>
    </w:p>
    <w:p>
      <w:pPr>
        <w:pStyle w:val="BodyText"/>
        <w:spacing w:line="360" w:lineRule="auto" w:before="55"/>
        <w:ind w:left="573" w:right="986"/>
        <w:jc w:val="left"/>
      </w:pPr>
      <w:r>
        <w:rPr/>
        <w:t>公司所属的行业性质为软件和信息技术服务业。 公司的经营范围包括：技术开发、技术咨询、技术服务、技术推广、技术转让；计算机系统服务；数据处理；基础软</w:t>
      </w:r>
    </w:p>
    <w:p>
      <w:pPr>
        <w:pStyle w:val="BodyText"/>
        <w:spacing w:line="236" w:lineRule="exact"/>
        <w:ind w:left="153" w:right="986"/>
        <w:jc w:val="left"/>
      </w:pPr>
      <w:r>
        <w:rPr/>
        <w:t>件服务、应用软件服务、公共软件服务；销售计算机软、硬件及外围设备、通讯设备、医疗器械</w:t>
      </w:r>
      <w:r>
        <w:rPr>
          <w:rFonts w:ascii="Times New Roman" w:hAnsi="Times New Roman" w:cs="Times New Roman" w:eastAsia="Times New Roman" w:hint="default"/>
        </w:rPr>
        <w:t>II</w:t>
      </w:r>
      <w:r>
        <w:rPr/>
        <w:t>类；承接工业控制与自动</w:t>
      </w:r>
    </w:p>
    <w:p>
      <w:pPr>
        <w:pStyle w:val="BodyText"/>
        <w:spacing w:line="352" w:lineRule="auto" w:before="62"/>
        <w:ind w:left="573" w:right="1173" w:hanging="420"/>
        <w:jc w:val="left"/>
      </w:pPr>
      <w:r>
        <w:rPr/>
        <w:t>化系统工程、计算机通讯工程、智能楼宇及数据中心计算机系统工程；货物进出口、技术进出口、代理进出口。 公司的主要产品为行业应用软件开发、计算机信息系统集成及相关服务业务等。 公司的母公司为北京东华诚信电脑科技发展有限公司，公司的实际控制人为薛向东先生及其家族。 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日批准报出。 本期纳入合并范围的子公司包括</w:t>
      </w:r>
      <w:r>
        <w:rPr>
          <w:rFonts w:ascii="Times New Roman" w:hAnsi="Times New Roman" w:cs="Times New Roman" w:eastAsia="Times New Roman" w:hint="default"/>
        </w:rPr>
        <w:t>59</w:t>
      </w:r>
      <w:r>
        <w:rPr/>
        <w:t>家，新增</w:t>
      </w:r>
      <w:r>
        <w:rPr>
          <w:rFonts w:ascii="Times New Roman" w:hAnsi="Times New Roman" w:cs="Times New Roman" w:eastAsia="Times New Roman" w:hint="default"/>
        </w:rPr>
        <w:t>9</w:t>
      </w:r>
      <w:r>
        <w:rPr/>
        <w:t>家子公司，减少</w:t>
      </w:r>
      <w:r>
        <w:rPr>
          <w:rFonts w:ascii="Times New Roman" w:hAnsi="Times New Roman" w:cs="Times New Roman" w:eastAsia="Times New Roman" w:hint="default"/>
        </w:rPr>
        <w:t>1</w:t>
      </w:r>
      <w:r>
        <w:rPr/>
        <w:t>家子公司。具体见本附注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6"/>
          <w:szCs w:val="16"/>
        </w:rPr>
      </w:pPr>
    </w:p>
    <w:p>
      <w:pPr>
        <w:pStyle w:val="Heading3"/>
        <w:spacing w:line="240" w:lineRule="auto"/>
        <w:ind w:right="986"/>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0" w:firstLine="419"/>
        <w:jc w:val="both"/>
      </w:pPr>
      <w:r>
        <w:rPr/>
        <w:t>公司以持续经营为基础，根据实际发生的交易和事项，按照财政部发布的《企业会计准则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42</w:t>
      </w:r>
      <w:r>
        <w:rPr/>
        <w:t>项具体会 </w:t>
      </w:r>
      <w:r>
        <w:rPr>
          <w:spacing w:val="-2"/>
        </w:rPr>
        <w:t>计准则、企业会计准则应用指南、企业会计准则解释及其他相关规定（以下简称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w:t>
      </w:r>
      <w:r>
        <w:rPr>
          <w:spacing w:val="-42"/>
        </w:rPr>
        <w:t> </w:t>
      </w:r>
      <w:r>
        <w:rPr>
          <w:spacing w:val="-42"/>
        </w:rPr>
      </w:r>
      <w:r>
        <w:rPr/>
        <w:t>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after="0" w:line="300" w:lineRule="auto"/>
        <w:jc w:val="both"/>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986"/>
        <w:jc w:val="left"/>
      </w:pPr>
      <w:r>
        <w:rPr/>
        <w:t>公司自本报告期末起至少</w:t>
      </w:r>
      <w:r>
        <w:rPr>
          <w:rFonts w:ascii="Times New Roman" w:hAnsi="Times New Roman" w:cs="Times New Roman" w:eastAsia="Times New Roman" w:hint="default"/>
        </w:rPr>
        <w:t>12</w:t>
      </w:r>
      <w:r>
        <w:rPr/>
        <w:t>个月内具备持续经营能力。</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参照披露</w:t>
      </w:r>
    </w:p>
    <w:p>
      <w:pPr>
        <w:pStyle w:val="BodyText"/>
        <w:spacing w:line="360" w:lineRule="auto" w:before="25"/>
        <w:ind w:right="8104"/>
        <w:jc w:val="left"/>
      </w:pPr>
      <w:r>
        <w:rPr/>
        <w:t>软件与信息技术服务业 具体会计政策和会计估计提示： 无</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419"/>
        <w:jc w:val="left"/>
      </w:pPr>
      <w:r>
        <w:rPr/>
        <w:t>本公司所编制的财务报表符合企业会计准则的要求，真实、完整地反映了报告期公司的财务状况、经营成果、现金流 量等有关信息。</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986"/>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986"/>
        <w:jc w:val="left"/>
      </w:pPr>
      <w:r>
        <w:rPr/>
        <w:t>本公司以</w:t>
      </w:r>
      <w:r>
        <w:rPr>
          <w:rFonts w:ascii="Times New Roman" w:hAnsi="Times New Roman" w:cs="Times New Roman" w:eastAsia="Times New Roman" w:hint="default"/>
        </w:rPr>
        <w:t>12</w:t>
      </w:r>
      <w:r>
        <w:rPr/>
        <w:t>个月作为一个营业周期，并以营业周期作为资产和负债的流动性划分标准。</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6" w:firstLine="419"/>
        <w:jc w:val="left"/>
      </w:pPr>
      <w:r>
        <w:rPr/>
        <w:t>本公司的记账本位币为人民币，编制财务报表采用的货币为人民币。本公司及子公司选定记账本位币的依据是主要业 务收支的计价和结算币种。</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5、 同一控制下和非同一控制下企业合并的会计处理方法" w:id="179"/>
      <w:bookmarkEnd w:id="179"/>
      <w:r>
        <w:rPr>
          <w:b w:val="0"/>
          <w:bCs w:val="0"/>
        </w:rPr>
      </w:r>
      <w:r>
        <w:rPr>
          <w:rFonts w:ascii="Times New Roman" w:hAnsi="Times New Roman" w:cs="Times New Roman" w:eastAsia="Times New Roman" w:hint="default"/>
        </w:rPr>
        <w:t>5</w:t>
      </w:r>
      <w:r>
        <w:rPr/>
        <w:t>、</w:t>
      </w:r>
      <w:r>
        <w:rPr>
          <w:spacing w:val="-66"/>
        </w:rPr>
        <w:t> </w:t>
      </w:r>
      <w:r>
        <w:rPr/>
        <w:t>同一控制下和非同一控制下企业合并的会计处理方法</w:t>
      </w:r>
      <w:r>
        <w:rPr>
          <w:b w:val="0"/>
          <w:bCs w:val="0"/>
        </w:rPr>
      </w:r>
    </w:p>
    <w:p>
      <w:pPr>
        <w:pStyle w:val="BodyText"/>
        <w:spacing w:line="430" w:lineRule="atLeast" w:before="150"/>
        <w:ind w:left="512" w:right="986"/>
        <w:jc w:val="left"/>
      </w:pPr>
      <w:r>
        <w:rPr>
          <w:rFonts w:ascii="宋体" w:hAnsi="宋体" w:cs="宋体" w:eastAsia="宋体" w:hint="default"/>
          <w:b/>
          <w:bCs/>
        </w:rPr>
        <w:t>1.</w:t>
      </w:r>
      <w:r>
        <w:rPr>
          <w:rFonts w:ascii="宋体" w:hAnsi="宋体" w:cs="宋体" w:eastAsia="宋体" w:hint="default"/>
          <w:b/>
          <w:bCs/>
        </w:rPr>
        <w:t>同一控制下企业合并</w:t>
      </w:r>
      <w:r>
        <w:rPr>
          <w:rFonts w:ascii="宋体" w:hAnsi="宋体" w:cs="宋体" w:eastAsia="宋体" w:hint="default"/>
          <w:b/>
          <w:bCs/>
          <w:w w:val="99"/>
        </w:rPr>
        <w:t> </w:t>
      </w:r>
      <w:r>
        <w:rPr>
          <w:spacing w:val="-2"/>
        </w:rPr>
        <w:t>参与合并的企业在合并前后均受同一方或相同的多方最终控制且该控制并非暂时性的，为同一控制下的企业合并。合并</w:t>
      </w:r>
    </w:p>
    <w:p>
      <w:pPr>
        <w:pStyle w:val="BodyText"/>
        <w:spacing w:line="240" w:lineRule="auto" w:before="76"/>
        <w:ind w:right="986"/>
        <w:jc w:val="left"/>
      </w:pPr>
      <w:r>
        <w:rPr/>
        <w:t>日为合并方实际取得对被合并方控制权的日期。</w:t>
      </w:r>
    </w:p>
    <w:p>
      <w:pPr>
        <w:spacing w:line="240" w:lineRule="auto" w:before="0"/>
        <w:rPr>
          <w:rFonts w:ascii="宋体" w:hAnsi="宋体" w:cs="宋体" w:eastAsia="宋体" w:hint="default"/>
          <w:sz w:val="15"/>
          <w:szCs w:val="15"/>
        </w:rPr>
      </w:pPr>
    </w:p>
    <w:p>
      <w:pPr>
        <w:pStyle w:val="BodyText"/>
        <w:spacing w:line="316" w:lineRule="auto"/>
        <w:ind w:right="986" w:firstLine="360"/>
        <w:jc w:val="left"/>
      </w:pPr>
      <w:r>
        <w:rPr>
          <w:spacing w:val="-2"/>
        </w:rPr>
        <w:t>在企业合并中取得的资产和负债，按照合并日被合并方在最终控制方合并财务报表中的账面价值计量。被合并各方采用</w:t>
      </w:r>
      <w:r>
        <w:rPr/>
        <w:t> 的会计政策与本公司不一致的，合并方在合并日按照本公司会计政策进行调整，在此基础上按照调整后的账面价值确认。</w:t>
      </w:r>
    </w:p>
    <w:p>
      <w:pPr>
        <w:pStyle w:val="BodyText"/>
        <w:spacing w:line="316" w:lineRule="auto" w:before="139"/>
        <w:ind w:right="986" w:firstLine="360"/>
        <w:jc w:val="left"/>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39"/>
        <w:ind w:right="986" w:firstLine="360"/>
        <w:jc w:val="left"/>
      </w:pPr>
      <w:r>
        <w:rPr>
          <w:spacing w:val="-2"/>
        </w:rPr>
        <w:t>为进行企业合并而发生的各项直接相关费用，包括为进行合并而支付的审计费用、评估费用、法律服务费等，于发生时</w:t>
      </w:r>
      <w:r>
        <w:rPr/>
        <w:t> 计入当期损益。</w:t>
      </w:r>
    </w:p>
    <w:p>
      <w:pPr>
        <w:pStyle w:val="BodyText"/>
        <w:spacing w:line="240" w:lineRule="auto" w:before="139"/>
        <w:ind w:left="512" w:right="986"/>
        <w:jc w:val="left"/>
      </w:pPr>
      <w:r>
        <w:rPr/>
        <w:t>企业合并中发行权益性证券发生的手续费、佣金等，抵减权益性证券溢价收入，溢价收入不足冲减的，冲减留存收益。</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5" w:firstLine="360"/>
        <w:jc w:val="both"/>
      </w:pP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r>
        <w:rPr/>
        <w:t>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0" w:lineRule="auto" w:before="133"/>
        <w:ind w:right="1133" w:firstLine="36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151"/>
        <w:ind w:right="1133"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14" w:lineRule="auto" w:before="144"/>
        <w:ind w:right="1130"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3"/>
        </w:rPr>
        <w:t> </w:t>
      </w:r>
      <w:r>
        <w:rPr>
          <w:spacing w:val="-63"/>
        </w:rPr>
      </w:r>
      <w:r>
        <w:rPr/>
        <w:t>例结转，处置后的剩余股权改按金融工具确认和计量准则进行会计处理的，其他综合收益和其他所有者权益应全部结转。</w:t>
      </w:r>
    </w:p>
    <w:p>
      <w:pPr>
        <w:pStyle w:val="BodyText"/>
        <w:spacing w:line="240" w:lineRule="auto" w:before="140"/>
        <w:ind w:left="512" w:right="986"/>
        <w:jc w:val="left"/>
      </w:pPr>
      <w:r>
        <w:rPr/>
        <w:t>（</w:t>
      </w:r>
      <w:r>
        <w:rPr>
          <w:rFonts w:ascii="宋体" w:hAnsi="宋体" w:cs="宋体" w:eastAsia="宋体" w:hint="default"/>
        </w:rPr>
        <w:t>4</w:t>
      </w:r>
      <w:r>
        <w:rPr/>
        <w:t>）在合并财务报表中的会计处理见本附注四、（六）。</w:t>
      </w:r>
    </w:p>
    <w:p>
      <w:pPr>
        <w:pStyle w:val="BodyText"/>
        <w:spacing w:line="430" w:lineRule="atLeast" w:before="2"/>
        <w:ind w:left="512" w:right="986"/>
        <w:jc w:val="left"/>
      </w:pPr>
      <w:r>
        <w:rPr>
          <w:rFonts w:ascii="宋体" w:hAnsi="宋体" w:cs="宋体" w:eastAsia="宋体" w:hint="default"/>
          <w:b/>
          <w:bCs/>
        </w:rPr>
        <w:t>2.</w:t>
      </w:r>
      <w:r>
        <w:rPr>
          <w:rFonts w:ascii="宋体" w:hAnsi="宋体" w:cs="宋体" w:eastAsia="宋体" w:hint="default"/>
          <w:b/>
          <w:bCs/>
        </w:rPr>
        <w:t>非同一控制下企业合并</w:t>
      </w:r>
      <w:r>
        <w:rPr>
          <w:rFonts w:ascii="宋体" w:hAnsi="宋体" w:cs="宋体" w:eastAsia="宋体" w:hint="default"/>
          <w:b/>
          <w:bCs/>
          <w:w w:val="99"/>
        </w:rPr>
        <w:t> </w:t>
      </w:r>
      <w:r>
        <w:rPr/>
        <w:t>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439" w:lineRule="auto" w:before="76"/>
        <w:ind w:left="512" w:right="986" w:hanging="360"/>
        <w:jc w:val="left"/>
      </w:pPr>
      <w:r>
        <w:rPr/>
        <w:t>计入当期损益。 购买方在购买日对合并成本进行分配，确认所取得的被购买方各项可辨认资产、负债及或有负债的公允价值。</w:t>
      </w:r>
    </w:p>
    <w:p>
      <w:pPr>
        <w:pStyle w:val="BodyText"/>
        <w:spacing w:line="316" w:lineRule="auto" w:before="47"/>
        <w:ind w:right="1133" w:firstLine="360"/>
        <w:jc w:val="both"/>
      </w:pPr>
      <w:r>
        <w:rPr>
          <w:spacing w:val="-2"/>
        </w:rPr>
        <w:t>购买方对合并成本大于合并中取得的被购买方可辨认净资产公允价值份额的差额，确认为商誉；合并成本小于合并中取</w:t>
      </w:r>
      <w:r>
        <w:rPr/>
        <w:t> 得的被购买方可辨认净资产公允价值份额的差额，经复核后，计入当期损益。</w:t>
      </w:r>
    </w:p>
    <w:p>
      <w:pPr>
        <w:pStyle w:val="BodyText"/>
        <w:spacing w:line="316" w:lineRule="auto" w:before="139"/>
        <w:ind w:right="1130" w:firstLine="360"/>
        <w:jc w:val="both"/>
      </w:pPr>
      <w:r>
        <w:rPr>
          <w:spacing w:val="-2"/>
        </w:rPr>
        <w:t>企业合并中取得的被购买方除无形资产外的其他各项资产（不仅限于被购买方原已确认的资产），其所带来的经济利益</w:t>
      </w:r>
      <w:r>
        <w:rPr/>
        <w:t> </w:t>
      </w:r>
      <w:r>
        <w:rPr>
          <w:spacing w:val="-2"/>
        </w:rPr>
        <w:t>很可能流入本公司且公允价值能够可靠计量的，单独确认并按公允价值计量；公允价值能够可靠计量的无形资产，单独确认</w:t>
      </w:r>
      <w:r>
        <w:rPr>
          <w:spacing w:val="-63"/>
        </w:rPr>
        <w:t> </w:t>
      </w:r>
      <w:r>
        <w:rPr>
          <w:spacing w:val="-63"/>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4"/>
        </w:rPr>
        <w:t> </w:t>
      </w:r>
      <w:r>
        <w:rPr>
          <w:spacing w:val="-64"/>
        </w:rPr>
      </w:r>
      <w:r>
        <w:rPr/>
        <w:t>独确认为负债并按照公允价值计量。</w:t>
      </w:r>
    </w:p>
    <w:p>
      <w:pPr>
        <w:pStyle w:val="BodyText"/>
        <w:spacing w:line="309" w:lineRule="auto" w:before="139"/>
        <w:ind w:right="1133" w:firstLine="360"/>
        <w:jc w:val="both"/>
      </w:pPr>
      <w:r>
        <w:rPr>
          <w:spacing w:val="-2"/>
        </w:rPr>
        <w:t>对合并中取得的被购买方资产进行初始确认时，对被购买方拥有的但在其财务报表中未确认的无形资产进行充分辨认和</w:t>
      </w:r>
      <w:r>
        <w:rPr/>
        <w:t> </w:t>
      </w:r>
      <w:r>
        <w:rPr>
          <w:spacing w:val="-2"/>
        </w:rPr>
        <w:t>合理判断，满足以下条件之一的，应确认为无形资产：（</w:t>
      </w:r>
      <w:r>
        <w:rPr>
          <w:rFonts w:ascii="Times New Roman" w:hAnsi="Times New Roman" w:cs="Times New Roman" w:eastAsia="Times New Roman" w:hint="default"/>
          <w:spacing w:val="-2"/>
        </w:rPr>
        <w:t>1</w:t>
      </w:r>
      <w:r>
        <w:rPr>
          <w:spacing w:val="-2"/>
        </w:rPr>
        <w:t>）源于合同性权利或其他法定权利；（</w:t>
      </w:r>
      <w:r>
        <w:rPr>
          <w:rFonts w:ascii="Times New Roman" w:hAnsi="Times New Roman" w:cs="Times New Roman" w:eastAsia="Times New Roman" w:hint="default"/>
          <w:spacing w:val="-2"/>
        </w:rPr>
        <w:t>2</w:t>
      </w:r>
      <w:r>
        <w:rPr>
          <w:spacing w:val="-2"/>
        </w:rPr>
        <w:t>）能够从被购买方中分离</w:t>
      </w:r>
      <w:r>
        <w:rPr>
          <w:spacing w:val="-66"/>
        </w:rPr>
        <w:t> </w:t>
      </w:r>
      <w:r>
        <w:rPr>
          <w:spacing w:val="-66"/>
        </w:rPr>
      </w:r>
      <w:r>
        <w:rPr/>
        <w:t>或者划分出来，并能单独或与相关合同、资产和负债一起，用于出售、转移、授予许可、租赁或交换。</w:t>
      </w:r>
    </w:p>
    <w:p>
      <w:pPr>
        <w:pStyle w:val="BodyText"/>
        <w:spacing w:line="312" w:lineRule="auto" w:before="144"/>
        <w:ind w:right="1034" w:firstLine="360"/>
        <w:jc w:val="left"/>
      </w:pPr>
      <w:r>
        <w:rPr/>
        <w:t>购买方在企业合并中取得的被购买方的可抵扣暂时性差异，在购买日不符合递延所得税资产确认条件的，不予以确认。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6" w:lineRule="auto" w:before="142"/>
        <w:ind w:right="1133" w:firstLine="360"/>
        <w:jc w:val="both"/>
      </w:pPr>
      <w:r>
        <w:rPr>
          <w:spacing w:val="-2"/>
        </w:rPr>
        <w:t>非同一控制下企业合并，购买方为企业合并发生的审计、法律服务、评估咨询等中介费用以及其他相关管理费用，于发</w:t>
      </w:r>
      <w:r>
        <w:rPr/>
        <w:t> </w:t>
      </w:r>
      <w:r>
        <w:rPr>
          <w:spacing w:val="-2"/>
        </w:rPr>
        <w:t>生时计入当期损益；购买方作为合并对价发行的权益性证券或债务性证券的交易费用，计入权益性证券或债务性证券的初始</w:t>
      </w:r>
      <w:r>
        <w:rPr>
          <w:spacing w:val="-64"/>
        </w:rPr>
        <w:t> </w:t>
      </w:r>
      <w:r>
        <w:rPr>
          <w:spacing w:val="-64"/>
        </w:rPr>
      </w:r>
      <w:r>
        <w:rPr/>
        <w:t>确认金额。</w:t>
      </w:r>
    </w:p>
    <w:p>
      <w:pPr>
        <w:pStyle w:val="BodyText"/>
        <w:spacing w:line="307" w:lineRule="auto" w:before="139"/>
        <w:ind w:right="1133" w:firstLine="360"/>
        <w:jc w:val="both"/>
      </w:pP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r>
        <w:rPr/>
        <w:t> </w:t>
      </w:r>
      <w:r>
        <w:rPr>
          <w:spacing w:val="-2"/>
        </w:rPr>
        <w:t>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的，在个别财务报表中，以购买日之前所持被购买方的股权投资的账面价值与购</w:t>
      </w:r>
      <w:r>
        <w:rPr>
          <w:spacing w:val="-44"/>
        </w:rPr>
        <w:t> </w:t>
      </w:r>
      <w:r>
        <w:rPr>
          <w:spacing w:val="-44"/>
        </w:rPr>
      </w:r>
      <w:r>
        <w:rPr>
          <w:spacing w:val="-2"/>
        </w:rPr>
        <w:t>买日新增投资成本之和，作为改按成本法核算的初始投资成本；购买日之前持有的被购买方的股权投资因采用权益法核算而</w:t>
      </w:r>
      <w:r>
        <w:rPr>
          <w:spacing w:val="-64"/>
        </w:rPr>
        <w:t> </w:t>
      </w:r>
      <w:r>
        <w:rPr>
          <w:spacing w:val="-64"/>
        </w:rPr>
      </w:r>
      <w:r>
        <w:rPr>
          <w:spacing w:val="-2"/>
        </w:rPr>
        <w:t>确认的其他综合收益，在处置该项投资时采用与被投资单位直接处置相关资产或负债相同的基础进行会计处理，因被投资方</w:t>
      </w:r>
    </w:p>
    <w:p>
      <w:pPr>
        <w:spacing w:after="0" w:line="307" w:lineRule="auto"/>
        <w:jc w:val="both"/>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除净损益、其他综合收益和利润分配以外的其他所有者权益变动而确认的所有者权益，在处置该项投资时转入处置期间的当</w:t>
      </w:r>
      <w:r>
        <w:rPr>
          <w:spacing w:val="-64"/>
        </w:rPr>
        <w:t> </w:t>
      </w:r>
      <w:r>
        <w:rPr>
          <w:spacing w:val="-64"/>
        </w:rPr>
      </w:r>
      <w:r>
        <w:rPr>
          <w:spacing w:val="-2"/>
        </w:rPr>
        <w:t>期损益。其中，处置后的剩余股权根据长期股权投资准则采用成本法或权益法核算的，其他综合收益和其他所有者权益应按</w:t>
      </w:r>
      <w:r>
        <w:rPr>
          <w:spacing w:val="-66"/>
        </w:rPr>
        <w:t> </w:t>
      </w:r>
      <w:r>
        <w:rPr>
          <w:spacing w:val="-66"/>
        </w:rPr>
      </w:r>
      <w:r>
        <w:rPr/>
        <w:t>比例结转，处置后的剩余股权改按金融工具确认和计量准则进行会计处理的，其他综合收益和其他所有者权益应全部结转。 在合并财务报表中的会计处理见本附注四、（六）。</w:t>
      </w:r>
    </w:p>
    <w:p>
      <w:pPr>
        <w:pStyle w:val="BodyText"/>
        <w:spacing w:line="316" w:lineRule="auto" w:before="139"/>
        <w:ind w:right="1133" w:firstLine="360"/>
        <w:jc w:val="both"/>
      </w:pPr>
      <w:r>
        <w:rPr>
          <w:spacing w:val="-2"/>
        </w:rPr>
        <w:t>购买日之前持有的股权投资，采用金融工具确认和计量准则进行会计处理的，将该股权投资的公允价值加上新增投资成</w:t>
      </w:r>
      <w:r>
        <w:rPr/>
        <w:t> </w:t>
      </w:r>
      <w:r>
        <w:rPr>
          <w:spacing w:val="-2"/>
        </w:rPr>
        <w:t>本之和，作为改按成本法核算的初始投资成本，原持有股权的公允价值与账面价值的差额与原计入其他综合收益的累计公允</w:t>
      </w:r>
      <w:r>
        <w:rPr>
          <w:spacing w:val="-64"/>
        </w:rPr>
        <w:t> </w:t>
      </w:r>
      <w:r>
        <w:rPr>
          <w:spacing w:val="-64"/>
        </w:rPr>
      </w:r>
      <w:r>
        <w:rPr/>
        <w:t>价值变动全部转入改按成本法核算的当期投资损益。</w:t>
      </w:r>
    </w:p>
    <w:p>
      <w:pPr>
        <w:spacing w:line="439" w:lineRule="auto" w:before="139"/>
        <w:ind w:left="572" w:right="5654" w:hanging="6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将多次交易事项判断为一揽子交易的判断标准</w:t>
      </w:r>
      <w:r>
        <w:rPr>
          <w:rFonts w:ascii="宋体" w:hAnsi="宋体" w:cs="宋体" w:eastAsia="宋体" w:hint="default"/>
          <w:b/>
          <w:bCs/>
          <w:w w:val="99"/>
          <w:sz w:val="18"/>
          <w:szCs w:val="18"/>
        </w:rPr>
        <w:t> </w:t>
      </w:r>
      <w:r>
        <w:rPr>
          <w:rFonts w:ascii="宋体" w:hAnsi="宋体" w:cs="宋体" w:eastAsia="宋体" w:hint="default"/>
          <w:sz w:val="18"/>
          <w:szCs w:val="18"/>
        </w:rPr>
        <w:t>本公司将多次交易事项判断为一揽子交易的判断标准如下：</w:t>
      </w:r>
    </w:p>
    <w:p>
      <w:pPr>
        <w:pStyle w:val="BodyText"/>
        <w:spacing w:line="240" w:lineRule="auto" w:before="47"/>
        <w:ind w:left="572" w:right="986"/>
        <w:jc w:val="left"/>
      </w:pPr>
      <w:r>
        <w:rPr/>
        <w:t>（</w:t>
      </w: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572" w:right="986"/>
        <w:jc w:val="left"/>
      </w:pPr>
      <w:r>
        <w:rPr/>
        <w:t>（</w:t>
      </w: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572" w:right="986"/>
        <w:jc w:val="left"/>
      </w:pPr>
      <w:r>
        <w:rPr/>
        <w:t>（</w:t>
      </w: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572" w:right="986"/>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本公司合并财务报表的合并范围以控制为基础确定，控制是指投资方拥有被投资方的权力，通过参与被投资方的相关 </w:t>
      </w:r>
      <w:r>
        <w:rPr>
          <w:spacing w:val="-2"/>
        </w:rPr>
        <w:t>活动而享有可变回报，并且有能力运用对被投资方的权力影响其回报金额。相关活动，是指对被投资方的回报产生重大影响</w:t>
      </w:r>
      <w:r>
        <w:rPr>
          <w:spacing w:val="-66"/>
        </w:rPr>
        <w:t> </w:t>
      </w:r>
      <w:r>
        <w:rPr>
          <w:spacing w:val="-66"/>
        </w:rPr>
      </w:r>
      <w:r>
        <w:rPr/>
        <w:t>的活动。</w:t>
      </w:r>
    </w:p>
    <w:p>
      <w:pPr>
        <w:pStyle w:val="BodyText"/>
        <w:spacing w:line="316" w:lineRule="auto" w:before="139"/>
        <w:ind w:right="1135" w:firstLine="419"/>
        <w:jc w:val="both"/>
      </w:pPr>
      <w:r>
        <w:rPr/>
        <w:t>被投资方的相关活动根据具体情况进行判断，通常包括商品或劳务的销售和购买、金融资产的管理、资产的购买和处 置、研究与开发活动以及融资活动等。</w:t>
      </w:r>
    </w:p>
    <w:p>
      <w:pPr>
        <w:pStyle w:val="BodyText"/>
        <w:spacing w:line="316" w:lineRule="auto" w:before="139"/>
        <w:ind w:right="1133" w:firstLine="419"/>
        <w:jc w:val="both"/>
      </w:pPr>
      <w:r>
        <w:rPr/>
        <w:t>在综合考虑被投资方的设立目的、被投资方的相关活动以及如何对相关活动作出决策、本公司享有的权利是否使其目 </w:t>
      </w:r>
      <w:r>
        <w:rPr>
          <w:spacing w:val="-2"/>
        </w:rPr>
        <w:t>前有能力主导被投资方的相关活动、是否通过参与被投资方的相关活动而享有可变回报、是否有能力运用对被投资方的权力</w:t>
      </w:r>
      <w:r>
        <w:rPr>
          <w:spacing w:val="-64"/>
        </w:rPr>
        <w:t> </w:t>
      </w:r>
      <w:r>
        <w:rPr>
          <w:spacing w:val="-64"/>
        </w:rPr>
      </w:r>
      <w:r>
        <w:rPr>
          <w:spacing w:val="-2"/>
        </w:rPr>
        <w:t>影响其回报金额以及与其他方的关系等基础上对是否控制被投资方进行判断。一旦相关事实和情况的变化导致控制所涉及的</w:t>
      </w:r>
      <w:r>
        <w:rPr>
          <w:spacing w:val="-64"/>
        </w:rPr>
        <w:t> </w:t>
      </w:r>
      <w:r>
        <w:rPr>
          <w:spacing w:val="-64"/>
        </w:rPr>
      </w:r>
      <w:r>
        <w:rPr/>
        <w:t>相关要素发生变化的，将进行重新评估。</w:t>
      </w:r>
    </w:p>
    <w:p>
      <w:pPr>
        <w:pStyle w:val="BodyText"/>
        <w:spacing w:line="316" w:lineRule="auto" w:before="139"/>
        <w:ind w:right="1135" w:firstLine="419"/>
        <w:jc w:val="both"/>
      </w:pPr>
      <w:r>
        <w:rPr/>
        <w:t>在判断是否拥有对被投资方的权力时，仅考虑与被投资方相关的实质性权利，包括自身所享有的实质性权利以及其他 方所享有的实质性权利。</w:t>
      </w:r>
    </w:p>
    <w:p>
      <w:pPr>
        <w:pStyle w:val="BodyText"/>
        <w:spacing w:line="316" w:lineRule="auto" w:before="139"/>
        <w:ind w:right="1034" w:firstLine="480"/>
        <w:jc w:val="left"/>
      </w:pPr>
      <w:r>
        <w:rPr/>
        <w:t>本公司以自身和子公司的财务报表为基础，根据其他有关资料将整个企业集团视为一个会计主体，依据相关企业会计 </w:t>
      </w:r>
      <w:r>
        <w:rPr>
          <w:spacing w:val="-2"/>
        </w:rPr>
        <w:t>准则的确认、计量和列报要求，已按照统一的会计政策及会计期间，反映企业集团整体财务状况、经营成果和现金流量。合</w:t>
      </w:r>
      <w:r>
        <w:rPr>
          <w:spacing w:val="-67"/>
        </w:rPr>
        <w:t> </w:t>
      </w:r>
      <w:r>
        <w:rPr>
          <w:spacing w:val="-67"/>
        </w:rPr>
      </w:r>
      <w:r>
        <w:rPr>
          <w:spacing w:val="-2"/>
        </w:rPr>
        <w:t>并程序具体包括：合并母公司与子公司的资产、负债、所有者权益、收入、费用和现金流等项目；抵销母公司对子公司的长</w:t>
      </w:r>
      <w:r>
        <w:rPr>
          <w:spacing w:val="-68"/>
        </w:rPr>
        <w:t> </w:t>
      </w:r>
      <w:r>
        <w:rPr>
          <w:spacing w:val="-68"/>
        </w:rPr>
      </w:r>
      <w:r>
        <w:rPr/>
        <w:t>期股权投资与母公司在子公司所有者权益中所享有的份额；抵销母公司与子公司、子公司相互之间发生的内部交易的影响， 内部交易表明相关资产发生减值损失的，全额确认该部分损失；站在企业集团角度对特殊交易事项予以调整。</w:t>
      </w:r>
    </w:p>
    <w:p>
      <w:pPr>
        <w:pStyle w:val="BodyText"/>
        <w:spacing w:line="300" w:lineRule="auto" w:before="139"/>
        <w:ind w:right="1135" w:firstLine="419"/>
        <w:jc w:val="both"/>
      </w:pPr>
      <w:r>
        <w:rPr>
          <w:spacing w:val="-1"/>
        </w:rPr>
        <w:t>子公司所有者权益中不属于母公司的份额，作为少数股东权益，在合并资产负债表中所有者权益项目下以</w:t>
      </w:r>
      <w:r>
        <w:rPr>
          <w:rFonts w:ascii="Times New Roman" w:hAnsi="Times New Roman" w:cs="Times New Roman" w:eastAsia="Times New Roman" w:hint="default"/>
          <w:spacing w:val="-1"/>
        </w:rPr>
        <w:t>“</w:t>
      </w:r>
      <w:r>
        <w:rPr>
          <w:spacing w:val="-1"/>
        </w:rPr>
        <w:t>少数股东权</w:t>
      </w:r>
      <w:r>
        <w:rPr/>
        <w:t> 益</w:t>
      </w:r>
      <w:r>
        <w:rPr>
          <w:rFonts w:ascii="Times New Roman" w:hAnsi="Times New Roman" w:cs="Times New Roman" w:eastAsia="Times New Roman" w:hint="default"/>
        </w:rPr>
        <w:t>”</w:t>
      </w:r>
      <w:r>
        <w:rPr/>
        <w:t>项目列示。</w:t>
      </w:r>
    </w:p>
    <w:p>
      <w:pPr>
        <w:pStyle w:val="BodyText"/>
        <w:spacing w:line="300" w:lineRule="auto" w:before="133"/>
        <w:ind w:right="1193" w:firstLine="419"/>
        <w:jc w:val="both"/>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项目列示。子公司当 期综合收益中属于少数股东权益的份额，在合并利润表中综合收益总额项目下以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 示。</w:t>
      </w:r>
    </w:p>
    <w:p>
      <w:pPr>
        <w:pStyle w:val="BodyText"/>
        <w:spacing w:line="316" w:lineRule="auto" w:before="151"/>
        <w:ind w:right="1135" w:firstLine="419"/>
        <w:jc w:val="both"/>
      </w:pPr>
      <w:r>
        <w:rPr/>
        <w:t>子公司少数股东分担的当期亏损超过了少数股东在该子公司期初所有者权益中所享有的份额的，其余额仍冲减少数股 东权益。</w:t>
      </w:r>
    </w:p>
    <w:p>
      <w:pPr>
        <w:spacing w:after="0" w:line="316" w:lineRule="auto"/>
        <w:jc w:val="both"/>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4" w:firstLine="419"/>
        <w:jc w:val="left"/>
      </w:pPr>
      <w:r>
        <w:rPr/>
        <w:t>向子公司出售资产所发生的未实现内部交易损益，全额抵销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。子公司向母公司出售资 产所发生的未实现内部交易损益，按照母公司对该子公司的分配比例在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 </w:t>
      </w:r>
      <w:r>
        <w:rPr/>
        <w:t>之间分配抵销。子公司之间出售资产所发生的未实现内部交易损益，按照母公司对出售方子公司的分配比例在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 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3"/>
        <w:ind w:right="1130" w:firstLine="419"/>
        <w:jc w:val="both"/>
      </w:pPr>
      <w:r>
        <w:rPr/>
        <w:t>本公司在报告期内因同一控制下企业合并增加的子公司以及业务，编制合并报表时，调整合并资产负债表的期初数， </w:t>
      </w:r>
      <w:r>
        <w:rPr>
          <w:spacing w:val="-2"/>
        </w:rPr>
        <w:t>将该子公司以及业务合并当期期初至报告期末的收入、费用、利润纳入合并利润表，现金流量纳入合并现金流量表，同时对</w:t>
      </w:r>
      <w:r>
        <w:rPr>
          <w:spacing w:val="-64"/>
        </w:rPr>
        <w:t> </w:t>
      </w:r>
      <w:r>
        <w:rPr>
          <w:spacing w:val="-64"/>
        </w:rPr>
      </w:r>
      <w:r>
        <w:rPr/>
        <w:t>比较报表的相关项目进行调整，视同合并后的报告主体自最终控制方开始控制时点起一直存在。</w:t>
      </w:r>
    </w:p>
    <w:p>
      <w:pPr>
        <w:pStyle w:val="BodyText"/>
        <w:spacing w:line="316" w:lineRule="auto" w:before="139"/>
        <w:ind w:right="1133" w:firstLine="419"/>
        <w:jc w:val="both"/>
      </w:pPr>
      <w:r>
        <w:rPr/>
        <w:t>本公司在报告期内因非同一控制下企业合并或其他方式增加的子公司以及业务，编制合并资产负债表时，不调整合并 </w:t>
      </w:r>
      <w:r>
        <w:rPr>
          <w:spacing w:val="-2"/>
        </w:rPr>
        <w:t>资产负债表的期初数，将该子公司以及业务购买日至报告期末的收入、费用、利润、现金流量纳入合并利润表和合并现金流</w:t>
      </w:r>
      <w:r>
        <w:rPr>
          <w:spacing w:val="-66"/>
        </w:rPr>
        <w:t> </w:t>
      </w:r>
      <w:r>
        <w:rPr>
          <w:spacing w:val="-66"/>
        </w:rPr>
      </w:r>
      <w:r>
        <w:rPr/>
        <w:t>量表。</w:t>
      </w:r>
    </w:p>
    <w:p>
      <w:pPr>
        <w:pStyle w:val="BodyText"/>
        <w:spacing w:line="316" w:lineRule="auto" w:before="139"/>
        <w:ind w:right="1171" w:firstLine="419"/>
        <w:jc w:val="both"/>
      </w:pPr>
      <w:r>
        <w:rPr/>
        <w:t>本公司在报告期内处置子公司以及业务，编制合并资产负债表时，不调整合并资产负债表的期初数，该子公司以及业 务期初至处置日的收入、费用、利润纳入合并利润表，现金流量纳入合并现金流量表。</w:t>
      </w:r>
    </w:p>
    <w:p>
      <w:pPr>
        <w:pStyle w:val="BodyText"/>
        <w:spacing w:line="316" w:lineRule="auto" w:before="139"/>
        <w:ind w:right="1133" w:firstLine="419"/>
        <w:jc w:val="both"/>
      </w:pPr>
      <w:r>
        <w:rPr/>
        <w:t>母公司购买子公司少数股东拥有的子公司股权，在合并财务报表中，因购买少数股权新取得的长期股权投资与按照新 </w:t>
      </w:r>
      <w:r>
        <w:rPr>
          <w:spacing w:val="-2"/>
        </w:rPr>
        <w:t>增持股比例计算应享有子公司自购买日或合并日开始持续计算的净资产份额之间的差额，调整资本公积（资本溢价或股本溢</w:t>
      </w:r>
      <w:r>
        <w:rPr>
          <w:spacing w:val="-64"/>
        </w:rPr>
        <w:t> </w:t>
      </w:r>
      <w:r>
        <w:rPr>
          <w:spacing w:val="-64"/>
        </w:rPr>
      </w:r>
      <w:r>
        <w:rPr/>
        <w:t>价），资本公积不足冲减的，调整留存收益。</w:t>
      </w:r>
    </w:p>
    <w:p>
      <w:pPr>
        <w:pStyle w:val="BodyText"/>
        <w:spacing w:line="309" w:lineRule="auto" w:before="139"/>
        <w:ind w:right="1133" w:firstLine="419"/>
        <w:jc w:val="both"/>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的，取得控制权日，合并方在达到合并之前持有 </w:t>
      </w:r>
      <w:r>
        <w:rPr>
          <w:spacing w:val="-2"/>
        </w:rPr>
        <w:t>的长期股权投资，在取得日与合并方与被合并方同处于同一方最终控制之日熟晚日与合并日之间已确认有关损益、其他综合</w:t>
      </w:r>
      <w:r>
        <w:rPr>
          <w:spacing w:val="-64"/>
        </w:rPr>
        <w:t> </w:t>
      </w:r>
      <w:r>
        <w:rPr>
          <w:spacing w:val="-64"/>
        </w:rPr>
      </w:r>
      <w:r>
        <w:rPr/>
        <w:t>收益和其他所有者权益变动，分别冲减比较报表期间的期初留存收益或当期损益。</w:t>
      </w:r>
    </w:p>
    <w:p>
      <w:pPr>
        <w:pStyle w:val="BodyText"/>
        <w:spacing w:line="312" w:lineRule="auto" w:before="144"/>
        <w:ind w:right="1034" w:firstLine="419"/>
        <w:jc w:val="left"/>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的，在合并财务报表中，对于购买日之前持有的 </w:t>
      </w:r>
      <w:r>
        <w:rPr>
          <w:spacing w:val="-2"/>
        </w:rPr>
        <w:t>被购买方的股权，按照该股权在购买日的公允价值进行重新计量，公允价值与其账面价值的差额计入当期投资收益；购买日</w:t>
      </w:r>
      <w:r>
        <w:rPr>
          <w:spacing w:val="-63"/>
        </w:rPr>
        <w:t> </w:t>
      </w:r>
      <w:r>
        <w:rPr>
          <w:spacing w:val="-63"/>
        </w:rPr>
      </w:r>
      <w:r>
        <w:rPr/>
        <w:t>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BodyText"/>
        <w:spacing w:line="316" w:lineRule="auto" w:before="142"/>
        <w:ind w:right="1133" w:firstLine="419"/>
        <w:jc w:val="both"/>
      </w:pPr>
      <w:r>
        <w:rPr/>
        <w:t>母公司在不丧失控制权的情况下部分处置对子公司的长期股权投资，在合并财务报表中，处置价款与处置长期股权投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资相对应享有子公司自购买日或合并日开始持续计算的净资产份额之间的差额，调整资本公积（资本溢价或股本溢价），资</w:t>
      </w:r>
      <w:r>
        <w:rPr>
          <w:spacing w:val="-66"/>
        </w:rPr>
        <w:t> </w:t>
      </w:r>
      <w:r>
        <w:rPr>
          <w:spacing w:val="-66"/>
        </w:rPr>
      </w:r>
      <w:r>
        <w:rPr/>
        <w:t>本公积不足冲减的，调整留存收益。</w:t>
      </w:r>
    </w:p>
    <w:p>
      <w:pPr>
        <w:pStyle w:val="BodyText"/>
        <w:spacing w:line="316" w:lineRule="auto" w:before="139"/>
        <w:ind w:right="1133" w:firstLine="419"/>
        <w:jc w:val="both"/>
      </w:pPr>
      <w:r>
        <w:rPr/>
        <w:t>因处置部分股权投资等原因丧失了对被投资方的控制权的，在编制合并财务报表时，对于剩余股权，按照其在丧失控 </w:t>
      </w:r>
      <w:r>
        <w:rPr>
          <w:spacing w:val="-2"/>
        </w:rPr>
        <w:t>制权日的公允价值进行重新计量。处置股权取得的对价与剩余股权公允价值之和，减去按原持股比例计算应享有原有子公司</w:t>
      </w:r>
      <w:r>
        <w:rPr>
          <w:spacing w:val="-64"/>
        </w:rPr>
        <w:t> </w:t>
      </w:r>
      <w:r>
        <w:rPr>
          <w:spacing w:val="-64"/>
        </w:rPr>
      </w:r>
      <w:r>
        <w:rPr>
          <w:spacing w:val="-2"/>
        </w:rPr>
        <w:t>自购买日或合并日开始持续计算的净资产的份额之间的差额，计入丧失控制权当期的投资收益，同时冲减商誉。与原有子公</w:t>
      </w:r>
      <w:r>
        <w:rPr>
          <w:spacing w:val="-66"/>
        </w:rPr>
        <w:t> </w:t>
      </w:r>
      <w:r>
        <w:rPr>
          <w:spacing w:val="-66"/>
        </w:rPr>
      </w:r>
      <w:r>
        <w:rPr/>
        <w:t>司股权投资相关的其他综合收益等，在丧失控制权时转为当期投资收益。</w:t>
      </w:r>
    </w:p>
    <w:p>
      <w:pPr>
        <w:pStyle w:val="BodyText"/>
        <w:spacing w:line="316" w:lineRule="auto" w:before="139"/>
        <w:ind w:right="1130" w:firstLine="419"/>
        <w:jc w:val="both"/>
      </w:pPr>
      <w:r>
        <w:rPr/>
        <w:t>通过多次交易分步处置对子公司股权投资直至丧失控制权的，如果处置对子公司股权投资直至丧失控制权的各项交易 </w:t>
      </w:r>
      <w:r>
        <w:rPr>
          <w:spacing w:val="-2"/>
        </w:rPr>
        <w:t>属于一揽子交易的，将各项交易作为一项处置子公司并丧失控制权的交易进行会计处理；但是，在丧失控制权之前每一次处</w:t>
      </w:r>
      <w:r>
        <w:rPr>
          <w:spacing w:val="-63"/>
        </w:rPr>
        <w:t> </w:t>
      </w:r>
      <w:r>
        <w:rPr>
          <w:spacing w:val="-63"/>
        </w:rPr>
      </w:r>
      <w:r>
        <w:rPr>
          <w:spacing w:val="-2"/>
        </w:rPr>
        <w:t>置价款与处置投资对应的享有该子公司净资产份额的差额，在合并财务报表中确认为其他综合收益，在丧失控制权时一并转</w:t>
      </w:r>
      <w:r>
        <w:rPr>
          <w:spacing w:val="-64"/>
        </w:rPr>
        <w:t> </w:t>
      </w:r>
      <w:r>
        <w:rPr>
          <w:spacing w:val="-64"/>
        </w:rPr>
      </w:r>
      <w:r>
        <w:rPr/>
        <w:t>入丧失控制权当期的损益。</w:t>
      </w:r>
    </w:p>
    <w:p>
      <w:pPr>
        <w:pStyle w:val="BodyText"/>
        <w:spacing w:line="240" w:lineRule="auto" w:before="139"/>
        <w:ind w:left="572" w:right="986"/>
        <w:jc w:val="left"/>
      </w:pPr>
      <w:r>
        <w:rPr/>
        <w:t>合并所有者权益变动表根据合并资产负债表和合并利润表编制。</w:t>
      </w:r>
    </w:p>
    <w:p>
      <w:pPr>
        <w:spacing w:line="240" w:lineRule="auto" w:before="0"/>
        <w:rPr>
          <w:rFonts w:ascii="宋体" w:hAnsi="宋体" w:cs="宋体" w:eastAsia="宋体" w:hint="default"/>
          <w:sz w:val="18"/>
          <w:szCs w:val="18"/>
        </w:rPr>
      </w:pPr>
    </w:p>
    <w:p>
      <w:pPr>
        <w:pStyle w:val="Heading4"/>
        <w:spacing w:line="240" w:lineRule="auto" w:before="119"/>
        <w:ind w:right="986"/>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419"/>
        <w:jc w:val="left"/>
      </w:pPr>
      <w:r>
        <w:rPr>
          <w:spacing w:val="-2"/>
        </w:rPr>
        <w:t>合营安排指一项由两个或两个以上的参与方共同控制的安排。共同控制，是指按照相关约定对某项安排所共有的控制，</w:t>
      </w:r>
      <w:r>
        <w:rPr/>
        <w:t> </w:t>
      </w:r>
      <w:r>
        <w:rPr>
          <w:spacing w:val="-2"/>
        </w:rPr>
        <w:t>并且该安排的相关活动必须经过分享控制权的参与方一致同意后才能决策。在判断是否存在共同控制时，应该首先判断所有</w:t>
      </w:r>
      <w:r>
        <w:rPr>
          <w:spacing w:val="-64"/>
        </w:rPr>
        <w:t> </w:t>
      </w:r>
      <w:r>
        <w:rPr>
          <w:spacing w:val="-64"/>
        </w:rPr>
      </w:r>
      <w:r>
        <w:rPr>
          <w:spacing w:val="-2"/>
        </w:rPr>
        <w:t>参与方或参与方组合是否集体控制该安排，其次判断该安排相关活动的决策是否必须经过这些集体控制该安排的参与方一致</w:t>
      </w:r>
      <w:r>
        <w:rPr>
          <w:spacing w:val="-64"/>
        </w:rPr>
        <w:t> </w:t>
      </w:r>
      <w:r>
        <w:rPr>
          <w:spacing w:val="-64"/>
        </w:rPr>
      </w:r>
      <w:r>
        <w:rPr/>
        <w:t>同意。</w:t>
      </w:r>
    </w:p>
    <w:p>
      <w:pPr>
        <w:spacing w:after="0" w:line="316"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72" w:right="986"/>
        <w:jc w:val="left"/>
      </w:pPr>
      <w:r>
        <w:rPr/>
        <w:t>本公司根据在合营安排中享有的权利和承担的义务确定合营安排的分类。合营安排分为共同经营和合营企业。</w:t>
      </w:r>
    </w:p>
    <w:p>
      <w:pPr>
        <w:spacing w:line="240" w:lineRule="auto" w:before="0"/>
        <w:rPr>
          <w:rFonts w:ascii="宋体" w:hAnsi="宋体" w:cs="宋体" w:eastAsia="宋体" w:hint="default"/>
          <w:sz w:val="15"/>
          <w:szCs w:val="15"/>
        </w:rPr>
      </w:pPr>
    </w:p>
    <w:p>
      <w:pPr>
        <w:pStyle w:val="BodyText"/>
        <w:spacing w:line="316" w:lineRule="auto"/>
        <w:ind w:right="986" w:firstLine="419"/>
        <w:jc w:val="left"/>
      </w:pPr>
      <w:r>
        <w:rPr/>
        <w:t>共同经营，是指合营方享有该安排相关资产且承担该安排相关负债的合营安排。本公司确认其与共同经营中利益份额 相关的下列项目，并按照相关企业会计准则的规定进行会计处理：</w:t>
      </w:r>
    </w:p>
    <w:p>
      <w:pPr>
        <w:pStyle w:val="BodyText"/>
        <w:spacing w:line="240" w:lineRule="auto" w:before="139"/>
        <w:ind w:left="640" w:right="986"/>
        <w:jc w:val="left"/>
      </w:pPr>
      <w:r>
        <w:rPr>
          <w:rFonts w:ascii="宋体" w:hAnsi="宋体" w:cs="宋体" w:eastAsia="宋体" w:hint="default"/>
        </w:rPr>
        <w:t>1.</w:t>
      </w:r>
      <w:r>
        <w:rPr>
          <w:rFonts w:ascii="宋体" w:hAnsi="宋体" w:cs="宋体" w:eastAsia="宋体" w:hint="default"/>
          <w:spacing w:val="89"/>
        </w:rPr>
        <w:t> </w:t>
      </w:r>
      <w:r>
        <w:rPr/>
        <w:t>确认单独所持有的资产，以及按其份额确认共同持有的资产；</w:t>
      </w:r>
    </w:p>
    <w:p>
      <w:pPr>
        <w:spacing w:line="240" w:lineRule="auto" w:before="0"/>
        <w:rPr>
          <w:rFonts w:ascii="宋体" w:hAnsi="宋体" w:cs="宋体" w:eastAsia="宋体" w:hint="default"/>
          <w:sz w:val="15"/>
          <w:szCs w:val="15"/>
        </w:rPr>
      </w:pPr>
    </w:p>
    <w:p>
      <w:pPr>
        <w:pStyle w:val="BodyText"/>
        <w:spacing w:line="240" w:lineRule="auto"/>
        <w:ind w:left="640" w:right="986"/>
        <w:jc w:val="left"/>
      </w:pPr>
      <w:r>
        <w:rPr>
          <w:rFonts w:ascii="宋体" w:hAnsi="宋体" w:cs="宋体" w:eastAsia="宋体" w:hint="default"/>
        </w:rPr>
        <w:t>2.</w:t>
      </w:r>
      <w:r>
        <w:rPr>
          <w:rFonts w:ascii="宋体" w:hAnsi="宋体" w:cs="宋体" w:eastAsia="宋体" w:hint="default"/>
          <w:spacing w:val="89"/>
        </w:rPr>
        <w:t> </w:t>
      </w:r>
      <w:r>
        <w:rPr/>
        <w:t>确认单独所承担的负债，以及按其份额确认共同承担的负债；</w:t>
      </w:r>
    </w:p>
    <w:p>
      <w:pPr>
        <w:spacing w:line="240" w:lineRule="auto" w:before="0"/>
        <w:rPr>
          <w:rFonts w:ascii="宋体" w:hAnsi="宋体" w:cs="宋体" w:eastAsia="宋体" w:hint="default"/>
          <w:sz w:val="15"/>
          <w:szCs w:val="15"/>
        </w:rPr>
      </w:pPr>
    </w:p>
    <w:p>
      <w:pPr>
        <w:pStyle w:val="BodyText"/>
        <w:spacing w:line="240" w:lineRule="auto"/>
        <w:ind w:left="640" w:right="986"/>
        <w:jc w:val="left"/>
      </w:pPr>
      <w:r>
        <w:rPr>
          <w:rFonts w:ascii="宋体" w:hAnsi="宋体" w:cs="宋体" w:eastAsia="宋体" w:hint="default"/>
        </w:rPr>
        <w:t>3.</w:t>
      </w:r>
      <w:r>
        <w:rPr>
          <w:rFonts w:ascii="宋体" w:hAnsi="宋体" w:cs="宋体" w:eastAsia="宋体" w:hint="default"/>
          <w:spacing w:val="89"/>
        </w:rPr>
        <w:t> </w:t>
      </w:r>
      <w:r>
        <w:rPr/>
        <w:t>确认出售其享有的共同经营产出份额所产生的收入；</w:t>
      </w:r>
    </w:p>
    <w:p>
      <w:pPr>
        <w:spacing w:line="240" w:lineRule="auto" w:before="0"/>
        <w:rPr>
          <w:rFonts w:ascii="宋体" w:hAnsi="宋体" w:cs="宋体" w:eastAsia="宋体" w:hint="default"/>
          <w:sz w:val="15"/>
          <w:szCs w:val="15"/>
        </w:rPr>
      </w:pPr>
    </w:p>
    <w:p>
      <w:pPr>
        <w:pStyle w:val="BodyText"/>
        <w:spacing w:line="240" w:lineRule="auto"/>
        <w:ind w:left="640" w:right="986"/>
        <w:jc w:val="left"/>
      </w:pPr>
      <w:r>
        <w:rPr>
          <w:rFonts w:ascii="宋体" w:hAnsi="宋体" w:cs="宋体" w:eastAsia="宋体" w:hint="default"/>
        </w:rPr>
        <w:t>4.</w:t>
      </w:r>
      <w:r>
        <w:rPr>
          <w:rFonts w:ascii="宋体" w:hAnsi="宋体" w:cs="宋体" w:eastAsia="宋体" w:hint="default"/>
          <w:spacing w:val="89"/>
        </w:rPr>
        <w:t> </w:t>
      </w:r>
      <w:r>
        <w:rPr/>
        <w:t>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640" w:right="986"/>
        <w:jc w:val="left"/>
      </w:pPr>
      <w:r>
        <w:rPr>
          <w:rFonts w:ascii="宋体" w:hAnsi="宋体" w:cs="宋体" w:eastAsia="宋体" w:hint="default"/>
        </w:rPr>
        <w:t>5.</w:t>
      </w:r>
      <w:r>
        <w:rPr>
          <w:rFonts w:ascii="宋体" w:hAnsi="宋体" w:cs="宋体" w:eastAsia="宋体" w:hint="default"/>
          <w:spacing w:val="89"/>
        </w:rPr>
        <w:t> </w:t>
      </w:r>
      <w:r>
        <w:rPr/>
        <w:t>确认单独所发生的费用，以及按其份额确认共同经营发生的费用。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6" w:firstLine="419"/>
        <w:jc w:val="left"/>
      </w:pPr>
      <w:r>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9、 外币业务和外币报表折算" w:id="183"/>
      <w:bookmarkEnd w:id="183"/>
      <w:r>
        <w:rPr>
          <w:b w:val="0"/>
          <w:bCs w:val="0"/>
        </w:rPr>
      </w:r>
      <w:r>
        <w:rPr>
          <w:rFonts w:ascii="Times New Roman" w:hAnsi="Times New Roman" w:cs="Times New Roman" w:eastAsia="Times New Roman" w:hint="default"/>
        </w:rPr>
        <w:t>9</w:t>
      </w:r>
      <w:r>
        <w:rPr/>
        <w:t>、</w:t>
      </w:r>
      <w:r>
        <w:rPr>
          <w:spacing w:val="-61"/>
        </w:rPr>
        <w:t> </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left="512" w:right="3914"/>
        <w:jc w:val="left"/>
      </w:pPr>
      <w:r>
        <w:rPr>
          <w:rFonts w:ascii="宋体" w:hAnsi="宋体" w:cs="宋体" w:eastAsia="宋体" w:hint="default"/>
          <w:b/>
          <w:bCs/>
        </w:rPr>
        <w:t>1.</w:t>
      </w:r>
      <w:r>
        <w:rPr>
          <w:rFonts w:ascii="宋体" w:hAnsi="宋体" w:cs="宋体" w:eastAsia="宋体" w:hint="default"/>
          <w:b/>
          <w:bCs/>
        </w:rPr>
        <w:t>外币业务折算</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47"/>
        <w:ind w:right="1034"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的即期汇率折算，由此产生的汇兑差额计入当期损益或其他综合收益。</w:t>
      </w:r>
    </w:p>
    <w:p>
      <w:pPr>
        <w:pStyle w:val="BodyText"/>
        <w:spacing w:line="432" w:lineRule="exact" w:before="3"/>
        <w:ind w:left="572" w:right="986"/>
        <w:jc w:val="left"/>
      </w:pPr>
      <w:r>
        <w:rPr>
          <w:rFonts w:ascii="宋体" w:hAnsi="宋体" w:cs="宋体" w:eastAsia="宋体" w:hint="default"/>
          <w:b/>
          <w:bCs/>
        </w:rPr>
        <w:t>2.</w:t>
      </w:r>
      <w:r>
        <w:rPr>
          <w:rFonts w:ascii="宋体" w:hAnsi="宋体" w:cs="宋体" w:eastAsia="宋体" w:hint="default"/>
          <w:b/>
          <w:bCs/>
        </w:rPr>
        <w:t>外币报表折算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5"/>
        <w:ind w:right="986"/>
        <w:jc w:val="left"/>
      </w:pPr>
      <w:r>
        <w:rPr>
          <w:spacing w:val="-2"/>
        </w:rPr>
        <w:t>项目采用发生时的即期汇率折算。利润表中的收入和费用项目，通常采用年平均汇率折算。按照上述折算产生的外币财务报</w:t>
      </w:r>
      <w:r>
        <w:rPr>
          <w:spacing w:val="-63"/>
        </w:rPr>
        <w:t> </w:t>
      </w:r>
      <w:r>
        <w:rPr>
          <w:spacing w:val="-63"/>
        </w:rPr>
      </w:r>
      <w:r>
        <w:rPr/>
        <w:t>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w:t>
      </w:r>
    </w:p>
    <w:p>
      <w:pPr>
        <w:pStyle w:val="BodyText"/>
        <w:spacing w:line="316" w:lineRule="auto" w:before="119"/>
        <w:ind w:right="1133" w:firstLine="419"/>
        <w:jc w:val="both"/>
      </w:pPr>
      <w:r>
        <w:rPr/>
        <w:t>处置境外经营时，将资产负债表中其他综合收益项目下列示的、与该境外经营相关的外币财务报表折算差额，自其他 </w:t>
      </w:r>
      <w:r>
        <w:rPr>
          <w:spacing w:val="-2"/>
        </w:rPr>
        <w:t>综合收益项目转入处置当期损益；部分处置境外经营的，按处置的比例计算处置部分的外币财务报表折算差额，转入处置当</w:t>
      </w:r>
      <w:r>
        <w:rPr>
          <w:spacing w:val="-66"/>
        </w:rPr>
        <w:t> </w:t>
      </w:r>
      <w:r>
        <w:rPr>
          <w:spacing w:val="-66"/>
        </w:rPr>
      </w:r>
      <w:r>
        <w:rPr/>
        <w:t>期损益。</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2" w:right="986"/>
        <w:jc w:val="left"/>
      </w:pPr>
      <w:r>
        <w:rPr/>
        <w:t>金融工具包括金融资产、金融负债和权益工具。</w:t>
      </w:r>
    </w:p>
    <w:p>
      <w:pPr>
        <w:pStyle w:val="BodyText"/>
        <w:spacing w:line="430" w:lineRule="atLeast" w:before="2"/>
        <w:ind w:left="512" w:right="986"/>
        <w:jc w:val="left"/>
      </w:pP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管理层按照取得持有金融资产和承担金融负债的目的，将其划分为：以公允价值计量且其变动计入当期损益的金融资产</w:t>
      </w:r>
    </w:p>
    <w:p>
      <w:pPr>
        <w:pStyle w:val="BodyText"/>
        <w:spacing w:line="316" w:lineRule="auto" w:before="76"/>
        <w:ind w:right="1034"/>
        <w:jc w:val="left"/>
      </w:pPr>
      <w:r>
        <w:rPr/>
        <w:t>或金融负债，包括交易性金融资产或金融负债和直接指定为以公允价值计量且其变动计入当期损益的金融资产或金融负债； 持有至到期投资；应收款项；可供出售金融资产；其他金融负债等。</w:t>
      </w:r>
    </w:p>
    <w:p>
      <w:pPr>
        <w:spacing w:line="439" w:lineRule="auto" w:before="139"/>
        <w:ind w:left="424" w:right="5172" w:firstLine="88"/>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金融工具的确认依据和计量方法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以公允价值计量且其变动计入当期损益的金融资产（金融负债）</w:t>
      </w:r>
    </w:p>
    <w:p>
      <w:pPr>
        <w:spacing w:after="0" w:line="439"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986" w:firstLine="360"/>
        <w:jc w:val="left"/>
      </w:pPr>
      <w:r>
        <w:rPr>
          <w:spacing w:val="-2"/>
        </w:rPr>
        <w:t>取得时以公允价值（扣除已宣告但尚未发放的现金股利或已到付息期但尚未领取的债券利息）作为初始确认金额，相关</w:t>
      </w:r>
      <w:r>
        <w:rPr/>
        <w:t> 的交易费用计入当期损益。</w:t>
      </w:r>
    </w:p>
    <w:p>
      <w:pPr>
        <w:pStyle w:val="BodyText"/>
        <w:spacing w:line="439" w:lineRule="auto" w:before="139"/>
        <w:ind w:left="512" w:right="2294"/>
        <w:jc w:val="left"/>
      </w:pPr>
      <w:r>
        <w:rPr/>
        <w:t>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(2)</w:t>
      </w:r>
      <w:r>
        <w:rPr/>
        <w:t>持有至到期投资</w:t>
      </w:r>
      <w:r>
        <w:rPr>
          <w:spacing w:val="-87"/>
        </w:rPr>
        <w:t> </w:t>
      </w:r>
      <w:r>
        <w:rPr/>
        <w:t>取得时按公允价值（扣除已到付息期但尚未领取的债券利息）和相关交易费用之和作为初始确认金额。</w:t>
      </w:r>
    </w:p>
    <w:p>
      <w:pPr>
        <w:pStyle w:val="BodyText"/>
        <w:spacing w:line="316" w:lineRule="auto" w:before="47"/>
        <w:ind w:right="986"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39"/>
        <w:ind w:left="512" w:right="986"/>
        <w:jc w:val="left"/>
      </w:pPr>
      <w:r>
        <w:rPr/>
        <w:t>处置时，将所取得价款与该投资账面价值之间的差额计入投资收益。</w:t>
      </w:r>
    </w:p>
    <w:p>
      <w:pPr>
        <w:pStyle w:val="BodyText"/>
        <w:spacing w:line="430" w:lineRule="atLeast" w:before="2"/>
        <w:ind w:left="512" w:right="986"/>
        <w:jc w:val="left"/>
      </w:pPr>
      <w:r>
        <w:rPr>
          <w:rFonts w:ascii="宋体" w:hAnsi="宋体" w:cs="宋体" w:eastAsia="宋体" w:hint="default"/>
        </w:rPr>
        <w:t>(3)</w:t>
      </w:r>
      <w:r>
        <w:rPr/>
        <w:t>应收款项</w:t>
      </w:r>
      <w:r>
        <w:rPr>
          <w:spacing w:val="-87"/>
        </w:rPr>
        <w:t> </w:t>
      </w:r>
      <w:r>
        <w:rPr>
          <w:spacing w:val="-2"/>
        </w:rPr>
        <w:t>对外销售商品或提供劳务形成的应收债权，以及持有的其他企业的不包括在活跃市场上有报价的债务工具的债权，包括</w:t>
      </w:r>
    </w:p>
    <w:p>
      <w:pPr>
        <w:pStyle w:val="BodyText"/>
        <w:spacing w:line="316" w:lineRule="auto" w:before="76"/>
        <w:ind w:right="1034"/>
        <w:jc w:val="left"/>
      </w:pPr>
      <w:r>
        <w:rPr/>
        <w:t>应收账款、其他应收款、应收票据、预付账款等，以向购货方应收的合同或协议价款作为初始确认金额；具有融资性质的， 按其现值进行初始确认。</w:t>
      </w:r>
    </w:p>
    <w:p>
      <w:pPr>
        <w:pStyle w:val="BodyText"/>
        <w:spacing w:line="240" w:lineRule="auto" w:before="139"/>
        <w:ind w:left="512" w:right="986"/>
        <w:jc w:val="left"/>
      </w:pPr>
      <w:r>
        <w:rPr/>
        <w:t>收回或处置时，将取得的价款与该应收款项账面价值之间的差额计入当期损益。</w:t>
      </w:r>
    </w:p>
    <w:p>
      <w:pPr>
        <w:pStyle w:val="BodyText"/>
        <w:spacing w:line="430" w:lineRule="atLeast" w:before="2"/>
        <w:ind w:left="512" w:right="986"/>
        <w:jc w:val="left"/>
      </w:pPr>
      <w:r>
        <w:rPr>
          <w:rFonts w:ascii="宋体" w:hAnsi="宋体" w:cs="宋体" w:eastAsia="宋体" w:hint="default"/>
        </w:rPr>
        <w:t>(4)</w:t>
      </w:r>
      <w:r>
        <w:rPr/>
        <w:t>可供出售金融资产</w:t>
      </w:r>
      <w:r>
        <w:rPr>
          <w:spacing w:val="-87"/>
        </w:rPr>
        <w:t> </w:t>
      </w:r>
      <w:r>
        <w:rPr>
          <w:spacing w:val="-2"/>
        </w:rPr>
        <w:t>取得时按公允价值（扣除已宣告但尚未发放的现金股利或已到付息期但尚未领取的债券利息）和相关交易费用之和作为</w:t>
      </w:r>
    </w:p>
    <w:p>
      <w:pPr>
        <w:pStyle w:val="BodyText"/>
        <w:spacing w:line="240" w:lineRule="auto" w:before="76"/>
        <w:ind w:right="986"/>
        <w:jc w:val="left"/>
      </w:pPr>
      <w:r>
        <w:rPr/>
        <w:t>初始确认金额。</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持有期间将取得的利息或现金股利确认为投资收益。期末以公允价值计量且将公允价值变动计入其他综合收益。对被投</w:t>
      </w:r>
      <w:r>
        <w:rPr/>
        <w:t> </w:t>
      </w:r>
      <w:r>
        <w:rPr>
          <w:spacing w:val="-2"/>
        </w:rPr>
        <w:t>资单位不具有控制、共同控制或重大影响并且在活跃市场中没有报价、公允价值不能可靠计量的股权投资，作为可供出售金</w:t>
      </w:r>
      <w:r>
        <w:rPr>
          <w:spacing w:val="-63"/>
        </w:rPr>
        <w:t> </w:t>
      </w:r>
      <w:r>
        <w:rPr>
          <w:spacing w:val="-63"/>
        </w:rPr>
      </w:r>
      <w:r>
        <w:rPr/>
        <w:t>融资产列报，按成本进行后续计量。</w:t>
      </w:r>
    </w:p>
    <w:p>
      <w:pPr>
        <w:pStyle w:val="BodyText"/>
        <w:spacing w:line="316" w:lineRule="auto" w:before="139"/>
        <w:ind w:right="986" w:firstLine="360"/>
        <w:jc w:val="left"/>
      </w:pPr>
      <w:r>
        <w:rPr>
          <w:spacing w:val="-2"/>
        </w:rPr>
        <w:t>处置时，将取得的价款与该金融资产账面价值之间的差额，计入投资损益；同时，将原其他综合收益的公允价值变动累</w:t>
      </w:r>
      <w:r>
        <w:rPr/>
        <w:t> 计额对应处置部分的金额转出，计入投资损益。</w:t>
      </w:r>
    </w:p>
    <w:p>
      <w:pPr>
        <w:spacing w:line="441" w:lineRule="auto" w:before="139"/>
        <w:ind w:left="512" w:right="2654" w:hanging="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其他金融负债</w:t>
      </w:r>
      <w:r>
        <w:rPr>
          <w:rFonts w:ascii="宋体" w:hAnsi="宋体" w:cs="宋体" w:eastAsia="宋体" w:hint="default"/>
          <w:spacing w:val="-87"/>
          <w:sz w:val="18"/>
          <w:szCs w:val="18"/>
        </w:rPr>
        <w:t> </w:t>
      </w:r>
      <w:r>
        <w:rPr>
          <w:rFonts w:ascii="宋体" w:hAnsi="宋体" w:cs="宋体" w:eastAsia="宋体" w:hint="default"/>
          <w:sz w:val="18"/>
          <w:szCs w:val="18"/>
        </w:rPr>
        <w:t>按其公允价值和相关交易费用之和作为初始确认金额。采用摊余成本进行后续计量。 </w:t>
      </w:r>
      <w:r>
        <w:rPr>
          <w:rFonts w:ascii="宋体" w:hAnsi="宋体" w:cs="宋体" w:eastAsia="宋体"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45"/>
        <w:ind w:right="986" w:firstLine="360"/>
        <w:jc w:val="left"/>
      </w:pPr>
      <w:r>
        <w:rPr>
          <w:spacing w:val="-2"/>
        </w:rPr>
        <w:t>发生金融资产转移时，如已将金融资产所有权上几乎所有的风险和报酬转移给转入方，则终止确认该金融资产；如保留</w:t>
      </w:r>
      <w:r>
        <w:rPr/>
        <w:t> 了金融资产所有权上几乎所有的风险和报酬的，则不终止确认该金融资产。</w:t>
      </w:r>
    </w:p>
    <w:p>
      <w:pPr>
        <w:pStyle w:val="BodyText"/>
        <w:spacing w:line="316" w:lineRule="auto" w:before="139"/>
        <w:ind w:right="986"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39"/>
        <w:ind w:left="512" w:right="986"/>
        <w:jc w:val="left"/>
      </w:pPr>
      <w:r>
        <w:rPr/>
        <w:t>（</w:t>
      </w:r>
      <w:r>
        <w:rPr>
          <w:rFonts w:ascii="Times New Roman" w:hAnsi="Times New Roman" w:cs="Times New Roman" w:eastAsia="Times New Roman" w:hint="default"/>
        </w:rPr>
        <w:t>1</w:t>
      </w:r>
      <w:r>
        <w:rPr/>
        <w:t>）所转移金融资产的账面价值；</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151"/>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39"/>
        <w:ind w:left="512" w:right="986"/>
        <w:jc w:val="left"/>
      </w:pPr>
      <w:r>
        <w:rPr/>
        <w:t>（</w:t>
      </w:r>
      <w:r>
        <w:rPr>
          <w:rFonts w:ascii="Times New Roman" w:hAnsi="Times New Roman" w:cs="Times New Roman" w:eastAsia="Times New Roman" w:hint="default"/>
        </w:rPr>
        <w:t>1</w:t>
      </w:r>
      <w:r>
        <w:rPr/>
        <w:t>）终止确认部分的账面价值；</w:t>
      </w:r>
    </w:p>
    <w:p>
      <w:pPr>
        <w:spacing w:line="240" w:lineRule="auto" w:before="13"/>
        <w:rPr>
          <w:rFonts w:ascii="宋体" w:hAnsi="宋体" w:cs="宋体" w:eastAsia="宋体" w:hint="default"/>
          <w:sz w:val="13"/>
          <w:szCs w:val="13"/>
        </w:rPr>
      </w:pPr>
    </w:p>
    <w:p>
      <w:pPr>
        <w:pStyle w:val="BodyText"/>
        <w:spacing w:line="240" w:lineRule="auto"/>
        <w:ind w:left="512" w:right="986"/>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439" w:lineRule="auto" w:before="44"/>
        <w:ind w:left="512" w:right="986"/>
        <w:jc w:val="left"/>
        <w:rPr>
          <w:rFonts w:ascii="宋体" w:hAnsi="宋体" w:cs="宋体" w:eastAsia="宋体" w:hint="default"/>
        </w:rPr>
      </w:pPr>
      <w:r>
        <w:rPr/>
        <w:t>金融资产为可供出售金融资产的情形）之和。 金融资产转移不满足终止确认条件的，继续确认该金融资产，所收到的对价确认为一项金融负债。 </w:t>
      </w:r>
      <w:r>
        <w:rPr>
          <w:rFonts w:ascii="宋体" w:hAnsi="宋体" w:cs="宋体" w:eastAsia="宋体" w:hint="default"/>
          <w:b/>
          <w:bCs/>
        </w:rPr>
        <w:t>4.</w:t>
      </w:r>
      <w:r>
        <w:rPr>
          <w:rFonts w:ascii="宋体" w:hAnsi="宋体" w:cs="宋体" w:eastAsia="宋体" w:hint="default"/>
          <w:b/>
          <w:bCs/>
        </w:rPr>
        <w:t>金融负债终止确认条件</w:t>
      </w:r>
      <w:r>
        <w:rPr>
          <w:rFonts w:ascii="宋体" w:hAnsi="宋体" w:cs="宋体" w:eastAsia="宋体" w:hint="default"/>
        </w:rPr>
      </w:r>
    </w:p>
    <w:p>
      <w:pPr>
        <w:pStyle w:val="BodyText"/>
        <w:spacing w:line="316" w:lineRule="auto" w:before="47"/>
        <w:ind w:right="113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39"/>
        <w:ind w:right="1133"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39"/>
        <w:ind w:right="1133" w:firstLine="360"/>
        <w:jc w:val="both"/>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39"/>
        <w:ind w:right="1130" w:firstLine="360"/>
        <w:jc w:val="both"/>
      </w:pPr>
      <w:r>
        <w:rPr>
          <w:spacing w:val="-2"/>
        </w:rPr>
        <w:t>若回购部分金融负债的，在回购日按照继续确认部分与终止确认部分的相对公允价值，将该金融负债整体的账面价值进</w:t>
      </w:r>
      <w:r>
        <w:rPr/>
        <w:t> </w:t>
      </w:r>
      <w:r>
        <w:rPr>
          <w:spacing w:val="-2"/>
        </w:rPr>
        <w:t>行分配。分配给终止确认部分的账面价值与支付的对价（包括转出的非现金资产或承担的新金融负债）之间的差额，计入当</w:t>
      </w:r>
      <w:r>
        <w:rPr>
          <w:spacing w:val="-64"/>
        </w:rPr>
        <w:t> </w:t>
      </w:r>
      <w:r>
        <w:rPr>
          <w:spacing w:val="-64"/>
        </w:rPr>
      </w:r>
      <w:r>
        <w:rPr/>
        <w:t>期损益。</w:t>
      </w:r>
    </w:p>
    <w:p>
      <w:pPr>
        <w:spacing w:line="439" w:lineRule="auto" w:before="139"/>
        <w:ind w:left="512" w:right="4454"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采用公允价值计量的金融资产和金融负债全部直接参考活跃市场中的报价。 </w:t>
      </w:r>
      <w:r>
        <w:rPr>
          <w:rFonts w:ascii="宋体" w:hAnsi="宋体" w:cs="宋体" w:eastAsia="宋体" w:hint="default"/>
          <w:b/>
          <w:bCs/>
          <w:sz w:val="18"/>
          <w:szCs w:val="18"/>
        </w:rPr>
        <w:t>6.</w:t>
      </w:r>
      <w:r>
        <w:rPr>
          <w:rFonts w:ascii="宋体" w:hAnsi="宋体" w:cs="宋体" w:eastAsia="宋体" w:hint="default"/>
          <w:b/>
          <w:bCs/>
          <w:sz w:val="18"/>
          <w:szCs w:val="18"/>
        </w:rPr>
        <w:t>金融资产（不含应收款项）减值</w:t>
      </w:r>
      <w:r>
        <w:rPr>
          <w:rFonts w:ascii="宋体" w:hAnsi="宋体" w:cs="宋体" w:eastAsia="宋体" w:hint="default"/>
          <w:sz w:val="18"/>
          <w:szCs w:val="18"/>
        </w:rPr>
      </w:r>
    </w:p>
    <w:p>
      <w:pPr>
        <w:pStyle w:val="BodyText"/>
        <w:spacing w:line="316" w:lineRule="auto" w:before="47"/>
        <w:ind w:right="1135" w:firstLine="419"/>
        <w:jc w:val="both"/>
      </w:pPr>
      <w:r>
        <w:rPr/>
        <w:t>除以公允价值计量且其变动计入当期损益的金融资产外，于资产负债表日对金融资产的账面价值进行检查，如果有客 观证据表明某项金融资产发生减值的，计提减值准备。</w:t>
      </w:r>
    </w:p>
    <w:p>
      <w:pPr>
        <w:pStyle w:val="BodyText"/>
        <w:spacing w:line="432" w:lineRule="exact" w:before="3"/>
        <w:ind w:left="512" w:right="986"/>
        <w:jc w:val="left"/>
      </w:pPr>
      <w:r>
        <w:rPr/>
        <w:t>（</w:t>
      </w:r>
      <w:r>
        <w:rPr>
          <w:rFonts w:ascii="宋体" w:hAnsi="宋体" w:cs="宋体" w:eastAsia="宋体" w:hint="default"/>
        </w:rPr>
        <w:t>1</w:t>
      </w:r>
      <w:r>
        <w:rPr/>
        <w:t>）可供出售金融资产的减值 </w:t>
      </w:r>
      <w:r>
        <w:rPr>
          <w:spacing w:val="-2"/>
        </w:rPr>
        <w:t>期末如果可供出售金融资产的公允价值发生较大幅度下降，或在综合考虑各种相关因素后，预期这种下降趋势属于非暂</w:t>
      </w:r>
    </w:p>
    <w:p>
      <w:pPr>
        <w:pStyle w:val="BodyText"/>
        <w:spacing w:line="439" w:lineRule="auto" w:before="15"/>
        <w:ind w:left="512" w:right="1394" w:hanging="360"/>
        <w:jc w:val="left"/>
      </w:pPr>
      <w:r>
        <w:rPr/>
        <w:t>时性的，就认定其已发生减值，将原直接计入其他综合收益的公允价值下降形成的累计损失一并转出，确认减值损失。 对于可供出售金融资产由于下列损失事项影响其预计未来现金流量减少</w:t>
      </w:r>
      <w:r>
        <w:rPr>
          <w:rFonts w:ascii="Times New Roman" w:hAnsi="Times New Roman" w:cs="Times New Roman" w:eastAsia="Times New Roman" w:hint="default"/>
        </w:rPr>
        <w:t>,</w:t>
      </w:r>
      <w:r>
        <w:rPr/>
        <w:t>并且能够可靠计量，将认定其发生减值：</w:t>
      </w:r>
    </w:p>
    <w:p>
      <w:pPr>
        <w:pStyle w:val="BodyText"/>
        <w:spacing w:line="240" w:lineRule="auto" w:before="17"/>
        <w:ind w:left="512" w:right="986"/>
        <w:jc w:val="left"/>
      </w:pPr>
      <w:r>
        <w:rPr/>
        <w:t>①  债务人发生严重财务困难；</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②  债务人违反了合同条款</w:t>
      </w:r>
      <w:r>
        <w:rPr>
          <w:rFonts w:ascii="Times New Roman" w:hAnsi="Times New Roman" w:cs="Times New Roman" w:eastAsia="Times New Roman" w:hint="default"/>
        </w:rPr>
        <w:t>,</w:t>
      </w:r>
      <w:r>
        <w:rPr/>
        <w:t>如偿付利息或本金发生违约或逾期；</w:t>
      </w:r>
    </w:p>
    <w:p>
      <w:pPr>
        <w:spacing w:line="240" w:lineRule="auto" w:before="13"/>
        <w:rPr>
          <w:rFonts w:ascii="宋体" w:hAnsi="宋体" w:cs="宋体" w:eastAsia="宋体" w:hint="default"/>
          <w:sz w:val="13"/>
          <w:szCs w:val="13"/>
        </w:rPr>
      </w:pPr>
    </w:p>
    <w:p>
      <w:pPr>
        <w:pStyle w:val="BodyText"/>
        <w:spacing w:line="240" w:lineRule="auto"/>
        <w:ind w:left="512" w:right="986"/>
        <w:jc w:val="left"/>
      </w:pPr>
      <w:r>
        <w:rPr/>
        <w:t>③  本公司出于经济或法律等方面因素的考虑</w:t>
      </w:r>
      <w:r>
        <w:rPr>
          <w:rFonts w:ascii="Times New Roman" w:hAnsi="Times New Roman" w:cs="Times New Roman" w:eastAsia="Times New Roman" w:hint="default"/>
        </w:rPr>
        <w:t>,</w:t>
      </w:r>
      <w:r>
        <w:rPr/>
        <w:t>对发生财务困难的债务人做出让步；</w:t>
      </w:r>
    </w:p>
    <w:p>
      <w:pPr>
        <w:spacing w:line="240" w:lineRule="auto" w:before="13"/>
        <w:rPr>
          <w:rFonts w:ascii="宋体" w:hAnsi="宋体" w:cs="宋体" w:eastAsia="宋体" w:hint="default"/>
          <w:sz w:val="13"/>
          <w:szCs w:val="13"/>
        </w:rPr>
      </w:pPr>
    </w:p>
    <w:p>
      <w:pPr>
        <w:pStyle w:val="BodyText"/>
        <w:spacing w:line="240" w:lineRule="auto"/>
        <w:ind w:left="512" w:right="986"/>
        <w:jc w:val="left"/>
      </w:pPr>
      <w:r>
        <w:rPr/>
        <w:t>④  债务人很可能倒闭或进行其他财务重组；</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⑤  因发行方发生重大财务困难</w:t>
      </w:r>
      <w:r>
        <w:rPr>
          <w:rFonts w:ascii="Times New Roman" w:hAnsi="Times New Roman" w:cs="Times New Roman" w:eastAsia="Times New Roman" w:hint="default"/>
        </w:rPr>
        <w:t>,</w:t>
      </w:r>
      <w:r>
        <w:rPr/>
        <w:t>该金融资产无法在活跃市场继续交易；</w:t>
      </w:r>
    </w:p>
    <w:p>
      <w:pPr>
        <w:spacing w:line="240" w:lineRule="auto" w:before="13"/>
        <w:rPr>
          <w:rFonts w:ascii="宋体" w:hAnsi="宋体" w:cs="宋体" w:eastAsia="宋体" w:hint="default"/>
          <w:sz w:val="13"/>
          <w:szCs w:val="13"/>
        </w:rPr>
      </w:pPr>
    </w:p>
    <w:p>
      <w:pPr>
        <w:pStyle w:val="BodyText"/>
        <w:spacing w:line="316" w:lineRule="auto"/>
        <w:ind w:left="872" w:right="1114" w:hanging="360"/>
        <w:jc w:val="left"/>
      </w:pPr>
      <w:r>
        <w:rPr/>
        <w:t>⑥</w:t>
      </w:r>
      <w:r>
        <w:rPr>
          <w:spacing w:val="10"/>
        </w:rPr>
        <w:t> </w:t>
      </w:r>
      <w:r>
        <w:rPr/>
        <w:t>权益工具发行方经营所处的技术、市场、经济或法律环境等发生重大不利变化，使权益工具投资人可能无法收回投</w:t>
      </w:r>
      <w:r>
        <w:rPr/>
        <w:t> 资成本；</w:t>
      </w:r>
    </w:p>
    <w:p>
      <w:pPr>
        <w:pStyle w:val="BodyText"/>
        <w:spacing w:line="432" w:lineRule="exact" w:before="3"/>
        <w:ind w:left="932" w:right="986" w:hanging="420"/>
        <w:jc w:val="left"/>
      </w:pPr>
      <w:r>
        <w:rPr/>
        <w:t>⑦ 权益工具投资的公允价值发生严重或非暂时性下跌。 认定其已发生减值，将原直接计入所有者权益的公允价值下降形成的累计损失一并转出，确认减值损失。对于已</w:t>
      </w:r>
    </w:p>
    <w:p>
      <w:pPr>
        <w:pStyle w:val="BodyText"/>
        <w:spacing w:line="316" w:lineRule="auto" w:before="15"/>
        <w:ind w:left="512" w:right="986"/>
        <w:jc w:val="left"/>
      </w:pPr>
      <w:r>
        <w:rPr>
          <w:spacing w:val="-2"/>
        </w:rPr>
        <w:t>确认减值损失的可供出售债务工具，在随后的会计期间公允价值已上升且客观上与确认原减值损失确认后发生的事项有</w:t>
      </w:r>
      <w:r>
        <w:rPr>
          <w:spacing w:val="-68"/>
        </w:rPr>
        <w:t> </w:t>
      </w:r>
      <w:r>
        <w:rPr>
          <w:spacing w:val="-68"/>
        </w:rPr>
      </w:r>
      <w:r>
        <w:rPr/>
        <w:t>关的，原确认的减值损失予以转回，计入当期损益。可供出售权益工具投资发生的减值损失，不得通过损益转回。</w:t>
      </w:r>
    </w:p>
    <w:p>
      <w:pPr>
        <w:pStyle w:val="BodyText"/>
        <w:spacing w:line="439" w:lineRule="auto" w:before="139"/>
        <w:ind w:left="572" w:right="4754" w:hanging="61"/>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after="0" w:line="439"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11、应收票据及应收账款" w:id="185"/>
      <w:bookmarkEnd w:id="18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986"/>
        <w:jc w:val="left"/>
        <w:rPr>
          <w:b w:val="0"/>
          <w:bCs w:val="0"/>
        </w:rPr>
      </w:pPr>
      <w:bookmarkStart w:name="1.单项金额重大并单独计提坏账准备的应收款项" w:id="186"/>
      <w:bookmarkEnd w:id="186"/>
      <w:r>
        <w:rPr>
          <w:b w:val="0"/>
          <w:bCs w:val="0"/>
        </w:rPr>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15"/>
                <w:sz w:val="18"/>
                <w:szCs w:val="18"/>
              </w:rPr>
              <w:t>、</w:t>
            </w:r>
            <w:r>
              <w:rPr>
                <w:rFonts w:ascii="宋体" w:hAnsi="宋体" w:cs="宋体" w:eastAsia="宋体" w:hint="default"/>
                <w:sz w:val="18"/>
                <w:szCs w:val="18"/>
              </w:rPr>
              <w:t>长期应收款</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元以</w:t>
            </w:r>
            <w:r>
              <w:rPr>
                <w:rFonts w:ascii="宋体" w:hAnsi="宋体" w:cs="宋体" w:eastAsia="宋体" w:hint="default"/>
                <w:spacing w:val="-15"/>
                <w:sz w:val="18"/>
                <w:szCs w:val="18"/>
              </w:rPr>
              <w:t>上</w:t>
            </w:r>
            <w:r>
              <w:rPr>
                <w:rFonts w:ascii="宋体" w:hAnsi="宋体" w:cs="宋体" w:eastAsia="宋体" w:hint="default"/>
                <w:sz w:val="18"/>
                <w:szCs w:val="18"/>
              </w:rPr>
              <w:t>（包括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其他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应收款</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宋体" w:hAnsi="宋体" w:cs="宋体" w:eastAsia="宋体" w:hint="default"/>
                <w:spacing w:val="-3"/>
                <w:sz w:val="18"/>
                <w:szCs w:val="18"/>
              </w:rPr>
              <w:t>包</w:t>
            </w:r>
            <w:r>
              <w:rPr>
                <w:rFonts w:ascii="宋体" w:hAnsi="宋体" w:cs="宋体" w:eastAsia="宋体" w:hint="default"/>
                <w:sz w:val="18"/>
                <w:szCs w:val="18"/>
              </w:rPr>
              <w:t>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33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7"/>
        <w:rPr>
          <w:rFonts w:ascii="宋体" w:hAnsi="宋体" w:cs="宋体" w:eastAsia="宋体" w:hint="default"/>
          <w:b/>
          <w:bCs/>
          <w:sz w:val="20"/>
          <w:szCs w:val="20"/>
        </w:rPr>
      </w:pPr>
    </w:p>
    <w:p>
      <w:pPr>
        <w:pStyle w:val="Heading5"/>
        <w:spacing w:line="240" w:lineRule="auto" w:before="44"/>
        <w:ind w:right="986"/>
        <w:jc w:val="left"/>
        <w:rPr>
          <w:b w:val="0"/>
          <w:bCs w:val="0"/>
        </w:rPr>
      </w:pPr>
      <w:bookmarkStart w:name="2.按信用风险特征组合计提坏账准备的应收款项" w:id="187"/>
      <w:bookmarkEnd w:id="187"/>
      <w:r>
        <w:rPr>
          <w:b w:val="0"/>
          <w:bCs w:val="0"/>
        </w:rPr>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86"/>
        <w:jc w:val="left"/>
      </w:pPr>
      <w:r>
        <w:rPr/>
        <w:t>组合中，采用账龄分析法计提坏账准备的：</w:t>
      </w:r>
    </w:p>
    <w:p>
      <w:pPr>
        <w:pStyle w:val="BodyText"/>
        <w:spacing w:line="240" w:lineRule="auto" w:before="11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86"/>
        <w:jc w:val="left"/>
      </w:pPr>
      <w:r>
        <w:rPr/>
        <w:t>组合中，采用余额百分比法计提坏账准备的：</w:t>
      </w:r>
    </w:p>
    <w:p>
      <w:pPr>
        <w:pStyle w:val="BodyText"/>
        <w:spacing w:line="340" w:lineRule="auto" w:before="115"/>
        <w:ind w:right="7514" w:firstLine="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819"/>
        <w:gridCol w:w="2837"/>
        <w:gridCol w:w="1913"/>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1339"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对于分期收款形成的长期应收款，考虑是否逾期。对于未逾 期部分，如果没有明确证据表明债务人财务状况恶化，则按 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的比例计提坏账准备；对于已逾期的部分，单独进行减 值测试。</w:t>
            </w:r>
          </w:p>
        </w:tc>
        <w:tc>
          <w:tcPr>
            <w:tcW w:w="2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3.单项金额不重大但单独计提坏账准备的应收款项" w:id="188"/>
      <w:bookmarkEnd w:id="188"/>
      <w:r>
        <w:rPr>
          <w:b w:val="0"/>
          <w:bCs w:val="0"/>
        </w:rPr>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674"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证据表明其发生了减值的应收款项，按账龄分析法计提的坏</w:t>
            </w:r>
          </w:p>
        </w:tc>
      </w:tr>
    </w:tbl>
    <w:p>
      <w:pPr>
        <w:spacing w:after="0" w:line="316" w:lineRule="auto"/>
        <w:jc w:val="left"/>
        <w:rPr>
          <w:rFonts w:ascii="宋体" w:hAnsi="宋体" w:cs="宋体" w:eastAsia="宋体" w:hint="default"/>
          <w:sz w:val="18"/>
          <w:szCs w:val="18"/>
        </w:rPr>
        <w:sectPr>
          <w:footerReference w:type="default" r:id="rId16"/>
          <w:pgSz w:w="11910" w:h="16840"/>
          <w:pgMar w:footer="977" w:header="748"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36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账准备不能反映实际情况，本公司单独进行减值测试。</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参照披露</w:t>
      </w:r>
    </w:p>
    <w:p>
      <w:pPr>
        <w:pStyle w:val="BodyText"/>
        <w:spacing w:line="240" w:lineRule="auto" w:before="25"/>
        <w:ind w:right="986"/>
        <w:jc w:val="left"/>
      </w:pPr>
      <w:r>
        <w:rPr/>
        <w:t>软件与信息技术服务业</w:t>
      </w:r>
    </w:p>
    <w:p>
      <w:pPr>
        <w:spacing w:line="439" w:lineRule="auto" w:before="117"/>
        <w:ind w:left="512" w:right="3554"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存货分类为：原材料、库存商品、在产品、委托加工物资、发出商品及低值易耗品等。 </w:t>
      </w:r>
      <w:r>
        <w:rPr>
          <w:rFonts w:ascii="宋体" w:hAnsi="宋体" w:cs="宋体" w:eastAsia="宋体"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spacing w:line="439" w:lineRule="auto" w:before="47"/>
        <w:ind w:left="512" w:right="3376" w:firstLine="0"/>
        <w:jc w:val="left"/>
        <w:rPr>
          <w:rFonts w:ascii="宋体" w:hAnsi="宋体" w:cs="宋体" w:eastAsia="宋体" w:hint="default"/>
          <w:sz w:val="18"/>
          <w:szCs w:val="18"/>
        </w:rPr>
      </w:pPr>
      <w:r>
        <w:rPr>
          <w:rFonts w:ascii="宋体" w:hAnsi="宋体" w:cs="宋体" w:eastAsia="宋体" w:hint="default"/>
          <w:sz w:val="18"/>
          <w:szCs w:val="18"/>
        </w:rPr>
        <w:t>存货发出时按个别认定法计价。 </w:t>
      </w:r>
      <w:r>
        <w:rPr>
          <w:rFonts w:ascii="宋体" w:hAnsi="宋体" w:cs="宋体" w:eastAsia="宋体"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w:t>
      </w:r>
    </w:p>
    <w:p>
      <w:pPr>
        <w:pStyle w:val="BodyText"/>
        <w:spacing w:line="316" w:lineRule="auto" w:before="47"/>
        <w:ind w:right="1130"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39"/>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39"/>
        <w:ind w:right="113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439" w:lineRule="auto" w:before="139"/>
        <w:ind w:left="512" w:right="7694"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宋体" w:hAnsi="宋体" w:cs="宋体" w:eastAsia="宋体" w:hint="default"/>
          <w:b/>
          <w:bCs/>
          <w:sz w:val="18"/>
          <w:szCs w:val="18"/>
        </w:rPr>
        <w:t>5.</w:t>
      </w:r>
      <w:r>
        <w:rPr>
          <w:rFonts w:ascii="宋体" w:hAnsi="宋体" w:cs="宋体" w:eastAsia="宋体" w:hint="default"/>
          <w:b/>
          <w:bCs/>
          <w:sz w:val="18"/>
          <w:szCs w:val="18"/>
        </w:rPr>
        <w:t>低值易耗品的摊销方法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低值易耗品采用一次转销法。</w:t>
      </w:r>
    </w:p>
    <w:p>
      <w:pPr>
        <w:spacing w:line="240" w:lineRule="auto" w:before="8"/>
        <w:rPr>
          <w:rFonts w:ascii="宋体" w:hAnsi="宋体" w:cs="宋体" w:eastAsia="宋体" w:hint="default"/>
          <w:sz w:val="15"/>
          <w:szCs w:val="15"/>
        </w:rPr>
      </w:pPr>
    </w:p>
    <w:p>
      <w:pPr>
        <w:pStyle w:val="Heading4"/>
        <w:spacing w:line="240" w:lineRule="auto"/>
        <w:ind w:right="986"/>
        <w:jc w:val="left"/>
        <w:rPr>
          <w:b w:val="0"/>
          <w:bCs w:val="0"/>
        </w:rPr>
      </w:pPr>
      <w:bookmarkStart w:name="13、 持有待售资产" w:id="190"/>
      <w:bookmarkEnd w:id="190"/>
      <w:r>
        <w:rPr>
          <w:b w:val="0"/>
          <w:bCs w:val="0"/>
        </w:rPr>
      </w:r>
      <w:r>
        <w:rPr>
          <w:rFonts w:ascii="Times New Roman" w:hAnsi="Times New Roman" w:cs="Times New Roman" w:eastAsia="Times New Roman" w:hint="default"/>
        </w:rPr>
        <w:t>13</w:t>
      </w:r>
      <w:r>
        <w:rPr/>
        <w:t>、</w:t>
      </w:r>
      <w:r>
        <w:rPr>
          <w:spacing w:val="-82"/>
        </w:rPr>
        <w:t> </w:t>
      </w:r>
      <w:r>
        <w:rPr/>
        <w:t>持有待售资产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持有待售的非流动资产或处置组的确认标准</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33" w:firstLine="360"/>
        <w:jc w:val="both"/>
        <w:rPr>
          <w:rFonts w:ascii="宋体" w:hAnsi="宋体" w:cs="宋体" w:eastAsia="宋体" w:hint="default"/>
        </w:rPr>
      </w:pPr>
      <w:r>
        <w:rPr>
          <w:spacing w:val="-2"/>
        </w:rPr>
        <w:t>公司主要通过出售（包括具有商业实质的非货币性资产交换，下同）而非持续使用一项非流动资产或处置组收回其账面</w:t>
      </w:r>
      <w:r>
        <w:rPr/>
        <w:t> 价值的，应当将其划分为持有待售类别。</w:t>
      </w:r>
      <w:r>
        <w:rPr>
          <w:rFonts w:ascii="宋体" w:hAnsi="宋体" w:cs="宋体" w:eastAsia="宋体" w:hint="default"/>
        </w:rPr>
        <w:t> </w:t>
      </w:r>
    </w:p>
    <w:p>
      <w:pPr>
        <w:pStyle w:val="BodyText"/>
        <w:spacing w:line="240" w:lineRule="auto" w:before="139"/>
        <w:ind w:left="512" w:right="986"/>
        <w:jc w:val="left"/>
        <w:rPr>
          <w:rFonts w:ascii="宋体" w:hAnsi="宋体" w:cs="宋体" w:eastAsia="宋体" w:hint="default"/>
        </w:rPr>
      </w:pPr>
      <w:r>
        <w:rPr/>
        <w:t>公司将同时满足下列条件的非流动资产或处置组划分为持有待售类别：</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332" w:right="986"/>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spacing w:after="0" w:line="240" w:lineRule="auto"/>
        <w:jc w:val="left"/>
        <w:sectPr>
          <w:footerReference w:type="default" r:id="rId17"/>
          <w:pgSz w:w="11910" w:h="16840"/>
          <w:pgMar w:footer="977" w:header="748"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00" w:lineRule="auto" w:before="44"/>
        <w:ind w:right="1124" w:firstLine="360"/>
        <w:jc w:val="left"/>
      </w:pPr>
      <w:r>
        <w:rPr/>
        <w:t>（</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 规定要求公司相关权力机构或者监管部门批准后方可出售的，已经获得批准。</w:t>
      </w:r>
    </w:p>
    <w:p>
      <w:pPr>
        <w:pStyle w:val="BodyText"/>
        <w:spacing w:line="316" w:lineRule="auto" w:before="151"/>
        <w:ind w:right="986" w:firstLine="360"/>
        <w:jc w:val="left"/>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spacing w:line="432" w:lineRule="exact" w:before="3"/>
        <w:ind w:left="572" w:right="986" w:hanging="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持有待售的非流动资产或处置组的会计处理方法</w:t>
      </w:r>
      <w:r>
        <w:rPr>
          <w:rFonts w:ascii="宋体" w:hAnsi="宋体" w:cs="宋体" w:eastAsia="宋体" w:hint="default"/>
          <w:b/>
          <w:bCs/>
          <w:w w:val="99"/>
          <w:sz w:val="18"/>
          <w:szCs w:val="18"/>
        </w:rPr>
        <w:t> </w:t>
      </w:r>
      <w:r>
        <w:rPr>
          <w:rFonts w:ascii="宋体" w:hAnsi="宋体" w:cs="宋体" w:eastAsia="宋体" w:hint="default"/>
          <w:sz w:val="18"/>
          <w:szCs w:val="18"/>
        </w:rPr>
        <w:t>公司初始计量或在资产负债表日重新计量持有待售的非流动资产或处置组时，其账面价值高于公允价值减去出售费用</w:t>
      </w:r>
    </w:p>
    <w:p>
      <w:pPr>
        <w:pStyle w:val="BodyText"/>
        <w:spacing w:line="316" w:lineRule="auto" w:before="15"/>
        <w:ind w:right="986"/>
        <w:jc w:val="left"/>
      </w:pPr>
      <w:r>
        <w:rPr>
          <w:spacing w:val="-2"/>
        </w:rPr>
        <w:t>后的净额的，将账面价值减记至公允价值减去出售费用后的净额，减记的金额确认为资产减值损失，计入当期损益，同时计</w:t>
      </w:r>
      <w:r>
        <w:rPr>
          <w:spacing w:val="-64"/>
        </w:rPr>
        <w:t> </w:t>
      </w:r>
      <w:r>
        <w:rPr>
          <w:spacing w:val="-64"/>
        </w:rPr>
      </w:r>
      <w:r>
        <w:rPr/>
        <w:t>提持有待售资产减值准备。</w:t>
      </w:r>
    </w:p>
    <w:p>
      <w:pPr>
        <w:pStyle w:val="BodyText"/>
        <w:spacing w:line="316" w:lineRule="auto" w:before="139"/>
        <w:ind w:right="1130" w:firstLine="360"/>
        <w:jc w:val="both"/>
      </w:pPr>
      <w:r>
        <w:rPr/>
        <w:t>（</w:t>
      </w:r>
      <w:r>
        <w:rPr>
          <w:rFonts w:ascii="宋体" w:hAnsi="宋体" w:cs="宋体" w:eastAsia="宋体" w:hint="default"/>
        </w:rPr>
        <w:t>1</w:t>
      </w:r>
      <w:r>
        <w:rPr/>
        <w:t>）对于持有待售的固定资产，应当调整该项固定资产的预计净残值，使该项固定资产的预计净残值能够反映其公允 </w:t>
      </w:r>
      <w:r>
        <w:rPr>
          <w:spacing w:val="-2"/>
        </w:rPr>
        <w:t>价值减去处置费用后的金额，但不得超过符合持有待售条件时该项固定资产的原账面价值，原账面价值高于调整后预计净残</w:t>
      </w:r>
      <w:r>
        <w:rPr>
          <w:spacing w:val="-64"/>
        </w:rPr>
        <w:t> </w:t>
      </w:r>
      <w:r>
        <w:rPr>
          <w:spacing w:val="-64"/>
        </w:rPr>
      </w:r>
      <w:r>
        <w:rPr>
          <w:spacing w:val="-2"/>
        </w:rPr>
        <w:t>值的差额，应作为资产减值损失计入当期损益。持有待售的固定资产不计提折旧，按照账面价值与公允价值减去处置费用后</w:t>
      </w:r>
      <w:r>
        <w:rPr>
          <w:spacing w:val="-63"/>
        </w:rPr>
        <w:t> </w:t>
      </w:r>
      <w:r>
        <w:rPr>
          <w:spacing w:val="-63"/>
        </w:rPr>
      </w:r>
      <w:r>
        <w:rPr/>
        <w:t>的净额孰低进行计量。</w:t>
      </w:r>
    </w:p>
    <w:p>
      <w:pPr>
        <w:pStyle w:val="BodyText"/>
        <w:spacing w:line="240" w:lineRule="auto" w:before="139"/>
        <w:ind w:left="512" w:right="986"/>
        <w:jc w:val="left"/>
      </w:pPr>
      <w:r>
        <w:rPr/>
        <w:t>（</w:t>
      </w:r>
      <w:r>
        <w:rPr>
          <w:rFonts w:ascii="宋体" w:hAnsi="宋体" w:cs="宋体" w:eastAsia="宋体" w:hint="default"/>
        </w:rPr>
        <w:t>2</w:t>
      </w:r>
      <w:r>
        <w:rPr/>
        <w:t>）对于持有待售的联营企业或合营企业的权益性投资，自划分至持有待售之日起，停止按权益法核算。</w:t>
      </w:r>
    </w:p>
    <w:p>
      <w:pPr>
        <w:spacing w:line="240" w:lineRule="auto" w:before="0"/>
        <w:rPr>
          <w:rFonts w:ascii="宋体" w:hAnsi="宋体" w:cs="宋体" w:eastAsia="宋体" w:hint="default"/>
          <w:sz w:val="15"/>
          <w:szCs w:val="15"/>
        </w:rPr>
      </w:pPr>
    </w:p>
    <w:p>
      <w:pPr>
        <w:pStyle w:val="BodyText"/>
        <w:spacing w:line="316" w:lineRule="auto"/>
        <w:ind w:left="244" w:right="986"/>
        <w:jc w:val="left"/>
      </w:pPr>
      <w:r>
        <w:rPr/>
        <w:t>对于出售的对子公司的投资将导致本公司丧失对子公司的控制权的，无论出售后本公司是否保留少数股东权益，本公司在 </w:t>
      </w:r>
      <w:r>
        <w:rPr>
          <w:spacing w:val="-2"/>
        </w:rPr>
        <w:t>拟出售的对子公司投资满足持有待售类别划分条件时，在母公司个别财务报表中将对子公司投资整体划分为持有待售类别，</w:t>
      </w:r>
      <w:r>
        <w:rPr>
          <w:spacing w:val="-64"/>
        </w:rPr>
        <w:t> </w:t>
      </w:r>
      <w:r>
        <w:rPr>
          <w:spacing w:val="-64"/>
        </w:rPr>
      </w:r>
      <w:r>
        <w:rPr/>
        <w:t>在合并财务报表中将子公司所有资产和负债划分为持有待售类别。</w:t>
      </w:r>
    </w:p>
    <w:p>
      <w:pPr>
        <w:pStyle w:val="Heading5"/>
        <w:spacing w:line="240" w:lineRule="auto" w:before="139"/>
        <w:ind w:right="986"/>
        <w:jc w:val="left"/>
        <w:rPr>
          <w:b w:val="0"/>
          <w:bCs w:val="0"/>
        </w:rPr>
      </w:pPr>
      <w:r>
        <w:rPr>
          <w:rFonts w:ascii="宋体" w:hAnsi="宋体" w:cs="宋体" w:eastAsia="宋体" w:hint="default"/>
        </w:rPr>
        <w:t>3.</w:t>
      </w:r>
      <w:r>
        <w:rPr/>
        <w:t>不再满足持有待售确认条件时的会计处理</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124" w:firstLine="360"/>
        <w:jc w:val="left"/>
      </w:pPr>
      <w:r>
        <w:rPr/>
        <w:t>（</w:t>
      </w:r>
      <w:r>
        <w:rPr>
          <w:rFonts w:ascii="宋体" w:hAnsi="宋体" w:cs="宋体" w:eastAsia="宋体" w:hint="default"/>
        </w:rPr>
        <w:t>1</w:t>
      </w:r>
      <w:r>
        <w:rPr/>
        <w:t>）某项资产或处置组被划归为持有待售，但后来不再满足持有待售固定资产确认条件的，本公司停止将其划归为持 有待售，并按照下列两项金额中较低者计量：</w:t>
      </w:r>
    </w:p>
    <w:p>
      <w:pPr>
        <w:pStyle w:val="BodyText"/>
        <w:spacing w:line="316" w:lineRule="auto" w:before="139"/>
        <w:ind w:right="1034" w:firstLine="360"/>
        <w:jc w:val="left"/>
      </w:pPr>
      <w:r>
        <w:rPr/>
        <w:t>①该资产或处置组被划归为持有待售之前的账面价值，按照其假定在没有被划归为持有待售的情况下原应确认的折旧、 摊销或减值进行调整后的金额；</w:t>
      </w:r>
    </w:p>
    <w:p>
      <w:pPr>
        <w:pStyle w:val="BodyText"/>
        <w:spacing w:line="240" w:lineRule="auto" w:before="139"/>
        <w:ind w:left="512" w:right="986"/>
        <w:jc w:val="left"/>
      </w:pPr>
      <w:r>
        <w:rPr/>
        <w:t>②决定不再出售之日的再收回金额。</w:t>
      </w:r>
    </w:p>
    <w:p>
      <w:pPr>
        <w:spacing w:line="240" w:lineRule="auto" w:before="0"/>
        <w:rPr>
          <w:rFonts w:ascii="宋体" w:hAnsi="宋体" w:cs="宋体" w:eastAsia="宋体" w:hint="default"/>
          <w:sz w:val="15"/>
          <w:szCs w:val="15"/>
        </w:rPr>
      </w:pPr>
    </w:p>
    <w:p>
      <w:pPr>
        <w:pStyle w:val="BodyText"/>
        <w:spacing w:line="316" w:lineRule="auto"/>
        <w:ind w:right="1124" w:firstLine="360"/>
        <w:jc w:val="left"/>
      </w:pPr>
      <w:r>
        <w:rPr/>
        <w:t>（</w:t>
      </w:r>
      <w:r>
        <w:rPr>
          <w:rFonts w:ascii="宋体" w:hAnsi="宋体" w:cs="宋体" w:eastAsia="宋体" w:hint="default"/>
        </w:rPr>
        <w:t>2</w:t>
      </w:r>
      <w:r>
        <w:rPr/>
        <w:t>）已划分为持有待售的对联营企业或合营企业的权益性投资，不再符合持有待售资产分类条件的，本公司从其被分 类为持有待售资产之日起采用权益法进行追溯调整。</w:t>
      </w:r>
    </w:p>
    <w:p>
      <w:pPr>
        <w:spacing w:line="432" w:lineRule="exact" w:before="3"/>
        <w:ind w:left="572" w:right="986" w:hanging="6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其他持有待售非流动资产的会计处理</w:t>
      </w:r>
      <w:r>
        <w:rPr>
          <w:rFonts w:ascii="宋体" w:hAnsi="宋体" w:cs="宋体" w:eastAsia="宋体" w:hint="default"/>
          <w:b/>
          <w:bCs/>
          <w:w w:val="99"/>
          <w:sz w:val="18"/>
          <w:szCs w:val="18"/>
        </w:rPr>
        <w:t> </w:t>
      </w:r>
      <w:r>
        <w:rPr>
          <w:rFonts w:ascii="宋体" w:hAnsi="宋体" w:cs="宋体" w:eastAsia="宋体" w:hint="default"/>
          <w:sz w:val="18"/>
          <w:szCs w:val="18"/>
        </w:rPr>
        <w:t>符合持有待售条件的无形资产等其他非流动资产，比照上述原则处理，此处所指其他非流动资产不包括递延所得税资</w:t>
      </w:r>
    </w:p>
    <w:p>
      <w:pPr>
        <w:pStyle w:val="BodyText"/>
        <w:spacing w:line="300" w:lineRule="auto" w:before="15"/>
        <w:ind w:right="986"/>
        <w:jc w:val="left"/>
      </w:pPr>
      <w:r>
        <w:rPr>
          <w:spacing w:val="-2"/>
        </w:rPr>
        <w:t>产、职工薪酬形成的资产、《企业会计准则第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w:t>
      </w:r>
      <w:r>
        <w:rPr>
          <w:spacing w:val="-64"/>
        </w:rPr>
        <w:t> </w:t>
      </w:r>
      <w:r>
        <w:rPr>
          <w:spacing w:val="-64"/>
        </w:rPr>
      </w:r>
      <w:r>
        <w:rPr/>
        <w:t>地产和生物资产、保险合同中产生的合同权利。</w:t>
      </w:r>
    </w:p>
    <w:p>
      <w:pPr>
        <w:spacing w:line="240" w:lineRule="auto" w:before="8"/>
        <w:rPr>
          <w:rFonts w:ascii="宋体" w:hAnsi="宋体" w:cs="宋体" w:eastAsia="宋体" w:hint="default"/>
          <w:sz w:val="23"/>
          <w:szCs w:val="23"/>
        </w:rPr>
      </w:pPr>
    </w:p>
    <w:p>
      <w:pPr>
        <w:pStyle w:val="Heading4"/>
        <w:spacing w:line="240" w:lineRule="auto"/>
        <w:ind w:right="986"/>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长期股权投资的分类及其判断依据</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2"/>
        <w:ind w:left="512" w:right="986"/>
        <w:jc w:val="left"/>
      </w:pPr>
      <w:r>
        <w:rPr/>
        <w:t>（</w:t>
      </w:r>
      <w:r>
        <w:rPr>
          <w:rFonts w:ascii="宋体" w:hAnsi="宋体" w:cs="宋体" w:eastAsia="宋体" w:hint="default"/>
        </w:rPr>
        <w:t>1</w:t>
      </w:r>
      <w:r>
        <w:rPr/>
        <w:t>）长期股权投资的分类</w:t>
      </w:r>
      <w:r>
        <w:rPr>
          <w:rFonts w:ascii="宋体" w:hAnsi="宋体" w:cs="宋体" w:eastAsia="宋体" w:hint="default"/>
        </w:rPr>
        <w:t> </w:t>
      </w:r>
      <w:r>
        <w:rPr>
          <w:spacing w:val="-2"/>
        </w:rPr>
        <w:t>长期股权投资分为三类，即是指投资方对被投资单位实施控制、重大影响的权益性投资，以及对其合营企业的权益性投</w:t>
      </w:r>
    </w:p>
    <w:p>
      <w:pPr>
        <w:pStyle w:val="BodyText"/>
        <w:spacing w:line="240" w:lineRule="auto" w:before="76"/>
        <w:ind w:right="986"/>
        <w:jc w:val="left"/>
        <w:rPr>
          <w:rFonts w:ascii="宋体" w:hAnsi="宋体" w:cs="宋体" w:eastAsia="宋体" w:hint="default"/>
        </w:rPr>
      </w:pPr>
      <w:r>
        <w:rPr/>
        <w:t>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2" w:right="986"/>
        <w:jc w:val="left"/>
        <w:rPr>
          <w:rFonts w:ascii="宋体" w:hAnsi="宋体" w:cs="宋体" w:eastAsia="宋体" w:hint="default"/>
        </w:rPr>
      </w:pPr>
      <w:r>
        <w:rPr/>
        <w:t>（</w:t>
      </w:r>
      <w:r>
        <w:rPr>
          <w:rFonts w:ascii="宋体" w:hAnsi="宋体" w:cs="宋体" w:eastAsia="宋体" w:hint="default"/>
        </w:rPr>
        <w:t>2</w:t>
      </w:r>
      <w:r>
        <w:rPr/>
        <w:t>）长期股权投资类别的判断依据</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240" w:lineRule="auto"/>
        <w:ind w:left="512" w:right="986"/>
        <w:jc w:val="left"/>
        <w:rPr>
          <w:rFonts w:ascii="宋体" w:hAnsi="宋体" w:cs="宋体" w:eastAsia="宋体" w:hint="default"/>
        </w:rPr>
      </w:pPr>
      <w:r>
        <w:rPr/>
        <w:t>①确定对被投资单位控制的依据详见本附注四、（六）；</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②确定对被投资单位具有重大影响的依据：</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3" w:firstLine="360"/>
        <w:jc w:val="both"/>
      </w:pPr>
      <w:r>
        <w:rPr>
          <w:spacing w:val="-2"/>
        </w:rPr>
        <w:t>重大影响，是指对一个企业的财务和经营决策有参与决策的权力，但并不能够控制或者与其他方一起共同控制这些政策</w:t>
      </w:r>
      <w:r>
        <w:rPr/>
        <w:t> 的制定。</w:t>
      </w:r>
    </w:p>
    <w:p>
      <w:pPr>
        <w:pStyle w:val="BodyText"/>
        <w:spacing w:line="432" w:lineRule="exact" w:before="3"/>
        <w:ind w:left="512" w:right="986"/>
        <w:jc w:val="left"/>
      </w:pPr>
      <w:r>
        <w:rPr/>
        <w:t>公司通常通过以下一种或几种情形判断是否对被投资单位具有重大影响： </w:t>
      </w:r>
      <w:r>
        <w:rPr>
          <w:spacing w:val="-2"/>
        </w:rPr>
        <w:t>在被投资单位的董事会或类似权力机构中派有代表。在这种情况下，由于在被投资单位的董事会或类似权力机构中派有</w:t>
      </w:r>
    </w:p>
    <w:p>
      <w:pPr>
        <w:pStyle w:val="BodyText"/>
        <w:spacing w:line="316" w:lineRule="auto" w:before="15"/>
        <w:ind w:right="986"/>
        <w:jc w:val="left"/>
      </w:pPr>
      <w:r>
        <w:rPr>
          <w:spacing w:val="-2"/>
        </w:rPr>
        <w:t>代表，并相应享有实质性的参与决策权，投资方可以通过该代表参与被投资单位财务和经营政策的制定，达到对被投资单位</w:t>
      </w:r>
      <w:r>
        <w:rPr>
          <w:spacing w:val="-63"/>
        </w:rPr>
        <w:t> </w:t>
      </w:r>
      <w:r>
        <w:rPr>
          <w:spacing w:val="-63"/>
        </w:rPr>
      </w:r>
      <w:r>
        <w:rPr/>
        <w:t>施加重大影响。</w:t>
      </w:r>
    </w:p>
    <w:p>
      <w:pPr>
        <w:pStyle w:val="BodyText"/>
        <w:spacing w:line="316" w:lineRule="auto" w:before="139"/>
        <w:ind w:right="1133" w:firstLine="360"/>
        <w:jc w:val="both"/>
      </w:pPr>
      <w:r>
        <w:rPr>
          <w:spacing w:val="-2"/>
        </w:rPr>
        <w:t>参与被投资单位财务和经营政策制定过程。这种情况下，在制定政策过程中可以为其自身利益提出建议和意见，从而可</w:t>
      </w:r>
      <w:r>
        <w:rPr/>
        <w:t> 以对被投资单位施加重大影响。</w:t>
      </w:r>
    </w:p>
    <w:p>
      <w:pPr>
        <w:pStyle w:val="BodyText"/>
        <w:spacing w:line="316" w:lineRule="auto" w:before="139"/>
        <w:ind w:right="1133" w:firstLine="360"/>
        <w:jc w:val="both"/>
      </w:pPr>
      <w:r>
        <w:rPr>
          <w:spacing w:val="-2"/>
        </w:rPr>
        <w:t>与被投资单位之间发生重要交易。有关的交易因对被投资单位的日常经营具有重要性，进而一定程度上可以影响到被投</w:t>
      </w:r>
      <w:r>
        <w:rPr/>
        <w:t> 资单位的生产经营决策。</w:t>
      </w:r>
    </w:p>
    <w:p>
      <w:pPr>
        <w:pStyle w:val="BodyText"/>
        <w:spacing w:line="316" w:lineRule="auto" w:before="139"/>
        <w:ind w:right="1130" w:firstLine="360"/>
        <w:jc w:val="both"/>
      </w:pPr>
      <w:r>
        <w:rPr>
          <w:spacing w:val="-2"/>
        </w:rPr>
        <w:t>向被投资单位派出管理人员。在这种情况下，管理人员有权力主导被投资单位的相关活动，从而能够对被投资单位施加</w:t>
      </w:r>
      <w:r>
        <w:rPr/>
        <w:t> 重大影响。</w:t>
      </w:r>
    </w:p>
    <w:p>
      <w:pPr>
        <w:pStyle w:val="BodyText"/>
        <w:spacing w:line="316" w:lineRule="auto" w:before="139"/>
        <w:ind w:right="1133" w:firstLine="360"/>
        <w:jc w:val="both"/>
      </w:pPr>
      <w:r>
        <w:rPr>
          <w:spacing w:val="-2"/>
        </w:rPr>
        <w:t>向被投资单位提供关键技术资料。因被投资单位的生产经营需要依赖投资方的技术或技术资料，表明投资方对被投资单</w:t>
      </w:r>
      <w:r>
        <w:rPr/>
        <w:t> 位具有重大影响。</w:t>
      </w:r>
    </w:p>
    <w:p>
      <w:pPr>
        <w:pStyle w:val="BodyText"/>
        <w:spacing w:line="316" w:lineRule="auto" w:before="139"/>
        <w:ind w:right="1171" w:firstLine="419"/>
        <w:jc w:val="both"/>
      </w:pPr>
      <w:r>
        <w:rPr/>
        <w:t>公司在判断是否对被投资方具有重大影响时，不限于是否存在上述一种或多种情形，还需要综合考虑所有事实和情况 来做出综合的判断。</w:t>
      </w:r>
    </w:p>
    <w:p>
      <w:pPr>
        <w:pStyle w:val="BodyText"/>
        <w:spacing w:line="240" w:lineRule="auto" w:before="139"/>
        <w:ind w:left="572" w:right="986"/>
        <w:jc w:val="left"/>
      </w:pPr>
      <w:r>
        <w:rPr/>
        <w:t>投资方对被投资单位具有重大影响的权益性投资，即对联营企业投资。</w:t>
      </w:r>
    </w:p>
    <w:p>
      <w:pPr>
        <w:spacing w:line="240" w:lineRule="auto" w:before="0"/>
        <w:rPr>
          <w:rFonts w:ascii="宋体" w:hAnsi="宋体" w:cs="宋体" w:eastAsia="宋体" w:hint="default"/>
          <w:sz w:val="15"/>
          <w:szCs w:val="15"/>
        </w:rPr>
      </w:pPr>
    </w:p>
    <w:p>
      <w:pPr>
        <w:pStyle w:val="BodyText"/>
        <w:spacing w:line="439" w:lineRule="auto"/>
        <w:ind w:left="512" w:right="2654" w:firstLine="59"/>
        <w:jc w:val="left"/>
        <w:rPr>
          <w:rFonts w:ascii="宋体" w:hAnsi="宋体" w:cs="宋体" w:eastAsia="宋体" w:hint="default"/>
        </w:rPr>
      </w:pPr>
      <w:r>
        <w:rPr/>
        <w:t>③确定被投资单位是否为合营企业的依据： 本公司的合营企业是指本公司仅对合营安排的净资产享有权利。 合营安排的定义、分类以及共同控制的判断标准详见本附注四、（七）。 </w:t>
      </w:r>
      <w:r>
        <w:rPr>
          <w:rFonts w:ascii="宋体" w:hAnsi="宋体" w:cs="宋体" w:eastAsia="宋体" w:hint="default"/>
          <w:b/>
          <w:bCs/>
        </w:rPr>
        <w:t>2.</w:t>
      </w:r>
      <w:r>
        <w:rPr>
          <w:rFonts w:ascii="宋体" w:hAnsi="宋体" w:cs="宋体" w:eastAsia="宋体" w:hint="default"/>
          <w:b/>
          <w:bCs/>
        </w:rPr>
        <w:t>长期股权投资初始成本的确定</w:t>
      </w:r>
      <w:r>
        <w:rPr>
          <w:rFonts w:ascii="宋体" w:hAnsi="宋体" w:cs="宋体" w:eastAsia="宋体" w:hint="default"/>
          <w:b/>
          <w:bCs/>
          <w:w w:val="99"/>
        </w:rPr>
        <w:t> </w:t>
      </w:r>
      <w:r>
        <w:rPr>
          <w:rFonts w:ascii="宋体" w:hAnsi="宋体" w:cs="宋体" w:eastAsia="宋体" w:hint="default"/>
        </w:rPr>
      </w:r>
    </w:p>
    <w:p>
      <w:pPr>
        <w:pStyle w:val="BodyText"/>
        <w:spacing w:line="240" w:lineRule="auto" w:before="47"/>
        <w:ind w:left="512" w:right="986"/>
        <w:jc w:val="left"/>
      </w:pPr>
      <w:r>
        <w:rPr/>
        <w:t>（</w:t>
      </w:r>
      <w:r>
        <w:rPr>
          <w:rFonts w:ascii="宋体" w:hAnsi="宋体" w:cs="宋体" w:eastAsia="宋体" w:hint="default"/>
        </w:rPr>
        <w:t>1</w:t>
      </w:r>
      <w:r>
        <w:rPr/>
        <w:t>）企业合并形成的长期股权投资</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同一控制下的企业合并：公司以支付现金、转让非现金资产或承担债务方式以及以发行权益性证券作为合并对价的，在</w:t>
      </w:r>
      <w:r>
        <w:rPr/>
        <w:t> </w:t>
      </w:r>
      <w:r>
        <w:rPr>
          <w:spacing w:val="-2"/>
        </w:rPr>
        <w:t>合并日按照取得被合并方所有者权益在最终控制方合并财务报表中的账面价值的份额作为长期股权投资的初始投资成本。长</w:t>
      </w:r>
      <w:r>
        <w:rPr>
          <w:spacing w:val="-64"/>
        </w:rPr>
        <w:t> </w:t>
      </w:r>
      <w:r>
        <w:rPr>
          <w:spacing w:val="-64"/>
        </w:rPr>
      </w:r>
      <w:r>
        <w:rPr>
          <w:spacing w:val="-2"/>
        </w:rPr>
        <w:t>期股权投资初始投资成本与支付合并对价之间的差额，调整资本公积（资本溢价或股本溢价）；资本公积（资本溢价或股本</w:t>
      </w:r>
      <w:r>
        <w:rPr>
          <w:spacing w:val="-65"/>
        </w:rPr>
        <w:t> </w:t>
      </w:r>
      <w:r>
        <w:rPr>
          <w:spacing w:val="-65"/>
        </w:rPr>
      </w:r>
      <w:r>
        <w:rPr>
          <w:spacing w:val="-2"/>
        </w:rPr>
        <w:t>溢价）不足冲减的，调整留存收益。合并方以发行权益性证券作为合并对价的，按照发行股份的面值总额作为股本，长期股</w:t>
      </w:r>
      <w:r>
        <w:rPr>
          <w:spacing w:val="-67"/>
        </w:rPr>
        <w:t> </w:t>
      </w:r>
      <w:r>
        <w:rPr>
          <w:spacing w:val="-67"/>
        </w:rPr>
      </w:r>
      <w:r>
        <w:rPr>
          <w:spacing w:val="-2"/>
        </w:rPr>
        <w:t>权投资初始投资成本与所发行股份面值总额之间的差额，调整资本公（资本溢价或股本溢价）；资本公积（资本溢价或股本</w:t>
      </w:r>
      <w:r>
        <w:rPr>
          <w:spacing w:val="-65"/>
        </w:rPr>
        <w:t> </w:t>
      </w:r>
      <w:r>
        <w:rPr>
          <w:spacing w:val="-65"/>
        </w:rPr>
      </w:r>
      <w:r>
        <w:rPr/>
        <w:t>溢价）不足冲减的，调整留存收益。</w:t>
      </w:r>
    </w:p>
    <w:p>
      <w:pPr>
        <w:pStyle w:val="BodyText"/>
        <w:spacing w:line="316" w:lineRule="auto" w:before="139"/>
        <w:ind w:right="1051"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方为取得对被购买方的控制权而付出的资产、发生或承担的负债以及发行的权益性证券的公允价值。购买方作为合并对价发</w:t>
      </w:r>
      <w:r>
        <w:rPr>
          <w:spacing w:val="-64"/>
        </w:rPr>
        <w:t> </w:t>
      </w:r>
      <w:r>
        <w:rPr>
          <w:spacing w:val="-64"/>
        </w:rPr>
      </w:r>
      <w:r>
        <w:rPr>
          <w:spacing w:val="-2"/>
        </w:rPr>
        <w:t>行的权益性证券或债务性证券的交易费用，计入权益性证券或债务性证券的初始确认金额。通过多次交易分步实现的非同一</w:t>
      </w:r>
      <w:r>
        <w:rPr>
          <w:spacing w:val="-64"/>
        </w:rPr>
        <w:t> </w:t>
      </w:r>
      <w:r>
        <w:rPr>
          <w:spacing w:val="-64"/>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316" w:lineRule="auto" w:before="139"/>
        <w:ind w:right="1133" w:firstLine="360"/>
        <w:jc w:val="both"/>
      </w:pPr>
      <w:r>
        <w:rPr>
          <w:spacing w:val="-2"/>
        </w:rPr>
        <w:t>合并方或购买方为企业合并而发生的审计、法律服务、评估咨询等中介费用以及其他相关管理费用于发生时计入当期损</w:t>
      </w:r>
      <w:r>
        <w:rPr/>
        <w:t> 益。</w:t>
      </w:r>
    </w:p>
    <w:p>
      <w:pPr>
        <w:pStyle w:val="BodyText"/>
        <w:spacing w:line="439" w:lineRule="auto" w:before="139"/>
        <w:ind w:left="572" w:right="986"/>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以支付现金方式取得的长期股权投资，按照实际支付的购买价款作为初始投资成本。初始投资成本包括与取得长期股</w:t>
      </w:r>
    </w:p>
    <w:p>
      <w:pPr>
        <w:spacing w:after="0" w:line="439"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439" w:lineRule="auto" w:before="44"/>
        <w:ind w:left="572" w:right="986" w:hanging="420"/>
        <w:jc w:val="left"/>
      </w:pPr>
      <w:r>
        <w:rPr/>
        <w:t>权投资直接相关的费用、税金及其他必要支出。 以发行权益性证券取得的长期股权投资，按照发行权益性证券的公允价值作为初始投资成本。</w:t>
      </w:r>
    </w:p>
    <w:p>
      <w:pPr>
        <w:pStyle w:val="BodyText"/>
        <w:spacing w:line="316" w:lineRule="auto" w:before="47"/>
        <w:ind w:right="1133" w:firstLine="419"/>
        <w:jc w:val="both"/>
      </w:pPr>
      <w:r>
        <w:rPr/>
        <w:t>在非货币性资产交换具备商业实质和换入资产或换出资产的公允价值能够可靠计量的前提下，非货币性资产交换换入 </w:t>
      </w: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spacing w:line="439" w:lineRule="auto" w:before="139"/>
        <w:ind w:left="512" w:right="4035" w:firstLine="59"/>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 </w:t>
      </w:r>
      <w:r>
        <w:rPr>
          <w:rFonts w:ascii="宋体" w:hAnsi="宋体" w:cs="宋体" w:eastAsia="宋体" w:hint="default"/>
          <w:b/>
          <w:bCs/>
          <w:sz w:val="18"/>
          <w:szCs w:val="18"/>
        </w:rPr>
        <w:t>3.</w:t>
      </w:r>
      <w:r>
        <w:rPr>
          <w:rFonts w:ascii="宋体" w:hAnsi="宋体" w:cs="宋体" w:eastAsia="宋体" w:hint="default"/>
          <w:b/>
          <w:bCs/>
          <w:sz w:val="18"/>
          <w:szCs w:val="18"/>
        </w:rPr>
        <w:t>长期股权投资的后续计量及损益确认方法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本公司能够对被投资单位实施控制的长期股权投资采用成本法核算。</w:t>
      </w:r>
    </w:p>
    <w:p>
      <w:pPr>
        <w:pStyle w:val="BodyText"/>
        <w:spacing w:line="316" w:lineRule="auto" w:before="47"/>
        <w:ind w:right="1135" w:firstLine="419"/>
        <w:jc w:val="both"/>
      </w:pPr>
      <w:r>
        <w:rPr/>
        <w:t>采用成本法核算的长期股权投资按照初始投资成本计价。追加或收回投资调整长期股权投资的成本。被投资单位宣告 分派的现金股利或利润，确认为当期投资收益。</w:t>
      </w:r>
    </w:p>
    <w:p>
      <w:pPr>
        <w:pStyle w:val="BodyText"/>
        <w:spacing w:line="316" w:lineRule="auto" w:before="139"/>
        <w:ind w:right="1133" w:firstLine="419"/>
        <w:jc w:val="both"/>
      </w:pPr>
      <w:r>
        <w:rPr/>
        <w:t>对合营企业和联营企业的长期股权投资，采用权益法核算。初始投资成本大于投资时应享有被投资单位可辨认净资产 </w:t>
      </w:r>
      <w:r>
        <w:rPr>
          <w:spacing w:val="-2"/>
        </w:rPr>
        <w:t>公允价值份额的差额，不调整长期股权投资的初始投资成本；初始投资成本小于投资时应享有被投资单位可辨认净资产公允</w:t>
      </w:r>
      <w:r>
        <w:rPr>
          <w:spacing w:val="-64"/>
        </w:rPr>
        <w:t> </w:t>
      </w:r>
      <w:r>
        <w:rPr>
          <w:spacing w:val="-64"/>
        </w:rPr>
      </w:r>
      <w:r>
        <w:rPr/>
        <w:t>价值份额的差额，计入当期损益，同时调整长期股权投资的成本。</w:t>
      </w:r>
    </w:p>
    <w:p>
      <w:pPr>
        <w:pStyle w:val="BodyText"/>
        <w:spacing w:line="316" w:lineRule="auto" w:before="139"/>
        <w:ind w:right="1130" w:firstLine="419"/>
        <w:jc w:val="both"/>
      </w:pPr>
      <w:r>
        <w:rPr/>
        <w:t>本公司取得长期股权投资后，按照应享有或应分担的被投资单位实现的净损益和其他综合收益的份额，分别确认投资 </w:t>
      </w:r>
      <w:r>
        <w:rPr>
          <w:spacing w:val="-2"/>
        </w:rPr>
        <w:t>收益和其他综合收益，同时调整长期股权投资的账面价值；本公司按照被投资单位宣告分派的利润或现金股利计算应享有的</w:t>
      </w:r>
      <w:r>
        <w:rPr>
          <w:spacing w:val="-64"/>
        </w:rPr>
        <w:t> </w:t>
      </w:r>
      <w:r>
        <w:rPr>
          <w:spacing w:val="-64"/>
        </w:rPr>
      </w:r>
      <w:r>
        <w:rPr/>
        <w:t>部分，相应减少长期股权投资的账面价值；</w:t>
      </w:r>
      <w:r>
        <w:rPr>
          <w:spacing w:val="9"/>
        </w:rPr>
        <w:t> </w:t>
      </w:r>
      <w:r>
        <w:rPr/>
        <w:t>本公司对于被投资单位除净损益、其他综合收益和利润分配以外所有者权益</w:t>
      </w:r>
      <w:r>
        <w:rPr/>
        <w:t> 的其他变动，调整长期股权投资的账面价值并计入所有者权益。</w:t>
      </w:r>
    </w:p>
    <w:p>
      <w:pPr>
        <w:pStyle w:val="BodyText"/>
        <w:spacing w:line="316" w:lineRule="auto" w:before="139"/>
        <w:ind w:right="1135" w:firstLine="419"/>
        <w:jc w:val="both"/>
      </w:pPr>
      <w:r>
        <w:rPr/>
        <w:t>本公司在确认应享有被投资单位净损益的份额时，以取得投资时被投资单位可辨认净资产的公允价值为基础，对被投 资单位的净利润进行调整后确认。</w:t>
      </w:r>
    </w:p>
    <w:p>
      <w:pPr>
        <w:pStyle w:val="BodyText"/>
        <w:spacing w:line="316" w:lineRule="auto" w:before="139"/>
        <w:ind w:right="1135" w:firstLine="419"/>
        <w:jc w:val="both"/>
      </w:pPr>
      <w:r>
        <w:rPr/>
        <w:t>被投资单位采用的会计政策及会计期间与本公司不一致的，按照本公司的会计政策及会计期间对被投资单位的财务报 表进行调整，并据以确认投资收益和其他综合收益等。</w:t>
      </w:r>
    </w:p>
    <w:p>
      <w:pPr>
        <w:pStyle w:val="BodyText"/>
        <w:spacing w:line="316" w:lineRule="auto" w:before="139"/>
        <w:ind w:right="1135" w:firstLine="419"/>
        <w:jc w:val="both"/>
      </w:pPr>
      <w:r>
        <w:rPr/>
        <w:t>本公司确认被投资单位发生的净亏损，以长期股权投资的账面价值以及其他实质上构成对被投资单位净投资的长期权 益减记至零为限，本公司负有承担额外损失义务的除外。</w:t>
      </w:r>
    </w:p>
    <w:p>
      <w:pPr>
        <w:pStyle w:val="BodyText"/>
        <w:spacing w:line="432" w:lineRule="exact" w:before="3"/>
        <w:ind w:left="572" w:right="986"/>
        <w:jc w:val="left"/>
      </w:pPr>
      <w:r>
        <w:rPr/>
        <w:t>被投资单位以后实现净利润的，本公司在其收益分享额弥补未确认的亏损分担额后，恢复确认收益分享额。 本公司计算确认应享有或应分担被投资单位的净损益时，与联营企业、合营企业之间发生的未实现内部交易损益按照</w:t>
      </w:r>
    </w:p>
    <w:p>
      <w:pPr>
        <w:pStyle w:val="BodyText"/>
        <w:spacing w:line="240" w:lineRule="auto" w:before="15"/>
        <w:ind w:right="986"/>
        <w:jc w:val="left"/>
      </w:pPr>
      <w:r>
        <w:rPr/>
        <w:t>应享有的比例计算归属于本公司的部分，予以抵销，在此基础上确认投资收益。</w:t>
      </w:r>
    </w:p>
    <w:p>
      <w:pPr>
        <w:spacing w:line="240" w:lineRule="auto" w:before="0"/>
        <w:rPr>
          <w:rFonts w:ascii="宋体" w:hAnsi="宋体" w:cs="宋体" w:eastAsia="宋体" w:hint="default"/>
          <w:sz w:val="15"/>
          <w:szCs w:val="15"/>
        </w:rPr>
      </w:pPr>
    </w:p>
    <w:p>
      <w:pPr>
        <w:pStyle w:val="BodyText"/>
        <w:spacing w:line="300" w:lineRule="auto"/>
        <w:ind w:right="1130" w:firstLine="419"/>
        <w:jc w:val="both"/>
      </w:pPr>
      <w:r>
        <w:rPr>
          <w:spacing w:val="-1"/>
        </w:rPr>
        <w:t>本公司与被投资单位发生的未实现内部交易损失，按照《企业会计准则第</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w:t>
      </w:r>
      <w:r>
        <w:rPr>
          <w:spacing w:val="-1"/>
        </w:rPr>
        <w:t>资产减值》等的有关规定属于资产减</w:t>
      </w:r>
      <w:r>
        <w:rPr/>
        <w:t> 值损失的，全额确认交易损失。</w:t>
      </w:r>
    </w:p>
    <w:p>
      <w:pPr>
        <w:pStyle w:val="BodyText"/>
        <w:spacing w:line="307" w:lineRule="auto" w:before="151"/>
        <w:ind w:right="1130" w:firstLine="419"/>
        <w:jc w:val="both"/>
      </w:pPr>
      <w:r>
        <w:rPr/>
        <w:t>本公司因追加投资等原因能够对被投资单位施加重大影响或实施共同控制但不构成控制的，按照《企业会计准则第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3"/>
        </w:rPr>
        <w:t> </w:t>
      </w:r>
      <w:r>
        <w:rPr>
          <w:spacing w:val="-63"/>
        </w:rPr>
      </w:r>
      <w:r>
        <w:rPr/>
        <w:t>公允价值变动转入改按权益法核算的当期损益。</w:t>
      </w:r>
    </w:p>
    <w:p>
      <w:pPr>
        <w:pStyle w:val="BodyText"/>
        <w:spacing w:line="312" w:lineRule="auto" w:before="146"/>
        <w:ind w:right="1133" w:firstLine="419"/>
        <w:jc w:val="both"/>
      </w:pPr>
      <w:r>
        <w:rPr/>
        <w:t>本公司因处置部分股权投资等原因丧失了对被投资单位的共同控制或重大影响的，处置后的剩余股权改按《企业会计 </w:t>
      </w: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w:t>
      </w:r>
      <w:r>
        <w:rPr>
          <w:spacing w:val="-63"/>
        </w:rPr>
        <w:t> </w:t>
      </w:r>
      <w:r>
        <w:rPr>
          <w:spacing w:val="-63"/>
        </w:rPr>
      </w:r>
      <w:r>
        <w:rPr>
          <w:spacing w:val="-2"/>
        </w:rPr>
        <w:t>损益。原股权投资因采用权益法核算而确认的其他综合收益，在终止采用权益法核算时采用与被投资单位直接处置相关资产</w:t>
      </w:r>
      <w:r>
        <w:rPr>
          <w:spacing w:val="-64"/>
        </w:rPr>
        <w:t> </w:t>
      </w:r>
      <w:r>
        <w:rPr>
          <w:spacing w:val="-64"/>
        </w:rPr>
      </w:r>
      <w:r>
        <w:rPr/>
        <w:t>或负债相同的基础进行会计处理。</w:t>
      </w:r>
    </w:p>
    <w:p>
      <w:pPr>
        <w:pStyle w:val="BodyText"/>
        <w:spacing w:line="316" w:lineRule="auto" w:before="142"/>
        <w:ind w:right="1044" w:firstLine="419"/>
        <w:jc w:val="both"/>
      </w:pPr>
      <w:r>
        <w:rPr/>
        <w:t>本公司因处置部分权益性投资等原因丧失了对被投资单位的控制的，在编制个别财务报表时，处置后的剩余股权能够 </w:t>
      </w:r>
      <w:r>
        <w:rPr>
          <w:spacing w:val="-4"/>
        </w:rPr>
        <w:t>对被投资单位实施共同控制或施加重大影响的，改按权益法核算，并对该剩余股权视同自取得时即采用权益法核算进行调整；</w:t>
      </w:r>
    </w:p>
    <w:p>
      <w:pPr>
        <w:spacing w:after="0" w:line="316" w:lineRule="auto"/>
        <w:jc w:val="both"/>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986"/>
        <w:jc w:val="left"/>
      </w:pP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41"/>
        </w:rPr>
        <w:t> </w:t>
      </w:r>
      <w:r>
        <w:rPr>
          <w:spacing w:val="-41"/>
        </w:rPr>
      </w:r>
      <w:r>
        <w:rPr/>
        <w:t>的有关规定进行会计处理。</w:t>
      </w:r>
    </w:p>
    <w:p>
      <w:pPr>
        <w:pStyle w:val="BodyText"/>
        <w:spacing w:line="316" w:lineRule="auto" w:before="151"/>
        <w:ind w:right="1133" w:firstLine="419"/>
        <w:jc w:val="both"/>
      </w:pPr>
      <w:r>
        <w:rPr/>
        <w:t>处置长期股权投资，其账面价值与实际取得价款之间的差额，计入当期损益。采用权益法核算的长期股权投资，在处 </w:t>
      </w:r>
      <w:r>
        <w:rPr>
          <w:spacing w:val="-2"/>
        </w:rPr>
        <w:t>置该项投资时，采用与被投资单位直接处置相关资产或负债相同的基础，按相应比例对原计入其他综合收益的部分进行会计</w:t>
      </w:r>
      <w:r>
        <w:rPr>
          <w:spacing w:val="-64"/>
        </w:rPr>
        <w:t> </w:t>
      </w:r>
      <w:r>
        <w:rPr>
          <w:spacing w:val="-64"/>
        </w:rPr>
      </w:r>
      <w:r>
        <w:rPr/>
        <w:t>处理。</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1133" w:firstLine="360"/>
        <w:jc w:val="both"/>
      </w:pPr>
      <w:r>
        <w:rPr>
          <w:spacing w:val="-2"/>
        </w:rPr>
        <w:t>公司对投资性房地产采用成本模式计量。对按照成本模式计量的投资性房地产－出租用建筑物采用与本公司固定资产相</w:t>
      </w:r>
      <w:r>
        <w:rPr/>
        <w:t> 同的折旧政策，出租用土地使用权采用与本公司与无形资产相同的摊销政策。</w:t>
      </w:r>
    </w:p>
    <w:p>
      <w:pPr>
        <w:spacing w:line="240" w:lineRule="auto" w:before="6"/>
        <w:rPr>
          <w:rFonts w:ascii="宋体" w:hAnsi="宋体" w:cs="宋体" w:eastAsia="宋体" w:hint="default"/>
          <w:sz w:val="22"/>
          <w:szCs w:val="22"/>
        </w:rPr>
      </w:pPr>
    </w:p>
    <w:p>
      <w:pPr>
        <w:pStyle w:val="Heading4"/>
        <w:spacing w:line="240" w:lineRule="auto"/>
        <w:ind w:right="986"/>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33" w:firstLine="360"/>
        <w:jc w:val="both"/>
        <w:rPr>
          <w:rFonts w:ascii="宋体" w:hAnsi="宋体" w:cs="宋体" w:eastAsia="宋体" w:hint="default"/>
        </w:rPr>
      </w:pPr>
      <w:r>
        <w:rPr>
          <w:spacing w:val="-2"/>
        </w:rPr>
        <w:t>固定资产指为生产商品、提供劳务、出租或经营管理而持有，并且使用寿命超过一个会计年度的有形资产。固定资产分</w:t>
      </w:r>
      <w:r>
        <w:rPr/>
        <w:t> 类为：房屋及建筑物、机器设备、电子设备、运输设备、其他设备。固定资产在同时满足下列条件时予以确认：（</w:t>
      </w:r>
      <w:r>
        <w:rPr>
          <w:rFonts w:ascii="宋体" w:hAnsi="宋体" w:cs="宋体" w:eastAsia="宋体" w:hint="default"/>
        </w:rPr>
        <w:t>1</w:t>
      </w:r>
      <w:r>
        <w:rPr/>
        <w:t>）与该</w:t>
      </w:r>
      <w:r>
        <w:rPr>
          <w:spacing w:val="-84"/>
        </w:rPr>
        <w:t> </w:t>
      </w:r>
      <w:r>
        <w:rPr/>
        <w:t>固定资产有关的经济利益很可能流入企业；（</w:t>
      </w:r>
      <w:r>
        <w:rPr>
          <w:rFonts w:ascii="宋体" w:hAnsi="宋体" w:cs="宋体" w:eastAsia="宋体" w:hint="default"/>
        </w:rPr>
        <w:t>2</w:t>
      </w:r>
      <w:r>
        <w:rPr/>
        <w:t>）该固定资产的成本能够可靠地计量。</w:t>
      </w:r>
      <w:r>
        <w:rPr>
          <w:rFonts w:ascii="宋体" w:hAnsi="宋体" w:cs="宋体" w:eastAsia="宋体" w:hint="default"/>
        </w:rPr>
        <w:t> </w:t>
      </w:r>
    </w:p>
    <w:p>
      <w:pPr>
        <w:pStyle w:val="Heading5"/>
        <w:spacing w:line="240" w:lineRule="auto" w:before="139"/>
        <w:ind w:right="986"/>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宋体" w:hAnsi="宋体" w:cs="宋体" w:eastAsia="宋体" w:hint="default"/>
          <w:b/>
          <w:bCs/>
          <w:sz w:val="6"/>
          <w:szCs w:val="6"/>
        </w:rPr>
      </w:pPr>
    </w:p>
    <w:p>
      <w:pPr>
        <w:pStyle w:val="BodyText"/>
        <w:spacing w:line="316" w:lineRule="auto" w:before="44"/>
        <w:ind w:right="986" w:firstLine="419"/>
        <w:jc w:val="left"/>
      </w:pPr>
      <w:r>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pStyle w:val="Heading5"/>
        <w:spacing w:line="240" w:lineRule="auto" w:before="139"/>
        <w:ind w:right="986"/>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09" w:lineRule="auto"/>
        <w:ind w:right="986" w:firstLine="36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5"/>
        </w:rPr>
        <w:t> </w:t>
      </w:r>
      <w:r>
        <w:rPr>
          <w:spacing w:val="-75"/>
        </w:rPr>
      </w:r>
      <w:r>
        <w:rPr>
          <w:spacing w:val="-2"/>
        </w:rPr>
        <w:t>资产使用寿命的大部分；（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）租赁开始日的最低租赁付款额现值，与该资产的公允价值不存在较大的差异。在承租开始日，</w:t>
      </w:r>
      <w:r>
        <w:rPr>
          <w:spacing w:val="-71"/>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spacing w:val="-4"/>
        </w:rPr>
        <w:t>账价值，其差额作为未确认的融资费。融资租赁方式租入的固定资产，能合理确定租赁期届满时将会取得租赁资产所有权的，</w:t>
      </w:r>
      <w:r>
        <w:rPr>
          <w:spacing w:val="-44"/>
        </w:rPr>
        <w:t> </w:t>
      </w:r>
      <w:r>
        <w:rPr>
          <w:spacing w:val="-44"/>
        </w:rPr>
      </w:r>
      <w:r>
        <w:rPr>
          <w:spacing w:val="-2"/>
        </w:rPr>
        <w:t>在租赁资产尚可使用年限内计提折旧；无法合理确定租赁期届满时能够取得租赁资产所有权的，在租赁期与租赁资产尚可使</w:t>
      </w:r>
      <w:r>
        <w:rPr>
          <w:spacing w:val="-64"/>
        </w:rPr>
        <w:t> </w:t>
      </w:r>
      <w:r>
        <w:rPr>
          <w:spacing w:val="-64"/>
        </w:rPr>
      </w:r>
      <w:r>
        <w:rPr/>
        <w:t>用年限两者中较短的期间内计提折旧。</w:t>
      </w:r>
    </w:p>
    <w:p>
      <w:pPr>
        <w:spacing w:after="0" w:line="309"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参照披露</w:t>
      </w:r>
    </w:p>
    <w:p>
      <w:pPr>
        <w:pStyle w:val="BodyText"/>
        <w:spacing w:line="441" w:lineRule="auto" w:before="29"/>
        <w:ind w:left="512" w:right="7874" w:hanging="360"/>
        <w:jc w:val="left"/>
      </w:pPr>
      <w:r>
        <w:rPr/>
        <w:t>软件与信息技术服务业 在建工程以立项项目分类核算。</w:t>
      </w:r>
    </w:p>
    <w:p>
      <w:pPr>
        <w:pStyle w:val="BodyText"/>
        <w:spacing w:line="316" w:lineRule="auto" w:before="43"/>
        <w:ind w:right="1130"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18、 借款费用" w:id="195"/>
      <w:bookmarkEnd w:id="195"/>
      <w:r>
        <w:rPr>
          <w:b w:val="0"/>
          <w:bCs w:val="0"/>
        </w:rPr>
      </w:r>
      <w:r>
        <w:rPr>
          <w:rFonts w:ascii="Times New Roman" w:hAnsi="Times New Roman" w:cs="Times New Roman" w:eastAsia="Times New Roman" w:hint="default"/>
        </w:rPr>
        <w:t>18</w:t>
      </w:r>
      <w:r>
        <w:rPr/>
        <w:t>、</w:t>
      </w:r>
      <w:r>
        <w:rPr>
          <w:spacing w:val="-82"/>
        </w:rPr>
        <w:t> </w:t>
      </w:r>
      <w:r>
        <w:rPr/>
        <w:t>借款费用</w:t>
      </w:r>
      <w:r>
        <w:rPr>
          <w:b w:val="0"/>
          <w:bCs w:val="0"/>
        </w:rPr>
      </w:r>
    </w:p>
    <w:p>
      <w:pPr>
        <w:pStyle w:val="BodyText"/>
        <w:spacing w:line="430" w:lineRule="atLeast" w:before="150"/>
        <w:ind w:left="512" w:right="986"/>
        <w:jc w:val="left"/>
      </w:pP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240" w:lineRule="auto" w:before="76"/>
        <w:ind w:right="986"/>
        <w:jc w:val="left"/>
      </w:pPr>
      <w:r>
        <w:rPr/>
        <w:t>借款费用，在发生时根据其发生额确认为费用，计入当期损益。</w:t>
      </w:r>
    </w:p>
    <w:p>
      <w:pPr>
        <w:spacing w:line="240" w:lineRule="auto" w:before="0"/>
        <w:rPr>
          <w:rFonts w:ascii="宋体" w:hAnsi="宋体" w:cs="宋体" w:eastAsia="宋体" w:hint="default"/>
          <w:sz w:val="15"/>
          <w:szCs w:val="15"/>
        </w:rPr>
      </w:pPr>
    </w:p>
    <w:p>
      <w:pPr>
        <w:pStyle w:val="BodyText"/>
        <w:spacing w:line="316" w:lineRule="auto"/>
        <w:ind w:right="1128" w:firstLine="360"/>
        <w:jc w:val="both"/>
      </w:pPr>
      <w:r>
        <w:rPr/>
        <w:t>符合资本化条件的资产，是指需要经过相当长时间的购建或者生产活动才能达到预定可使用或者可销售状态的固定资</w:t>
      </w:r>
      <w:r>
        <w:rPr>
          <w:spacing w:val="2"/>
        </w:rPr>
        <w:t> </w:t>
      </w:r>
      <w:r>
        <w:rPr/>
        <w:t>产、投资性房地产和存货等资产。</w:t>
      </w:r>
    </w:p>
    <w:p>
      <w:pPr>
        <w:pStyle w:val="BodyText"/>
        <w:spacing w:line="240" w:lineRule="auto" w:before="139"/>
        <w:ind w:left="512" w:right="986"/>
        <w:jc w:val="left"/>
      </w:pPr>
      <w:r>
        <w:rPr/>
        <w:t>借款费用同时满足下列条件时开始资本化：</w:t>
      </w:r>
    </w:p>
    <w:p>
      <w:pPr>
        <w:spacing w:line="240" w:lineRule="auto" w:before="0"/>
        <w:rPr>
          <w:rFonts w:ascii="宋体" w:hAnsi="宋体" w:cs="宋体" w:eastAsia="宋体" w:hint="default"/>
          <w:sz w:val="15"/>
          <w:szCs w:val="15"/>
        </w:rPr>
      </w:pPr>
    </w:p>
    <w:p>
      <w:pPr>
        <w:pStyle w:val="BodyText"/>
        <w:spacing w:line="300" w:lineRule="auto"/>
        <w:ind w:right="1133" w:firstLine="360"/>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51"/>
        <w:ind w:left="512" w:right="986"/>
        <w:jc w:val="left"/>
      </w:pPr>
      <w:r>
        <w:rPr/>
        <w:t>（</w:t>
      </w:r>
      <w:r>
        <w:rPr>
          <w:rFonts w:ascii="Times New Roman" w:hAnsi="Times New Roman" w:cs="Times New Roman" w:eastAsia="Times New Roman" w:hint="default"/>
        </w:rPr>
        <w:t>2</w:t>
      </w:r>
      <w:r>
        <w:rPr/>
        <w:t>）</w:t>
      </w:r>
      <w:r>
        <w:rPr>
          <w:spacing w:val="-61"/>
        </w:rPr>
        <w:t> </w:t>
      </w:r>
      <w:r>
        <w:rPr/>
        <w:t>借款费用已经发生；</w:t>
      </w:r>
    </w:p>
    <w:p>
      <w:pPr>
        <w:spacing w:line="240" w:lineRule="auto" w:before="13"/>
        <w:rPr>
          <w:rFonts w:ascii="宋体" w:hAnsi="宋体" w:cs="宋体" w:eastAsia="宋体" w:hint="default"/>
          <w:sz w:val="13"/>
          <w:szCs w:val="13"/>
        </w:rPr>
      </w:pPr>
    </w:p>
    <w:p>
      <w:pPr>
        <w:pStyle w:val="BodyText"/>
        <w:spacing w:line="240" w:lineRule="auto"/>
        <w:ind w:left="512" w:right="986"/>
        <w:jc w:val="left"/>
      </w:pPr>
      <w:r>
        <w:rPr/>
        <w:t>（</w:t>
      </w:r>
      <w:r>
        <w:rPr>
          <w:rFonts w:ascii="Times New Roman" w:hAnsi="Times New Roman" w:cs="Times New Roman" w:eastAsia="Times New Roman" w:hint="default"/>
        </w:rPr>
        <w:t>3</w:t>
      </w:r>
      <w:r>
        <w:rPr/>
        <w:t>）</w:t>
      </w:r>
      <w:r>
        <w:rPr>
          <w:spacing w:val="-61"/>
        </w:rPr>
        <w:t> </w:t>
      </w:r>
      <w:r>
        <w:rPr/>
        <w:t>为使资产达到预定可使用或者可销售状态所必要的购建或者生产活动已经开始。</w:t>
      </w:r>
    </w:p>
    <w:p>
      <w:pPr>
        <w:pStyle w:val="BodyText"/>
        <w:spacing w:line="432" w:lineRule="exact" w:before="47"/>
        <w:ind w:left="512" w:right="986"/>
        <w:jc w:val="left"/>
      </w:pP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5"/>
        <w:ind w:right="986"/>
        <w:jc w:val="left"/>
      </w:pPr>
      <w:r>
        <w:rPr/>
        <w:t>款费用资本化。</w:t>
      </w:r>
    </w:p>
    <w:p>
      <w:pPr>
        <w:spacing w:line="432" w:lineRule="exact" w:before="61"/>
        <w:ind w:left="512" w:right="986"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借款费用暂停资本化期间</w:t>
      </w:r>
      <w:r>
        <w:rPr>
          <w:rFonts w:ascii="宋体" w:hAnsi="宋体" w:cs="宋体" w:eastAsia="宋体" w:hint="default"/>
          <w:b/>
          <w:bCs/>
          <w:w w:val="99"/>
          <w:sz w:val="18"/>
          <w:szCs w:val="18"/>
        </w:rPr>
        <w:t> </w:t>
      </w:r>
      <w:r>
        <w:rPr>
          <w:rFonts w:ascii="宋体" w:hAnsi="宋体" w:cs="宋体" w:eastAsia="宋体" w:hint="default"/>
          <w:spacing w:val="-2"/>
          <w:sz w:val="18"/>
          <w:szCs w:val="18"/>
        </w:rPr>
        <w:t>符合资本化条件的资产在购建或生产过程中发生的非正常中断、且中断时间连续超过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个月的，则借款费用暂停资本化；</w:t>
      </w:r>
    </w:p>
    <w:p>
      <w:pPr>
        <w:pStyle w:val="BodyText"/>
        <w:spacing w:line="316" w:lineRule="auto" w:before="15"/>
        <w:ind w:right="986"/>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432" w:lineRule="exact" w:before="3"/>
        <w:ind w:left="572" w:right="986" w:hanging="6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对于为购建或者生产符合资本化条件的资产而借入的专门借款，以专门借款当期实际发生的借款费用及其辅助费，减</w:t>
      </w:r>
    </w:p>
    <w:p>
      <w:pPr>
        <w:pStyle w:val="BodyText"/>
        <w:spacing w:line="240" w:lineRule="auto" w:before="15"/>
        <w:ind w:right="986"/>
        <w:jc w:val="left"/>
      </w:pPr>
      <w:r>
        <w:rPr/>
        <w:t>去尚未动用的借款资金存入银行取得的利息收入或进行暂时性投资取得的投资收益后的金额，来确定借款费用的资本化金</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额。</w:t>
      </w:r>
    </w:p>
    <w:p>
      <w:pPr>
        <w:spacing w:line="240" w:lineRule="auto" w:before="0"/>
        <w:rPr>
          <w:rFonts w:ascii="宋体" w:hAnsi="宋体" w:cs="宋体" w:eastAsia="宋体" w:hint="default"/>
          <w:sz w:val="15"/>
          <w:szCs w:val="15"/>
        </w:rPr>
      </w:pPr>
    </w:p>
    <w:p>
      <w:pPr>
        <w:pStyle w:val="BodyText"/>
        <w:spacing w:line="316" w:lineRule="auto"/>
        <w:ind w:right="1133" w:firstLine="419"/>
        <w:jc w:val="both"/>
      </w:pPr>
      <w:r>
        <w:rPr/>
        <w:t>对于为购建或者生产符合资本化条件的资产而占用的一般借款，根据累计资产支出超过专门借款部分的资产支出加权 </w:t>
      </w:r>
      <w:r>
        <w:rPr>
          <w:spacing w:val="-2"/>
        </w:rPr>
        <w:t>平均数乘以所占用一般借款的资本化率，计算确定一般借款应予资本化的利息金额。资本化率根据一般借款加权平均利率计</w:t>
      </w:r>
      <w:r>
        <w:rPr>
          <w:spacing w:val="-64"/>
        </w:rPr>
        <w:t> </w:t>
      </w:r>
      <w:r>
        <w:rPr>
          <w:spacing w:val="-64"/>
        </w:rPr>
      </w:r>
      <w:r>
        <w:rPr/>
        <w:t>算确定。</w:t>
      </w:r>
    </w:p>
    <w:p>
      <w:pPr>
        <w:pStyle w:val="BodyText"/>
        <w:spacing w:line="240" w:lineRule="auto" w:before="139"/>
        <w:ind w:left="572" w:right="986"/>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9、 生物资产" w:id="196"/>
      <w:bookmarkEnd w:id="196"/>
      <w:r>
        <w:rPr>
          <w:b w:val="0"/>
          <w:bCs w:val="0"/>
        </w:rPr>
      </w:r>
      <w:r>
        <w:rPr>
          <w:rFonts w:ascii="Times New Roman" w:hAnsi="Times New Roman" w:cs="Times New Roman" w:eastAsia="Times New Roman" w:hint="default"/>
        </w:rPr>
        <w:t>19</w:t>
      </w:r>
      <w:r>
        <w:rPr/>
        <w:t>、</w:t>
      </w:r>
      <w:r>
        <w:rPr>
          <w:spacing w:val="-82"/>
        </w:rPr>
        <w:t> </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2" w:right="986"/>
        <w:jc w:val="left"/>
      </w:pPr>
      <w:r>
        <w:rPr/>
        <w:t>无。</w:t>
      </w:r>
    </w:p>
    <w:p>
      <w:pPr>
        <w:spacing w:line="240" w:lineRule="auto" w:before="11"/>
        <w:rPr>
          <w:rFonts w:ascii="宋体" w:hAnsi="宋体" w:cs="宋体" w:eastAsia="宋体" w:hint="default"/>
          <w:sz w:val="26"/>
          <w:szCs w:val="26"/>
        </w:rPr>
      </w:pPr>
    </w:p>
    <w:p>
      <w:pPr>
        <w:pStyle w:val="Heading4"/>
        <w:spacing w:line="240" w:lineRule="auto"/>
        <w:ind w:right="986"/>
        <w:jc w:val="left"/>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2" w:right="986"/>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2"/>
        <w:ind w:left="512" w:right="986"/>
        <w:jc w:val="left"/>
      </w:pPr>
      <w:r>
        <w:rPr/>
        <w:t>（</w:t>
      </w:r>
      <w:r>
        <w:rPr>
          <w:rFonts w:ascii="宋体" w:hAnsi="宋体" w:cs="宋体" w:eastAsia="宋体" w:hint="default"/>
        </w:rPr>
        <w:t>1</w:t>
      </w:r>
      <w:r>
        <w:rPr/>
        <w:t>）取得无形资产时按成本进行初始计量</w:t>
      </w:r>
      <w:r>
        <w:rPr>
          <w:rFonts w:ascii="宋体" w:hAnsi="宋体" w:cs="宋体" w:eastAsia="宋体" w:hint="default"/>
        </w:rPr>
        <w:t> </w:t>
      </w:r>
      <w:r>
        <w:rPr>
          <w:spacing w:val="-2"/>
        </w:rPr>
        <w:t>外购无形资产的成本，包括购买价款、相关税费以及直接归属于使该项资产达到预定用途所发生的其他支出。购买无形</w:t>
      </w:r>
    </w:p>
    <w:p>
      <w:pPr>
        <w:pStyle w:val="BodyText"/>
        <w:spacing w:line="240" w:lineRule="auto" w:before="76"/>
        <w:ind w:right="986"/>
        <w:jc w:val="left"/>
      </w:pPr>
      <w:r>
        <w:rPr/>
        <w:t>资产的价款超过正常信用条件延期支付，实质上具有融资性质的，无形资产的成本以购买价款的现值为基础确定。</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6" w:lineRule="auto" w:before="139"/>
        <w:ind w:right="1133"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39"/>
        <w:ind w:right="1133"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39"/>
        <w:ind w:right="1135"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439" w:lineRule="auto" w:before="139"/>
        <w:ind w:left="572" w:right="7094" w:hanging="61"/>
        <w:jc w:val="left"/>
      </w:pPr>
      <w:r>
        <w:rPr/>
        <w:t>（</w:t>
      </w:r>
      <w:r>
        <w:rPr>
          <w:rFonts w:ascii="宋体" w:hAnsi="宋体" w:cs="宋体" w:eastAsia="宋体" w:hint="default"/>
        </w:rPr>
        <w:t>2</w:t>
      </w:r>
      <w:r>
        <w:rPr/>
        <w:t>）后续计量 在取得无形资产时分析判断其使用寿命。</w:t>
      </w:r>
    </w:p>
    <w:p>
      <w:pPr>
        <w:pStyle w:val="BodyText"/>
        <w:spacing w:line="316" w:lineRule="auto" w:before="47"/>
        <w:ind w:right="1135" w:firstLine="419"/>
        <w:jc w:val="both"/>
      </w:pPr>
      <w:r>
        <w:rPr/>
        <w:t>对于使用寿命有限的无形资产，在为企业带来经济利益的期限内按直线法摊销；无法预见无形资产为企业带来经济利 益期限的，视为使用寿命不确定的无形资产，不予摊销。</w:t>
      </w:r>
    </w:p>
    <w:p>
      <w:pPr>
        <w:pStyle w:val="Heading5"/>
        <w:spacing w:line="240" w:lineRule="auto" w:before="139"/>
        <w:ind w:left="572" w:right="986"/>
        <w:jc w:val="left"/>
        <w:rPr>
          <w:b w:val="0"/>
          <w:bCs w:val="0"/>
        </w:rPr>
      </w:pPr>
      <w:r>
        <w:rPr>
          <w:rFonts w:ascii="宋体" w:hAnsi="宋体" w:cs="宋体" w:eastAsia="宋体"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BodyText"/>
        <w:spacing w:line="240" w:lineRule="auto" w:before="44"/>
        <w:ind w:left="0" w:right="1058"/>
        <w:jc w:val="right"/>
      </w:pPr>
      <w:r>
        <w:rPr/>
        <w:pict>
          <v:shape style="position:absolute;margin-left:56.400002pt;margin-top:-22.44828pt;width:482.65pt;height:85.6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2"/>
                    <w:gridCol w:w="1841"/>
                    <w:gridCol w:w="6235"/>
                  </w:tblGrid>
                  <w:tr>
                    <w:trPr>
                      <w:trHeight w:val="420" w:hRule="exact"/>
                    </w:trPr>
                    <w:tc>
                      <w:tcPr>
                        <w:tcW w:w="156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623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土地使用权的有效期</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4"/>
                          <w:jc w:val="center"/>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437"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4"/>
                          <w:jc w:val="center"/>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42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4"/>
                          <w:jc w:val="center"/>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bl>
                <w:p>
                  <w:pPr/>
                </w:p>
              </w:txbxContent>
            </v:textbox>
            <w10:wrap type="none"/>
          </v:shape>
        </w:pict>
      </w:r>
      <w:r>
        <w:rPr/>
        <w:t>。</w:t>
      </w:r>
    </w:p>
    <w:p>
      <w:pPr>
        <w:spacing w:line="240" w:lineRule="auto" w:before="12"/>
        <w:rPr>
          <w:rFonts w:ascii="宋体" w:hAnsi="宋体" w:cs="宋体" w:eastAsia="宋体" w:hint="default"/>
          <w:sz w:val="10"/>
          <w:szCs w:val="10"/>
        </w:rPr>
      </w:pPr>
    </w:p>
    <w:p>
      <w:pPr>
        <w:pStyle w:val="BodyText"/>
        <w:spacing w:line="240" w:lineRule="auto" w:before="44"/>
        <w:ind w:left="0" w:right="1058"/>
        <w:jc w:val="right"/>
      </w:pPr>
      <w:r>
        <w:rPr/>
        <w:t>。</w:t>
      </w:r>
    </w:p>
    <w:p>
      <w:pPr>
        <w:spacing w:line="240" w:lineRule="auto" w:before="10"/>
        <w:rPr>
          <w:rFonts w:ascii="宋体" w:hAnsi="宋体" w:cs="宋体" w:eastAsia="宋体" w:hint="default"/>
          <w:sz w:val="11"/>
          <w:szCs w:val="11"/>
        </w:rPr>
      </w:pPr>
    </w:p>
    <w:p>
      <w:pPr>
        <w:pStyle w:val="BodyText"/>
        <w:spacing w:line="240" w:lineRule="auto" w:before="44"/>
        <w:ind w:left="0" w:right="1058"/>
        <w:jc w:val="right"/>
      </w:pPr>
      <w:r>
        <w:rPr/>
        <w:t>。</w:t>
      </w:r>
    </w:p>
    <w:p>
      <w:pPr>
        <w:spacing w:after="0" w:line="240" w:lineRule="auto"/>
        <w:jc w:val="righ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058"/>
        <w:jc w:val="right"/>
      </w:pPr>
      <w:r>
        <w:rPr/>
        <w:pict>
          <v:shape style="position:absolute;margin-left:56.400002pt;margin-top:-3.529276pt;width:482.65pt;height:43.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2"/>
                    <w:gridCol w:w="1841"/>
                    <w:gridCol w:w="6235"/>
                  </w:tblGrid>
                  <w:tr>
                    <w:trPr>
                      <w:trHeight w:val="44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42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bl>
                <w:p>
                  <w:pPr/>
                </w:p>
              </w:txbxContent>
            </v:textbox>
            <w10:wrap type="none"/>
          </v:shape>
        </w:pict>
      </w:r>
      <w:r>
        <w:rPr/>
        <w:t>。</w:t>
      </w:r>
    </w:p>
    <w:p>
      <w:pPr>
        <w:spacing w:line="240" w:lineRule="auto" w:before="7"/>
        <w:rPr>
          <w:rFonts w:ascii="宋体" w:hAnsi="宋体" w:cs="宋体" w:eastAsia="宋体" w:hint="default"/>
          <w:sz w:val="12"/>
          <w:szCs w:val="12"/>
        </w:rPr>
      </w:pPr>
    </w:p>
    <w:p>
      <w:pPr>
        <w:pStyle w:val="BodyText"/>
        <w:spacing w:line="240" w:lineRule="auto" w:before="44"/>
        <w:ind w:left="0" w:right="1058"/>
        <w:jc w:val="right"/>
      </w:pPr>
      <w:r>
        <w:rPr/>
        <w:t>。</w:t>
      </w:r>
    </w:p>
    <w:p>
      <w:pPr>
        <w:spacing w:line="240" w:lineRule="auto" w:before="0"/>
        <w:rPr>
          <w:rFonts w:ascii="宋体" w:hAnsi="宋体" w:cs="宋体" w:eastAsia="宋体" w:hint="default"/>
          <w:sz w:val="16"/>
          <w:szCs w:val="16"/>
        </w:rPr>
      </w:pPr>
    </w:p>
    <w:p>
      <w:pPr>
        <w:spacing w:line="432" w:lineRule="auto" w:before="44"/>
        <w:ind w:left="572" w:right="4574" w:firstLine="4"/>
        <w:jc w:val="left"/>
        <w:rPr>
          <w:rFonts w:ascii="宋体" w:hAnsi="宋体" w:cs="宋体" w:eastAsia="宋体" w:hint="default"/>
          <w:sz w:val="18"/>
          <w:szCs w:val="18"/>
        </w:rPr>
      </w:pPr>
      <w:r>
        <w:rPr>
          <w:rFonts w:ascii="宋体" w:hAnsi="宋体" w:cs="宋体" w:eastAsia="宋体" w:hint="default"/>
          <w:sz w:val="18"/>
          <w:szCs w:val="18"/>
        </w:rPr>
        <w:t>每期末，对使用寿命有限的无形资产的使用寿命及摊销方法进行复核。 经复核，本年期末无形资产的使用寿命及摊销方法与以前估计未有不同。 </w:t>
      </w:r>
      <w:r>
        <w:rPr>
          <w:rFonts w:ascii="宋体" w:hAnsi="宋体" w:cs="宋体" w:eastAsia="宋体" w:hint="default"/>
          <w:b/>
          <w:bCs/>
          <w:sz w:val="18"/>
          <w:szCs w:val="18"/>
        </w:rPr>
        <w:t>3.</w:t>
      </w:r>
      <w:r>
        <w:rPr>
          <w:rFonts w:ascii="宋体" w:hAnsi="宋体" w:cs="宋体" w:eastAsia="宋体" w:hint="default"/>
          <w:b/>
          <w:bCs/>
          <w:sz w:val="18"/>
          <w:szCs w:val="18"/>
        </w:rPr>
        <w:t>使用寿命不确定的无形资产的判断依据</w:t>
      </w:r>
      <w:r>
        <w:rPr>
          <w:rFonts w:ascii="宋体" w:hAnsi="宋体" w:cs="宋体" w:eastAsia="宋体" w:hint="default"/>
          <w:b/>
          <w:bCs/>
          <w:w w:val="99"/>
          <w:sz w:val="18"/>
          <w:szCs w:val="18"/>
        </w:rPr>
        <w:t> </w:t>
      </w:r>
      <w:r>
        <w:rPr>
          <w:rFonts w:ascii="宋体" w:hAnsi="宋体" w:cs="宋体" w:eastAsia="宋体" w:hint="default"/>
          <w:sz w:val="18"/>
          <w:szCs w:val="18"/>
        </w:rPr>
        <w:t>截至资产负债表日</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本公司没有使用寿命不确定的无形资产。 </w:t>
      </w:r>
      <w:r>
        <w:rPr>
          <w:rFonts w:ascii="宋体" w:hAnsi="宋体" w:cs="宋体" w:eastAsia="宋体" w:hint="default"/>
          <w:b/>
          <w:bCs/>
          <w:sz w:val="18"/>
          <w:szCs w:val="18"/>
        </w:rPr>
        <w:t>4.</w:t>
      </w:r>
      <w:r>
        <w:rPr>
          <w:rFonts w:ascii="宋体" w:hAnsi="宋体" w:cs="宋体" w:eastAsia="宋体" w:hint="default"/>
          <w:b/>
          <w:bCs/>
          <w:sz w:val="18"/>
          <w:szCs w:val="18"/>
        </w:rPr>
        <w:t>使用寿命不确定的无形资产使用寿命复核</w:t>
      </w:r>
      <w:r>
        <w:rPr>
          <w:rFonts w:ascii="宋体" w:hAnsi="宋体" w:cs="宋体" w:eastAsia="宋体" w:hint="default"/>
          <w:b/>
          <w:bCs/>
          <w:w w:val="99"/>
          <w:sz w:val="18"/>
          <w:szCs w:val="18"/>
        </w:rPr>
        <w:t> </w:t>
      </w:r>
      <w:r>
        <w:rPr>
          <w:rFonts w:ascii="宋体" w:hAnsi="宋体" w:cs="宋体" w:eastAsia="宋体" w:hint="default"/>
          <w:sz w:val="18"/>
          <w:szCs w:val="18"/>
        </w:rPr>
        <w:t>截至资产负债表日</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本公司没有使用寿命不确定的无形资产。</w:t>
      </w:r>
      <w:r>
        <w:rPr>
          <w:rFonts w:ascii="宋体" w:hAnsi="宋体" w:cs="宋体" w:eastAsia="宋体" w:hint="default"/>
          <w:sz w:val="18"/>
          <w:szCs w:val="18"/>
        </w:rPr>
        <w:t> </w:t>
      </w:r>
      <w:r>
        <w:rPr>
          <w:rFonts w:ascii="宋体" w:hAnsi="宋体" w:cs="宋体" w:eastAsia="宋体" w:hint="default"/>
          <w:b/>
          <w:bCs/>
          <w:sz w:val="18"/>
          <w:szCs w:val="18"/>
        </w:rPr>
        <w:t>5.</w:t>
      </w:r>
      <w:r>
        <w:rPr>
          <w:rFonts w:ascii="宋体" w:hAnsi="宋体" w:cs="宋体" w:eastAsia="宋体" w:hint="default"/>
          <w:b/>
          <w:bCs/>
          <w:sz w:val="18"/>
          <w:szCs w:val="18"/>
        </w:rPr>
        <w:t>内部研究开发支出会计政策</w:t>
      </w:r>
      <w:r>
        <w:rPr>
          <w:rFonts w:ascii="宋体" w:hAnsi="宋体" w:cs="宋体" w:eastAsia="宋体" w:hint="default"/>
          <w:sz w:val="18"/>
          <w:szCs w:val="18"/>
        </w:rPr>
      </w:r>
    </w:p>
    <w:p>
      <w:pPr>
        <w:pStyle w:val="BodyText"/>
        <w:spacing w:line="439" w:lineRule="auto" w:before="52"/>
        <w:ind w:left="512" w:right="986"/>
        <w:jc w:val="left"/>
      </w:pPr>
      <w:r>
        <w:rPr/>
        <w:t>（</w:t>
      </w:r>
      <w:r>
        <w:rPr>
          <w:rFonts w:ascii="宋体" w:hAnsi="宋体" w:cs="宋体" w:eastAsia="宋体" w:hint="default"/>
        </w:rPr>
        <w:t>1</w:t>
      </w:r>
      <w:r>
        <w:rPr/>
        <w:t>）划分内部研究开发项目的研究阶段和开发阶段具体标准 内部研究开发项目的支出分为研究阶段支出和开发阶段支出。 研究阶段：为获取并理解新的科学或技术知识等而进行的独创性的有计划调查、研究活动的阶段。</w:t>
      </w:r>
    </w:p>
    <w:p>
      <w:pPr>
        <w:pStyle w:val="BodyText"/>
        <w:spacing w:line="316" w:lineRule="auto" w:before="47"/>
        <w:ind w:right="1130" w:firstLine="360"/>
        <w:jc w:val="both"/>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439" w:lineRule="auto" w:before="139"/>
        <w:ind w:left="512" w:right="4454"/>
        <w:jc w:val="left"/>
      </w:pPr>
      <w:r>
        <w:rPr/>
        <w:t>（</w:t>
      </w:r>
      <w:r>
        <w:rPr>
          <w:rFonts w:ascii="宋体" w:hAnsi="宋体" w:cs="宋体" w:eastAsia="宋体" w:hint="default"/>
        </w:rPr>
        <w:t>2</w:t>
      </w:r>
      <w:r>
        <w:rPr/>
        <w:t>）开发阶段支出符合资本化的具体标准 内部研究开发项目开发阶段的支出，同时满足下列条件时确认为无形资产： 完成该无形资产以使其能够使用或出售在技术上具有可行性； 具有完成该无形资产并使用或出售的意图；</w:t>
      </w:r>
    </w:p>
    <w:p>
      <w:pPr>
        <w:pStyle w:val="BodyText"/>
        <w:spacing w:line="316" w:lineRule="auto" w:before="47"/>
        <w:ind w:left="512" w:right="986"/>
        <w:jc w:val="left"/>
      </w:pPr>
      <w:r>
        <w:rPr>
          <w:spacing w:val="-2"/>
        </w:rPr>
        <w:t>无形资产产生经济利益的方式，包括能够证明运用该无形资产生产的产品存在市场或无形资产自身存在市场，无形资产</w:t>
      </w:r>
      <w:r>
        <w:rPr>
          <w:spacing w:val="-68"/>
        </w:rPr>
        <w:t> </w:t>
      </w:r>
      <w:r>
        <w:rPr>
          <w:spacing w:val="-68"/>
        </w:rPr>
      </w:r>
      <w:r>
        <w:rPr/>
        <w:t>将在内部使用的，能够证明其有用性；</w:t>
      </w:r>
    </w:p>
    <w:p>
      <w:pPr>
        <w:pStyle w:val="BodyText"/>
        <w:spacing w:line="439" w:lineRule="auto" w:before="139"/>
        <w:ind w:left="512" w:right="1754"/>
        <w:jc w:val="left"/>
      </w:pPr>
      <w:r>
        <w:rPr/>
        <w:t>有足够的技术、财务资源和其他资源支持，以完成该无形资产的开发，并有能力使用或出售该无形资产； 归属于该无形资产开发阶段的支出能够可靠地计量。 开发阶段的支出，若不满足上列条件的，于发生时计入当期损益。研究阶段的支出，在发生时计入当期损益。</w:t>
      </w:r>
    </w:p>
    <w:p>
      <w:pPr>
        <w:spacing w:line="240" w:lineRule="auto" w:before="8"/>
        <w:rPr>
          <w:rFonts w:ascii="宋体" w:hAnsi="宋体" w:cs="宋体" w:eastAsia="宋体" w:hint="default"/>
          <w:sz w:val="15"/>
          <w:szCs w:val="15"/>
        </w:rPr>
      </w:pPr>
    </w:p>
    <w:p>
      <w:pPr>
        <w:pStyle w:val="Heading4"/>
        <w:spacing w:line="240" w:lineRule="auto"/>
        <w:ind w:right="986"/>
        <w:jc w:val="left"/>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19"/>
        <w:jc w:val="both"/>
      </w:pPr>
      <w:r>
        <w:rPr/>
        <w:t>在每个资产负债表日判断长期股权投资、采用成本模式计量的投资性房地产、固定资产、在建工程、使用寿命确定的 </w:t>
      </w:r>
      <w:r>
        <w:rPr>
          <w:spacing w:val="-2"/>
        </w:rPr>
        <w:t>无形资产等是否存在减值迹象，对存在减值迹象的，估计其可收回金额，可收回金额低于其账面价值的，将资产的账面价值</w:t>
      </w:r>
      <w:r>
        <w:rPr>
          <w:spacing w:val="-64"/>
        </w:rPr>
        <w:t> </w:t>
      </w:r>
      <w:r>
        <w:rPr>
          <w:spacing w:val="-64"/>
        </w:rPr>
      </w:r>
      <w:r>
        <w:rPr/>
        <w:t>减记至可收回金额，减记的金额确认相应的减值损失，计入当期损益，同时计提相应的减值准备。</w:t>
      </w:r>
    </w:p>
    <w:p>
      <w:pPr>
        <w:pStyle w:val="BodyText"/>
        <w:spacing w:line="316" w:lineRule="auto" w:before="139"/>
        <w:ind w:right="1133" w:firstLine="419"/>
        <w:jc w:val="both"/>
      </w:pPr>
      <w:r>
        <w:rPr/>
        <w:t>资产可收回金额的估计，根据其公允价值减去处置费用后的净额与其预计未来现金流量的现值两者之间较高者确定。 </w:t>
      </w:r>
      <w:r>
        <w:rPr>
          <w:spacing w:val="-2"/>
        </w:rPr>
        <w:t>企业以单项资产为基础估计其可收回金额，在难以对单项资产可回收金额进行估计的情况下，以资产所属的资产组为基础确</w:t>
      </w:r>
      <w:r>
        <w:rPr>
          <w:spacing w:val="-64"/>
        </w:rPr>
        <w:t> </w:t>
      </w:r>
      <w:r>
        <w:rPr>
          <w:spacing w:val="-64"/>
        </w:rPr>
      </w:r>
      <w:r>
        <w:rPr/>
        <w:t>定资产组的可收回金额。</w:t>
      </w:r>
    </w:p>
    <w:p>
      <w:pPr>
        <w:pStyle w:val="BodyText"/>
        <w:spacing w:line="316" w:lineRule="auto" w:before="139"/>
        <w:ind w:right="1135" w:firstLine="419"/>
        <w:jc w:val="both"/>
      </w:pPr>
      <w:r>
        <w:rPr/>
        <w:t>资产减值损失确认后，减值资产的折旧或者摊销费用在未来期间做相应调整，使资产在剩余寿命内，系统地分摊调整 后的资产账面价值。</w:t>
      </w:r>
    </w:p>
    <w:p>
      <w:pPr>
        <w:pStyle w:val="BodyText"/>
        <w:spacing w:line="240" w:lineRule="auto" w:before="139"/>
        <w:ind w:left="572" w:right="986"/>
        <w:jc w:val="left"/>
      </w:pPr>
      <w:r>
        <w:rPr/>
        <w:t>对于使用寿命不确定的无形资产、尚未达到使用状态的无形资以及合并所形成的商誉每年年度终了进行减值测试。</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firstLine="419"/>
        <w:jc w:val="both"/>
      </w:pPr>
      <w:r>
        <w:rPr/>
        <w:t>关于商誉减值测试，对于因企业合并形成的商誉的账面价值，自购买日起按照合理的方法分摊至相关的资产组；难以 </w:t>
      </w:r>
      <w:r>
        <w:rPr>
          <w:spacing w:val="-2"/>
        </w:rPr>
        <w:t>分摊至相关的资产组的，将其分摊至相关的资产组组合。在将商誉的账面价值分摊至相关的资产组或者资产组组合时，按照</w:t>
      </w:r>
      <w:r>
        <w:rPr>
          <w:spacing w:val="-63"/>
        </w:rPr>
        <w:t> </w:t>
      </w:r>
      <w:r>
        <w:rPr>
          <w:spacing w:val="-63"/>
        </w:rPr>
      </w:r>
      <w:r>
        <w:rPr/>
        <w:t>各资产组或者资产组组合的公允价值占相关资产组或者资产组组合公允价值总额的比例进行分摊。公允价值难以可靠计量</w:t>
      </w:r>
      <w:r>
        <w:rPr>
          <w:spacing w:val="-11"/>
        </w:rPr>
        <w:t> </w:t>
      </w:r>
      <w:r>
        <w:rPr>
          <w:spacing w:val="-11"/>
        </w:rPr>
      </w:r>
      <w:r>
        <w:rPr/>
        <w:t>的，按照各资产组或者资产组组合的账面价值占相关资产组或者资产组组合账面价值总额的比例进行分摊。</w:t>
      </w:r>
    </w:p>
    <w:p>
      <w:pPr>
        <w:pStyle w:val="BodyText"/>
        <w:spacing w:line="316" w:lineRule="auto" w:before="139"/>
        <w:ind w:right="1026" w:firstLine="420"/>
        <w:jc w:val="left"/>
      </w:pPr>
      <w:r>
        <w:rPr>
          <w:spacing w:val="-1"/>
        </w:rPr>
        <w:t>在对包含商誉的相关资产组或者资产组组合进行减值测试时，如与商誉相关的资产组或者资产组组合存在减值迹象的，</w:t>
      </w:r>
      <w:r>
        <w:rPr/>
        <w:t>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3" w:firstLine="419"/>
        <w:jc w:val="both"/>
      </w:pPr>
      <w:r>
        <w:rPr>
          <w:spacing w:val="-1"/>
        </w:rPr>
        <w:t>对于已经发生但应由本期和以后各期负担的分摊期限在</w:t>
      </w:r>
      <w:r>
        <w:rPr>
          <w:rFonts w:ascii="Times New Roman" w:hAnsi="Times New Roman" w:cs="Times New Roman" w:eastAsia="Times New Roman" w:hint="default"/>
          <w:spacing w:val="-1"/>
        </w:rPr>
        <w:t>1</w:t>
      </w:r>
      <w:r>
        <w:rPr>
          <w:spacing w:val="-1"/>
        </w:rPr>
        <w:t>年以上的各项费用，包括经营租入固定资产改良支出，作为长</w:t>
      </w:r>
      <w:r>
        <w:rPr/>
        <w:t> </w:t>
      </w:r>
      <w:r>
        <w:rPr>
          <w:spacing w:val="-2"/>
        </w:rPr>
        <w:t>期待摊费用按预计受益年限分期摊销。如果长期待摊费用项目不能使以后会计期间受益的，则将其尚未摊销的摊余价值全部</w:t>
      </w:r>
      <w:r>
        <w:rPr>
          <w:spacing w:val="-64"/>
        </w:rPr>
        <w:t> </w:t>
      </w:r>
      <w:r>
        <w:rPr>
          <w:spacing w:val="-64"/>
        </w:rPr>
      </w:r>
      <w:r>
        <w:rPr/>
        <w:t>转入当期损益。</w:t>
      </w:r>
    </w:p>
    <w:p>
      <w:pPr>
        <w:spacing w:line="240" w:lineRule="auto" w:before="0"/>
        <w:rPr>
          <w:rFonts w:ascii="宋体" w:hAnsi="宋体" w:cs="宋体" w:eastAsia="宋体" w:hint="default"/>
          <w:sz w:val="23"/>
          <w:szCs w:val="23"/>
        </w:rPr>
      </w:pPr>
    </w:p>
    <w:p>
      <w:pPr>
        <w:pStyle w:val="Heading4"/>
        <w:spacing w:line="240" w:lineRule="auto"/>
        <w:ind w:right="986"/>
        <w:jc w:val="left"/>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4"/>
        <w:rPr>
          <w:rFonts w:ascii="宋体" w:hAnsi="宋体" w:cs="宋体" w:eastAsia="宋体" w:hint="default"/>
          <w:b/>
          <w:bCs/>
          <w:sz w:val="26"/>
          <w:szCs w:val="26"/>
        </w:rPr>
      </w:pPr>
    </w:p>
    <w:p>
      <w:pPr>
        <w:spacing w:line="439" w:lineRule="auto" w:before="0"/>
        <w:ind w:left="512" w:right="986" w:firstLine="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z w:val="18"/>
          <w:szCs w:val="18"/>
        </w:rPr>
        <w:t>在职工为公司提供服务的会计期间，将实际发生的短期薪酬确认为负债，并计入当期损益或相关资产成本。</w:t>
      </w:r>
      <w:r>
        <w:rPr>
          <w:rFonts w:ascii="宋体" w:hAnsi="宋体" w:cs="宋体" w:eastAsia="宋体" w:hint="default"/>
          <w:sz w:val="18"/>
          <w:szCs w:val="18"/>
        </w:rPr>
        <w:t> </w:t>
      </w:r>
      <w:r>
        <w:rPr>
          <w:rFonts w:ascii="宋体" w:hAnsi="宋体" w:cs="宋体" w:eastAsia="宋体"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0" w:lineRule="auto" w:before="47"/>
        <w:ind w:left="512" w:right="986"/>
        <w:jc w:val="left"/>
      </w:pPr>
      <w:r>
        <w:rPr/>
        <w:t>离职后福利计划分类为设定提存计划和设定受益计划。</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spacing w:val="-2"/>
        </w:rPr>
        <w:t>在职工为公司提供服务的会计期间，将根据设定提存计划计算的应缴存金额确认为负债，并计入当期损益或相关资产成</w:t>
      </w:r>
      <w:r>
        <w:rPr/>
        <w:t> </w:t>
      </w: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139"/>
        <w:ind w:right="1128" w:firstLine="360"/>
        <w:jc w:val="both"/>
      </w:pPr>
      <w:r>
        <w:rPr/>
        <w:t>公司根据资产负债表日与设定受益计划义务期限和币种相匹配的国债或活跃市场上的高质量公司债券的市场收益率对</w:t>
      </w:r>
      <w:r>
        <w:rPr>
          <w:spacing w:val="2"/>
        </w:rPr>
        <w:t> </w:t>
      </w:r>
      <w:r>
        <w:rPr/>
        <w:t>所有设定受益计划义务予以折现，包括预期在职工提供服务的年度报告期间结束后的十二个月内支付的义务。</w:t>
      </w:r>
    </w:p>
    <w:p>
      <w:pPr>
        <w:pStyle w:val="BodyText"/>
        <w:spacing w:line="316" w:lineRule="auto" w:before="139"/>
        <w:ind w:right="1133"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5"/>
        </w:rPr>
        <w:t> </w:t>
      </w:r>
      <w:r>
        <w:rPr>
          <w:spacing w:val="-65"/>
        </w:rPr>
      </w:r>
      <w:r>
        <w:rPr/>
        <w:t>值。</w:t>
      </w:r>
    </w:p>
    <w:p>
      <w:pPr>
        <w:pStyle w:val="BodyText"/>
        <w:spacing w:line="316" w:lineRule="auto" w:before="139"/>
        <w:ind w:right="113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432" w:lineRule="exact" w:before="3"/>
        <w:ind w:left="512" w:right="986"/>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40" w:lineRule="auto" w:before="15"/>
        <w:ind w:right="986"/>
        <w:jc w:val="left"/>
        <w:rPr>
          <w:rFonts w:ascii="宋体" w:hAnsi="宋体" w:cs="宋体" w:eastAsia="宋体" w:hint="default"/>
        </w:rPr>
      </w:pPr>
      <w:r>
        <w:rPr/>
        <w:t>的差。</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Heading5"/>
        <w:spacing w:line="240" w:lineRule="auto"/>
        <w:ind w:left="572" w:right="986"/>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72" w:right="986"/>
        <w:jc w:val="left"/>
      </w:pPr>
      <w:r>
        <w:rPr/>
        <w:t>在下列两者孰早日确认辞退福利产生的职工薪酬负债，并计入当期损益：</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1</w:t>
      </w:r>
      <w:r>
        <w:rPr/>
        <w:t>）企业不能单方面撤回因解除劳动关系计划或裁减建议所提供的辞退福利时；</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2" w:right="986"/>
        <w:jc w:val="left"/>
      </w:pPr>
      <w:r>
        <w:rPr/>
        <w:t>（</w:t>
      </w:r>
      <w:r>
        <w:rPr>
          <w:rFonts w:ascii="宋体" w:hAnsi="宋体" w:cs="宋体" w:eastAsia="宋体" w:hint="default"/>
        </w:rPr>
        <w:t>2</w:t>
      </w:r>
      <w:r>
        <w:rPr/>
        <w:t>）企业确认与涉及支付辞退福利的重组相关的成本或费用时。</w:t>
      </w:r>
    </w:p>
    <w:p>
      <w:pPr>
        <w:spacing w:line="240" w:lineRule="auto" w:before="0"/>
        <w:rPr>
          <w:rFonts w:ascii="宋体" w:hAnsi="宋体" w:cs="宋体" w:eastAsia="宋体" w:hint="default"/>
          <w:sz w:val="15"/>
          <w:szCs w:val="15"/>
        </w:rPr>
      </w:pPr>
    </w:p>
    <w:p>
      <w:pPr>
        <w:pStyle w:val="BodyText"/>
        <w:spacing w:line="316" w:lineRule="auto"/>
        <w:ind w:right="1135" w:firstLine="419"/>
        <w:jc w:val="both"/>
      </w:pPr>
      <w:r>
        <w:rPr/>
        <w:t>辞退福利预期在其确认的年度报告期结束后十二个月内完全支付的，适用短期薪酬的相关规定；辞退福利预期在年度 报告期结束后十二个月内不能完全支付的，适用其他长期职工福利的有关规定。</w:t>
      </w:r>
    </w:p>
    <w:p>
      <w:pPr>
        <w:pStyle w:val="Heading5"/>
        <w:spacing w:line="240" w:lineRule="auto" w:before="139"/>
        <w:ind w:left="572" w:right="986"/>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09" w:lineRule="auto"/>
        <w:ind w:right="1130" w:firstLine="420"/>
        <w:jc w:val="both"/>
      </w:pPr>
      <w:r>
        <w:rPr>
          <w:spacing w:val="-1"/>
        </w:rPr>
        <w:t>其他长期职工福利，符合设定提存计划条件的，根据上述</w:t>
      </w:r>
      <w:r>
        <w:rPr>
          <w:rFonts w:ascii="Times New Roman" w:hAnsi="Times New Roman" w:cs="Times New Roman" w:eastAsia="Times New Roman" w:hint="default"/>
          <w:spacing w:val="-1"/>
        </w:rPr>
        <w:t>2</w:t>
      </w:r>
      <w:r>
        <w:rPr>
          <w:spacing w:val="-1"/>
        </w:rPr>
        <w:t>、处理。不符合设定提存计划的，适用关于设定受益计划的</w:t>
      </w:r>
      <w:r>
        <w:rPr/>
        <w:t> </w:t>
      </w:r>
      <w:r>
        <w:rPr>
          <w:spacing w:val="-2"/>
        </w:rPr>
        <w:t>有关规定，确认和计量其他长期职工福利净负债或净资产。在报告期末，将其他长期职工福利中的服务成本、净负债或净资</w:t>
      </w:r>
      <w:r>
        <w:rPr>
          <w:spacing w:val="-65"/>
        </w:rPr>
        <w:t> </w:t>
      </w:r>
      <w:r>
        <w:rPr>
          <w:spacing w:val="-65"/>
        </w:rPr>
      </w:r>
      <w:r>
        <w:rPr/>
        <w:t>产的利息净额、重新计量其他长期职工福利净负债或净资产所产生的变动的总净额计入当期损益或相关资产成本。</w:t>
      </w:r>
    </w:p>
    <w:p>
      <w:pPr>
        <w:spacing w:line="240" w:lineRule="auto" w:before="0"/>
        <w:rPr>
          <w:rFonts w:ascii="宋体" w:hAnsi="宋体" w:cs="宋体" w:eastAsia="宋体" w:hint="default"/>
          <w:sz w:val="23"/>
          <w:szCs w:val="23"/>
        </w:rPr>
      </w:pPr>
    </w:p>
    <w:p>
      <w:pPr>
        <w:pStyle w:val="Heading4"/>
        <w:spacing w:line="240" w:lineRule="auto"/>
        <w:ind w:right="0"/>
        <w:jc w:val="both"/>
        <w:rPr>
          <w:b w:val="0"/>
          <w:bCs w:val="0"/>
        </w:rPr>
      </w:pPr>
      <w:bookmarkStart w:name="25、预计负债" w:id="202"/>
      <w:bookmarkEnd w:id="20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5" w:firstLine="419"/>
        <w:jc w:val="both"/>
      </w:pPr>
      <w:r>
        <w:rPr/>
        <w:t>涉及诉讼、债务担保、亏损合同、重组事项时，如该等事项很可能需要未来以交付资产或提供劳务、其金额能够可靠 计量的，确认为预计负债。</w:t>
      </w:r>
    </w:p>
    <w:p>
      <w:pPr>
        <w:pStyle w:val="BodyText"/>
        <w:spacing w:line="316" w:lineRule="auto" w:before="139"/>
        <w:ind w:right="1130" w:firstLine="419"/>
        <w:jc w:val="both"/>
      </w:pPr>
      <w:r>
        <w:rPr/>
        <w:t>预计负债按照履行相关现时义务所需支出的最佳估计数进行初始计量，并综合考虑与或有事项有关的风险、不确定性 </w:t>
      </w:r>
      <w:r>
        <w:rPr>
          <w:spacing w:val="-2"/>
        </w:rPr>
        <w:t>和货币时间价值等因素。货币时间价值影响重大的，通过对相关未来现金流出进行折现后确定最佳估计数；因随着时间推移</w:t>
      </w:r>
      <w:r>
        <w:rPr>
          <w:spacing w:val="-63"/>
        </w:rPr>
        <w:t> </w:t>
      </w:r>
      <w:r>
        <w:rPr>
          <w:spacing w:val="-63"/>
        </w:rPr>
      </w:r>
      <w:r>
        <w:rPr/>
        <w:t>所进行的折现还原而导致的预计负债账面价值的增加金额，确认为利息费用。</w:t>
      </w:r>
    </w:p>
    <w:p>
      <w:pPr>
        <w:pStyle w:val="BodyText"/>
        <w:spacing w:line="240" w:lineRule="auto" w:before="139"/>
        <w:ind w:left="572" w:right="986"/>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6、 股份支付" w:id="203"/>
      <w:bookmarkEnd w:id="203"/>
      <w:r>
        <w:rPr>
          <w:b w:val="0"/>
          <w:bCs w:val="0"/>
        </w:rPr>
      </w:r>
      <w:r>
        <w:rPr>
          <w:rFonts w:ascii="Times New Roman" w:hAnsi="Times New Roman" w:cs="Times New Roman" w:eastAsia="Times New Roman" w:hint="default"/>
        </w:rPr>
        <w:t>26</w:t>
      </w:r>
      <w:r>
        <w:rPr/>
        <w:t>、</w:t>
      </w:r>
      <w:r>
        <w:rPr>
          <w:spacing w:val="-82"/>
        </w:rPr>
        <w:t> </w:t>
      </w:r>
      <w:r>
        <w:rPr/>
        <w:t>股份支付</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left="572" w:right="986"/>
        <w:jc w:val="left"/>
        <w:rPr>
          <w:rFonts w:ascii="宋体" w:hAnsi="宋体" w:cs="宋体" w:eastAsia="宋体" w:hint="default"/>
          <w:b w:val="0"/>
          <w:bCs w:val="0"/>
        </w:rPr>
      </w:pPr>
      <w:r>
        <w:rPr>
          <w:rFonts w:ascii="宋体" w:hAnsi="宋体" w:cs="宋体" w:eastAsia="宋体" w:hint="default"/>
        </w:rPr>
        <w:t>1.</w:t>
      </w:r>
      <w:r>
        <w:rPr/>
        <w:t>股份支付的种类及会计处理</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35" w:firstLine="419"/>
        <w:jc w:val="both"/>
      </w:pPr>
      <w:r>
        <w:rPr/>
        <w:t>股份支付是公司为了获取职工提供服务而授予权益工具或者承担以权益工具为基础确定的负债的交易。股份支付分为 以权益结算的股份支付和以现金结算的股份支付。</w:t>
      </w:r>
    </w:p>
    <w:p>
      <w:pPr>
        <w:pStyle w:val="BodyText"/>
        <w:spacing w:line="432" w:lineRule="exact" w:before="3"/>
        <w:ind w:left="512" w:right="986"/>
        <w:jc w:val="left"/>
      </w:pPr>
      <w:r>
        <w:rPr/>
        <w:t>（</w:t>
      </w:r>
      <w:r>
        <w:rPr>
          <w:rFonts w:ascii="宋体" w:hAnsi="宋体" w:cs="宋体" w:eastAsia="宋体" w:hint="default"/>
        </w:rPr>
        <w:t>1</w:t>
      </w:r>
      <w:r>
        <w:rPr/>
        <w:t>）以权益结算的股份支付 </w:t>
      </w:r>
      <w:r>
        <w:rPr>
          <w:spacing w:val="-2"/>
        </w:rPr>
        <w:t>股票期权计划为用以换取职工提供服务的权益结算的股份支付，以授予职工的权益工具在授予日的公允价值计量。在完</w:t>
      </w:r>
    </w:p>
    <w:p>
      <w:pPr>
        <w:pStyle w:val="BodyText"/>
        <w:spacing w:line="316" w:lineRule="auto" w:before="15"/>
        <w:ind w:right="1133"/>
        <w:jc w:val="both"/>
      </w:pPr>
      <w:r>
        <w:rPr>
          <w:spacing w:val="-2"/>
        </w:rPr>
        <w:t>成等待期内的服务或达到规定业绩条件才可行权，在等待期内以对可行权权益工具数量的最佳估计为基础，按照权益工具授</w:t>
      </w:r>
      <w:r>
        <w:rPr>
          <w:spacing w:val="-64"/>
        </w:rPr>
        <w:t> </w:t>
      </w:r>
      <w:r>
        <w:rPr>
          <w:spacing w:val="-64"/>
        </w:rPr>
      </w:r>
      <w:r>
        <w:rPr/>
        <w:t>予日的公允价值，将当期取得的服务计入相关成本或费用，相应增加资本公积。</w:t>
      </w:r>
    </w:p>
    <w:p>
      <w:pPr>
        <w:pStyle w:val="BodyText"/>
        <w:spacing w:line="432" w:lineRule="exact" w:before="3"/>
        <w:ind w:left="572" w:right="986"/>
        <w:jc w:val="left"/>
      </w:pPr>
      <w:r>
        <w:rPr/>
        <w:t>（</w:t>
      </w:r>
      <w:r>
        <w:rPr>
          <w:rFonts w:ascii="宋体" w:hAnsi="宋体" w:cs="宋体" w:eastAsia="宋体" w:hint="default"/>
        </w:rPr>
        <w:t>2</w:t>
      </w:r>
      <w:r>
        <w:rPr/>
        <w:t>）以现金结算的股份支付 股票增值权计划为以现金结算的股份支付，按照公司承担的以本公司股份数量为基础确定的负债的公允价值计量。该</w:t>
      </w:r>
    </w:p>
    <w:p>
      <w:pPr>
        <w:pStyle w:val="BodyText"/>
        <w:spacing w:line="316" w:lineRule="auto" w:before="15"/>
        <w:ind w:right="1130"/>
        <w:jc w:val="both"/>
      </w:pPr>
      <w:r>
        <w:rPr>
          <w:spacing w:val="-2"/>
        </w:rPr>
        <w:t>以现金结算的股份支付须完成等待期内的服务或达到规定业绩条件以后才可行权，在等待期的每个资产负债表日以对可行权</w:t>
      </w:r>
      <w:r>
        <w:rPr>
          <w:spacing w:val="-64"/>
        </w:rPr>
        <w:t> </w:t>
      </w:r>
      <w:r>
        <w:rPr>
          <w:spacing w:val="-64"/>
        </w:rPr>
      </w:r>
      <w:r>
        <w:rPr>
          <w:spacing w:val="-2"/>
        </w:rPr>
        <w:t>情况的最佳估计为基础，按照公司承担负债的公允价值金额，将当期取得的服务计入成本或费用，相应增加负债。在相关负</w:t>
      </w:r>
      <w:r>
        <w:rPr>
          <w:spacing w:val="-64"/>
        </w:rPr>
        <w:t> </w:t>
      </w:r>
      <w:r>
        <w:rPr>
          <w:spacing w:val="-64"/>
        </w:rPr>
      </w:r>
      <w:r>
        <w:rPr/>
        <w:t>债结算前的每个资产负债表日以及结算日，对负债的公允价值重新计量，其变动计入当期损益。</w:t>
      </w:r>
    </w:p>
    <w:p>
      <w:pPr>
        <w:pStyle w:val="Heading5"/>
        <w:spacing w:line="240" w:lineRule="auto" w:before="139"/>
        <w:ind w:left="572" w:right="986"/>
        <w:jc w:val="left"/>
        <w:rPr>
          <w:rFonts w:ascii="宋体" w:hAnsi="宋体" w:cs="宋体" w:eastAsia="宋体" w:hint="default"/>
          <w:b w:val="0"/>
          <w:bCs w:val="0"/>
        </w:rPr>
      </w:pPr>
      <w:r>
        <w:rPr>
          <w:rFonts w:ascii="宋体" w:hAnsi="宋体" w:cs="宋体" w:eastAsia="宋体" w:hint="default"/>
        </w:rPr>
        <w:t>2.</w:t>
      </w:r>
      <w:r>
        <w:rPr/>
        <w:t>权益工具公允价值的确定方法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30" w:firstLine="360"/>
        <w:jc w:val="both"/>
      </w:pPr>
      <w:r>
        <w:rPr>
          <w:spacing w:val="-2"/>
        </w:rPr>
        <w:t>对于授予职工的股份，其公允价值按公司股份的市场价格计量，同时考虑授予股份所依据的条款和条件（不包括市场条</w:t>
      </w:r>
      <w:r>
        <w:rPr/>
        <w:t> 件之外的可行权条件）进行调整。</w:t>
      </w:r>
    </w:p>
    <w:p>
      <w:pPr>
        <w:pStyle w:val="BodyText"/>
        <w:spacing w:line="240" w:lineRule="auto" w:before="139"/>
        <w:ind w:left="512" w:right="986"/>
        <w:jc w:val="left"/>
      </w:pPr>
      <w:r>
        <w:rPr/>
        <w:t>对于授予职工的股票期权，通过期权定价模型估计所授予的期权的公允价值。</w:t>
      </w:r>
    </w:p>
    <w:p>
      <w:pPr>
        <w:spacing w:line="430" w:lineRule="atLeast" w:before="2"/>
        <w:ind w:left="512" w:right="986"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在等待期内每个资产负债表日，根据最新取得的可行权职工人数变动等后续信息做出最佳估计，修正预计可行权的权益</w:t>
      </w:r>
    </w:p>
    <w:p>
      <w:pPr>
        <w:pStyle w:val="BodyText"/>
        <w:spacing w:line="240" w:lineRule="auto" w:before="76"/>
        <w:ind w:right="0"/>
        <w:jc w:val="both"/>
      </w:pPr>
      <w:r>
        <w:rPr/>
        <w:t>工具数量。</w:t>
      </w:r>
    </w:p>
    <w:p>
      <w:pPr>
        <w:spacing w:after="0" w:line="240" w:lineRule="auto"/>
        <w:jc w:val="both"/>
        <w:sectPr>
          <w:footerReference w:type="default" r:id="rId18"/>
          <w:pgSz w:w="11910" w:h="16840"/>
          <w:pgMar w:footer="977" w:header="748" w:top="1060" w:bottom="1160" w:left="980" w:right="0"/>
          <w:pgNumType w:start="110"/>
        </w:sectPr>
      </w:pPr>
    </w:p>
    <w:p>
      <w:pPr>
        <w:spacing w:line="240" w:lineRule="auto" w:before="9"/>
        <w:rPr>
          <w:rFonts w:ascii="宋体" w:hAnsi="宋体" w:cs="宋体" w:eastAsia="宋体" w:hint="default"/>
          <w:sz w:val="25"/>
          <w:szCs w:val="25"/>
        </w:rPr>
      </w:pPr>
    </w:p>
    <w:p>
      <w:pPr>
        <w:pStyle w:val="Heading5"/>
        <w:spacing w:line="240" w:lineRule="auto" w:before="44"/>
        <w:ind w:left="572" w:right="986"/>
        <w:jc w:val="left"/>
        <w:rPr>
          <w:b w:val="0"/>
          <w:bCs w:val="0"/>
        </w:rPr>
      </w:pPr>
      <w:r>
        <w:rPr>
          <w:rFonts w:ascii="宋体" w:hAnsi="宋体" w:cs="宋体" w:eastAsia="宋体" w:hint="default"/>
        </w:rPr>
        <w:t>4.</w:t>
      </w:r>
      <w:r>
        <w:rPr/>
        <w:t>修改和终止股份支付计划的处理</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135" w:firstLine="419"/>
        <w:jc w:val="both"/>
      </w:pPr>
      <w:r>
        <w:rPr/>
        <w:t>如果股份支付计划的修改增加了所授予的权益工具的公允价值，应按照权益工具公允价值的增加相应地确认取得服务 的增加。</w:t>
      </w:r>
    </w:p>
    <w:p>
      <w:pPr>
        <w:pStyle w:val="BodyText"/>
        <w:spacing w:line="316" w:lineRule="auto" w:before="139"/>
        <w:ind w:right="1135" w:firstLine="419"/>
        <w:jc w:val="both"/>
      </w:pPr>
      <w:r>
        <w:rPr/>
        <w:t>如果股份支付计划的修改增加了所授予的权益工具的数量，应将增加的权益工具的公允价值相应地确认为取得服务的 增加。</w:t>
      </w:r>
    </w:p>
    <w:p>
      <w:pPr>
        <w:pStyle w:val="BodyText"/>
        <w:spacing w:line="316" w:lineRule="auto" w:before="139"/>
        <w:ind w:right="1135" w:firstLine="419"/>
        <w:jc w:val="both"/>
      </w:pPr>
      <w:r>
        <w:rPr/>
        <w:t>如果按照有利于职工的方式修改可行权条件，如缩短等待期、变更或取消业绩条件（而非市场条件），公司在处理可 行权条件时，考虑修改后的可行权条件。</w:t>
      </w:r>
    </w:p>
    <w:p>
      <w:pPr>
        <w:pStyle w:val="BodyText"/>
        <w:spacing w:line="316" w:lineRule="auto" w:before="139"/>
        <w:ind w:right="1135" w:firstLine="419"/>
        <w:jc w:val="both"/>
      </w:pPr>
      <w:r>
        <w:rPr/>
        <w:t>如果以减少股份支付公允价值总额的方式或其他不利于职工的方式修改条款和条件，仍应继续对取得的服务进行会计 处理，如同该变更从未发生，除非取消了部分或全部已授予的权益工具。</w:t>
      </w:r>
    </w:p>
    <w:p>
      <w:pPr>
        <w:pStyle w:val="BodyText"/>
        <w:spacing w:line="316" w:lineRule="auto" w:before="139"/>
        <w:ind w:right="1130" w:firstLine="419"/>
        <w:jc w:val="both"/>
      </w:pPr>
      <w:r>
        <w:rPr/>
        <w:t>在等待期内如果取消了授予的权益工具，对取消所授予的权益性工具作为加速行权处理，剩余等待期内应确认的金额 </w:t>
      </w:r>
      <w:r>
        <w:rPr>
          <w:spacing w:val="-2"/>
        </w:rPr>
        <w:t>立即计入当期损益，同时确认资本公积。职工或其他方能够选择满足非可行权条件但在等待期内未满足的，将其作为授予权</w:t>
      </w:r>
      <w:r>
        <w:rPr>
          <w:spacing w:val="-63"/>
        </w:rPr>
        <w:t> </w:t>
      </w:r>
      <w:r>
        <w:rPr>
          <w:spacing w:val="-63"/>
        </w:rPr>
      </w:r>
      <w:r>
        <w:rPr/>
        <w:t>益工具的取消处理。</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27、优先股、永续债等其他金融工具" w:id="204"/>
      <w:bookmarkEnd w:id="20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4" w:firstLine="419"/>
        <w:jc w:val="both"/>
      </w:pPr>
      <w:r>
        <w:rPr>
          <w:spacing w:val="-1"/>
        </w:rPr>
        <w:t>公司发行的优先股或永续债根据所发行金融工具的合同条款及其所反映的经济实质，结合金融负债和权益工具的定义，</w:t>
      </w:r>
      <w:r>
        <w:rPr/>
        <w:t> 在初始确认时将其分类为金融负债或权益工具。</w:t>
      </w:r>
    </w:p>
    <w:p>
      <w:pPr>
        <w:pStyle w:val="BodyText"/>
        <w:spacing w:line="316" w:lineRule="auto" w:before="139"/>
        <w:ind w:right="1044" w:firstLine="419"/>
        <w:jc w:val="both"/>
      </w:pPr>
      <w:r>
        <w:rPr>
          <w:spacing w:val="-2"/>
        </w:rPr>
        <w:t>优先股或永续债属于金融负债的，相关利息、股利（或股息）、利得或损失，以及赎回或再融资产生的利得或损失等，</w:t>
      </w:r>
      <w:r>
        <w:rPr/>
        <w:t> 计入当期损益。</w:t>
      </w:r>
    </w:p>
    <w:p>
      <w:pPr>
        <w:pStyle w:val="BodyText"/>
        <w:spacing w:line="316" w:lineRule="auto" w:before="139"/>
        <w:ind w:right="1135" w:firstLine="419"/>
        <w:jc w:val="both"/>
      </w:pPr>
      <w:r>
        <w:rPr/>
        <w:t>优先股或永续债属于权益工具的，其发行（含再融资）、回购、出售或注销时，作为权益的变动处理。对权益工具持 有方的分配应作利润分配处理，发放的股票股利不影响所有者权益总额。</w:t>
      </w:r>
    </w:p>
    <w:p>
      <w:pPr>
        <w:pStyle w:val="BodyText"/>
        <w:spacing w:line="316" w:lineRule="auto" w:before="139"/>
        <w:ind w:right="1135" w:firstLine="419"/>
        <w:jc w:val="both"/>
      </w:pPr>
      <w:r>
        <w:rPr/>
        <w:t>与权益性交易相关的交易费用从权益中扣减。交易费用，是指可直接归属于购买、发行或处置优先股或永续债的增量 费用。增量费用，是指企业不购买、发行或处置金融工具就不会发生的费用。</w:t>
      </w:r>
    </w:p>
    <w:p>
      <w:pPr>
        <w:pStyle w:val="BodyText"/>
        <w:spacing w:line="316" w:lineRule="auto" w:before="139"/>
        <w:ind w:right="1051" w:firstLine="420"/>
        <w:jc w:val="both"/>
      </w:pPr>
      <w:r>
        <w:rPr/>
        <w:t>发行或取得自身权益工具时发生的交易费用（例如登记费，承销费，法律、会计、评估及其他专业服务费用，印刷成 本和印花税等），可直接归属于权益性交易的，从权益中扣减。终止的未完成权益性交易所发生的交易费用计入当期损益。</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28、收入" w:id="205"/>
      <w:bookmarkEnd w:id="205"/>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参照披露</w:t>
      </w:r>
    </w:p>
    <w:p>
      <w:pPr>
        <w:pStyle w:val="BodyText"/>
        <w:spacing w:line="240" w:lineRule="auto" w:before="25"/>
        <w:ind w:right="986"/>
        <w:jc w:val="left"/>
      </w:pPr>
      <w:r>
        <w:rPr/>
        <w:t>软件与信息技术服务业</w:t>
      </w:r>
    </w:p>
    <w:p>
      <w:pPr>
        <w:pStyle w:val="BodyText"/>
        <w:spacing w:line="240" w:lineRule="auto" w:before="117"/>
        <w:ind w:right="98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spacing w:line="439" w:lineRule="auto" w:before="0"/>
        <w:ind w:left="512" w:right="986" w:firstLine="60"/>
        <w:jc w:val="left"/>
        <w:rPr>
          <w:rFonts w:ascii="宋体" w:hAnsi="宋体" w:cs="宋体" w:eastAsia="宋体" w:hint="default"/>
          <w:sz w:val="18"/>
          <w:szCs w:val="18"/>
        </w:rPr>
      </w:pPr>
      <w:r>
        <w:rPr>
          <w:rFonts w:ascii="宋体" w:hAnsi="宋体" w:cs="宋体" w:eastAsia="宋体" w:hint="default"/>
          <w:spacing w:val="-2"/>
          <w:sz w:val="18"/>
          <w:szCs w:val="18"/>
        </w:rPr>
        <w:t>政府补助，是公司从政府无偿取得货币性资产或非货币性资产。分为与资产相关的政府补助和与收益相关的政府补助。</w:t>
      </w:r>
      <w:r>
        <w:rPr>
          <w:rFonts w:ascii="宋体" w:hAnsi="宋体" w:cs="宋体" w:eastAsia="宋体" w:hint="default"/>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与资产相关的政府补助判断依据及会计处理方法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z w:val="18"/>
          <w:szCs w:val="18"/>
        </w:rPr>
        <w:t>公司取得的、用于购建或以其他方式形成长期资产的政府补助作为与资产相关的政府补助。</w:t>
      </w:r>
    </w:p>
    <w:p>
      <w:pPr>
        <w:pStyle w:val="BodyText"/>
        <w:spacing w:line="316" w:lineRule="auto" w:before="47"/>
        <w:ind w:left="512" w:right="986"/>
        <w:jc w:val="left"/>
      </w:pPr>
      <w:r>
        <w:rPr>
          <w:spacing w:val="-2"/>
        </w:rPr>
        <w:t>与资产相关的政府补助，确认为递延收益，并在相关资产使用寿命内按照合理、系统的方法分期计入损益。按照名义金</w:t>
      </w:r>
      <w:r>
        <w:rPr>
          <w:spacing w:val="-71"/>
        </w:rPr>
        <w:t> </w:t>
      </w:r>
      <w:r>
        <w:rPr>
          <w:spacing w:val="-71"/>
        </w:rPr>
      </w:r>
      <w:r>
        <w:rPr/>
        <w:t>额计量的政府补助，直接计入当期损益。</w:t>
      </w:r>
    </w:p>
    <w:p>
      <w:pPr>
        <w:spacing w:after="0" w:line="316"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3" w:firstLine="360"/>
        <w:jc w:val="both"/>
      </w:pPr>
      <w:r>
        <w:rPr>
          <w:spacing w:val="-2"/>
        </w:rPr>
        <w:t>相关资产在使用寿命结束前被出售、转让、报废或发生毁损的，将尚未分配的相关递延收益余额转入资产处置当期的损</w:t>
      </w:r>
      <w:r>
        <w:rPr/>
        <w:t> 益。</w:t>
      </w:r>
    </w:p>
    <w:p>
      <w:pPr>
        <w:spacing w:line="439" w:lineRule="auto" w:before="139"/>
        <w:ind w:left="572" w:right="986"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与收益相关的政府补助判断依据及会计处理方法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公司取得的与资产相关之外的其他政府补助作为与收益相关的政府补助。与收益相关的政府补助，分别下列情况处理：</w:t>
      </w:r>
    </w:p>
    <w:p>
      <w:pPr>
        <w:pStyle w:val="BodyText"/>
        <w:spacing w:line="316" w:lineRule="auto" w:before="47"/>
        <w:ind w:right="1140" w:firstLine="360"/>
        <w:jc w:val="both"/>
      </w:pPr>
      <w:r>
        <w:rPr/>
        <w:t>（</w:t>
      </w:r>
      <w:r>
        <w:rPr>
          <w:rFonts w:ascii="宋体" w:hAnsi="宋体" w:cs="宋体" w:eastAsia="宋体" w:hint="default"/>
        </w:rPr>
        <w:t>1</w:t>
      </w:r>
      <w:r>
        <w:rPr/>
        <w:t>）用于补偿公司以后期间的相关成本费用或损失的，确认为递延收益，并在确认相关成本费用或损失的期间，计入 当期损益。</w:t>
      </w:r>
    </w:p>
    <w:p>
      <w:pPr>
        <w:pStyle w:val="BodyText"/>
        <w:spacing w:line="432" w:lineRule="exact" w:before="3"/>
        <w:ind w:left="440" w:right="986" w:firstLine="72"/>
        <w:jc w:val="left"/>
      </w:pPr>
      <w:r>
        <w:rPr/>
        <w:t>（</w:t>
      </w:r>
      <w:r>
        <w:rPr>
          <w:rFonts w:ascii="宋体" w:hAnsi="宋体" w:cs="宋体" w:eastAsia="宋体" w:hint="default"/>
        </w:rPr>
        <w:t>2</w:t>
      </w:r>
      <w:r>
        <w:rPr/>
        <w:t>）用于补偿公司已发生的相关成本费用或损失的，直接计入当期损益。 </w:t>
      </w:r>
      <w:r>
        <w:rPr>
          <w:spacing w:val="-1"/>
        </w:rPr>
        <w:t>对于同时包含与资产相关部分和与收益相关部分的政府补助，区分不同部分分别进行会计处理；难以区分的，整体归类</w:t>
      </w:r>
    </w:p>
    <w:p>
      <w:pPr>
        <w:pStyle w:val="BodyText"/>
        <w:spacing w:line="240" w:lineRule="auto" w:before="15"/>
        <w:ind w:right="986"/>
        <w:jc w:val="left"/>
      </w:pPr>
      <w:r>
        <w:rPr/>
        <w:t>为与收益相关的政府补助。</w:t>
      </w:r>
    </w:p>
    <w:p>
      <w:pPr>
        <w:spacing w:line="240" w:lineRule="auto" w:before="0"/>
        <w:rPr>
          <w:rFonts w:ascii="宋体" w:hAnsi="宋体" w:cs="宋体" w:eastAsia="宋体" w:hint="default"/>
          <w:sz w:val="15"/>
          <w:szCs w:val="15"/>
        </w:rPr>
      </w:pPr>
    </w:p>
    <w:p>
      <w:pPr>
        <w:pStyle w:val="BodyText"/>
        <w:spacing w:line="316" w:lineRule="auto"/>
        <w:ind w:right="1135" w:firstLine="419"/>
        <w:jc w:val="both"/>
      </w:pPr>
      <w:r>
        <w:rPr/>
        <w:t>与公司日常活动相关的政府补助，按照经济业务实质，计入其他收益。与公司日常活动无关的政府补助，计入营业外 收支。</w:t>
      </w:r>
    </w:p>
    <w:p>
      <w:pPr>
        <w:pStyle w:val="Heading5"/>
        <w:spacing w:line="240" w:lineRule="auto" w:before="139"/>
        <w:ind w:left="572" w:right="986"/>
        <w:jc w:val="left"/>
        <w:rPr>
          <w:b w:val="0"/>
          <w:bCs w:val="0"/>
        </w:rPr>
      </w:pPr>
      <w:r>
        <w:rPr>
          <w:rFonts w:ascii="宋体" w:hAnsi="宋体" w:cs="宋体" w:eastAsia="宋体" w:hint="default"/>
        </w:rPr>
        <w:t>3.</w:t>
      </w:r>
      <w:r>
        <w:rPr/>
        <w:t>政策性优惠贷款贴息的会计处理</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140" w:firstLine="360"/>
        <w:jc w:val="both"/>
      </w:pPr>
      <w:r>
        <w:rPr/>
        <w:t>（</w:t>
      </w:r>
      <w:r>
        <w:rPr>
          <w:rFonts w:ascii="Times New Roman" w:hAnsi="Times New Roman" w:cs="Times New Roman" w:eastAsia="Times New Roman" w:hint="default"/>
        </w:rPr>
        <w:t>1</w:t>
      </w:r>
      <w:r>
        <w:rPr/>
        <w:t>）财政将贴息资金拨付给贷款银行，由贷款银行以政策性优惠利率向公司提供贷款的，以实际收到的借款金额作为 借款的入账价值，按照借款本金和该政策性优惠利率计算相关借款费用。</w:t>
      </w:r>
    </w:p>
    <w:p>
      <w:pPr>
        <w:pStyle w:val="BodyText"/>
        <w:spacing w:line="432" w:lineRule="exact" w:before="16"/>
        <w:ind w:left="572" w:right="986" w:hanging="61"/>
        <w:jc w:val="left"/>
      </w:pPr>
      <w:r>
        <w:rPr/>
        <w:t>（</w:t>
      </w:r>
      <w:r>
        <w:rPr>
          <w:rFonts w:ascii="Times New Roman" w:hAnsi="Times New Roman" w:cs="Times New Roman" w:eastAsia="Times New Roman" w:hint="default"/>
        </w:rPr>
        <w:t>2</w:t>
      </w:r>
      <w:r>
        <w:rPr/>
        <w:t>）财政将贴息资金直接拨付给公司，公司将对应的贴息冲减相关借款费用。 政府补助在实际收到款项时按照到账的实际金额确认和计量。只有存在确凿证据表明该项补助是按照固定的定额标准</w:t>
      </w:r>
    </w:p>
    <w:p>
      <w:pPr>
        <w:pStyle w:val="BodyText"/>
        <w:spacing w:line="316" w:lineRule="auto" w:before="15"/>
        <w:ind w:right="986"/>
        <w:jc w:val="left"/>
      </w:pPr>
      <w:r>
        <w:rPr>
          <w:spacing w:val="-2"/>
        </w:rPr>
        <w:t>拨付的以及有确凿证据表明能够符合财政扶持政策规定的相关条件且预计能够收到财政扶持资金时，可以按应收金额予以确</w:t>
      </w:r>
      <w:r>
        <w:rPr>
          <w:spacing w:val="-64"/>
        </w:rPr>
        <w:t> </w:t>
      </w:r>
      <w:r>
        <w:rPr>
          <w:spacing w:val="-64"/>
        </w:rPr>
      </w:r>
      <w:r>
        <w:rPr/>
        <w:t>认和计量。</w:t>
      </w:r>
    </w:p>
    <w:p>
      <w:pPr>
        <w:pStyle w:val="BodyText"/>
        <w:spacing w:line="316" w:lineRule="auto" w:before="139"/>
        <w:ind w:right="1135" w:firstLine="419"/>
        <w:jc w:val="both"/>
      </w:pPr>
      <w:r>
        <w:rPr/>
        <w:t>已确认的政府补助需要退回的，公司在需要退回的当期进行会计处理，存在相关递延收益的，冲减相关递延收益账面 余额，超出部分计入当期损益。</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19"/>
        <w:jc w:val="both"/>
      </w:pPr>
      <w:r>
        <w:rPr/>
        <w:t>对于某些资产、负债项目的账面价值与其计税基础之间的差额，以及未作为资产和负债确认但按照税法规定可以确定 </w:t>
      </w:r>
      <w:r>
        <w:rPr>
          <w:spacing w:val="-2"/>
        </w:rPr>
        <w:t>其计税基础的项目的账面价值与计税基础之间的差额产生的暂时性差异，采用资产负债表债务法确认递延所得税资产及递延</w:t>
      </w:r>
      <w:r>
        <w:rPr>
          <w:spacing w:val="-64"/>
        </w:rPr>
        <w:t> </w:t>
      </w:r>
      <w:r>
        <w:rPr>
          <w:spacing w:val="-64"/>
        </w:rPr>
      </w:r>
      <w:r>
        <w:rPr/>
        <w:t>所得税负债。</w:t>
      </w:r>
    </w:p>
    <w:p>
      <w:pPr>
        <w:pStyle w:val="BodyText"/>
        <w:spacing w:line="312" w:lineRule="auto" w:before="139"/>
        <w:ind w:right="1133" w:firstLine="419"/>
        <w:jc w:val="both"/>
      </w:pPr>
      <w:r>
        <w:rPr/>
        <w:t>一般情况下所有暂时性差异均确认相关的递延所得税。但对于可抵扣暂时性差异，以很可能取得用来抵扣可抵扣暂时 </w:t>
      </w:r>
      <w:r>
        <w:rPr>
          <w:spacing w:val="-2"/>
        </w:rPr>
        <w:t>性差异的应纳税所得额为限，确认相关的递延所得税资产。此外，与商誉的初始确认相关的，以及与既不是企业合并、发生</w:t>
      </w:r>
      <w:r>
        <w:rPr>
          <w:spacing w:val="-67"/>
        </w:rPr>
        <w:t> </w:t>
      </w:r>
      <w:r>
        <w:rPr>
          <w:spacing w:val="-67"/>
        </w:rPr>
      </w:r>
      <w:r>
        <w:rPr>
          <w:spacing w:val="-1"/>
        </w:rPr>
        <w:t>时也不影响会计利润和应纳税所得额</w:t>
      </w:r>
      <w:r>
        <w:rPr>
          <w:rFonts w:ascii="Times New Roman" w:hAnsi="Times New Roman" w:cs="Times New Roman" w:eastAsia="Times New Roman" w:hint="default"/>
          <w:spacing w:val="-1"/>
        </w:rPr>
        <w:t>(</w:t>
      </w:r>
      <w:r>
        <w:rPr>
          <w:spacing w:val="-1"/>
        </w:rPr>
        <w:t>或可抵扣亏损</w:t>
      </w:r>
      <w:r>
        <w:rPr>
          <w:rFonts w:ascii="Times New Roman" w:hAnsi="Times New Roman" w:cs="Times New Roman" w:eastAsia="Times New Roman" w:hint="default"/>
          <w:spacing w:val="-1"/>
        </w:rPr>
        <w:t>)</w:t>
      </w:r>
      <w:r>
        <w:rPr>
          <w:spacing w:val="-1"/>
        </w:rPr>
        <w:t>的交易中产生的资产或负债的初始确认有关的暂时性差异，不予确认有</w:t>
      </w:r>
      <w:r>
        <w:rPr>
          <w:spacing w:val="-57"/>
        </w:rPr>
        <w:t> </w:t>
      </w:r>
      <w:r>
        <w:rPr>
          <w:spacing w:val="-57"/>
        </w:rPr>
      </w:r>
      <w:r>
        <w:rPr/>
        <w:t>关的递延所得税资产或负债。</w:t>
      </w:r>
    </w:p>
    <w:p>
      <w:pPr>
        <w:pStyle w:val="BodyText"/>
        <w:spacing w:line="316" w:lineRule="auto" w:before="142"/>
        <w:ind w:right="1135" w:firstLine="419"/>
        <w:jc w:val="both"/>
      </w:pPr>
      <w:r>
        <w:rPr/>
        <w:t>对于能够结转以后年度的可抵扣亏损及税款抵减，以很可能获得用来抵扣可抵扣亏损和税款抵减的未来应纳税所得额 为限，确认相应的递延所得税资产。</w:t>
      </w:r>
    </w:p>
    <w:p>
      <w:pPr>
        <w:pStyle w:val="BodyText"/>
        <w:spacing w:line="316" w:lineRule="auto" w:before="139"/>
        <w:ind w:right="1133" w:firstLine="419"/>
        <w:jc w:val="both"/>
      </w:pPr>
      <w:r>
        <w:rPr/>
        <w:t>确认与子公司、联营企业及合营企业投资相关的应纳税暂时性差异产生的递延所得税负债，除非本公司能够控制暂时 </w:t>
      </w:r>
      <w:r>
        <w:rPr>
          <w:spacing w:val="-2"/>
        </w:rPr>
        <w:t>性差异转回的时间，而且该暂时性差异在可预见的未来很可能不会转回。对于与子公司、联营企业及合营企业投资相关的可</w:t>
      </w:r>
      <w:r>
        <w:rPr>
          <w:spacing w:val="-65"/>
        </w:rPr>
        <w:t> </w:t>
      </w:r>
      <w:r>
        <w:rPr>
          <w:spacing w:val="-65"/>
        </w:rPr>
      </w:r>
      <w:r>
        <w:rPr>
          <w:spacing w:val="-2"/>
        </w:rPr>
        <w:t>抵扣暂时性差异，只有当暂时性差异在可预见的未来很可能转回，且未来很可能获得用来抵扣可抵扣暂时性差异的应纳税所</w:t>
      </w:r>
      <w:r>
        <w:rPr>
          <w:spacing w:val="-64"/>
        </w:rPr>
        <w:t> </w:t>
      </w:r>
      <w:r>
        <w:rPr>
          <w:spacing w:val="-64"/>
        </w:rPr>
      </w:r>
      <w:r>
        <w:rPr>
          <w:spacing w:val="-2"/>
        </w:rPr>
        <w:t>得额时，才确认递延所得税资产。资产负债表日，对于递延所得税资产和递延所得税负债，根据税法规定，按照预期收回相</w:t>
      </w:r>
      <w:r>
        <w:rPr>
          <w:spacing w:val="-67"/>
        </w:rPr>
        <w:t> </w:t>
      </w:r>
      <w:r>
        <w:rPr>
          <w:spacing w:val="-67"/>
        </w:rPr>
      </w:r>
      <w:r>
        <w:rPr/>
        <w:t>关资产或清偿相关负债期间的适用税率计量。</w:t>
      </w:r>
    </w:p>
    <w:p>
      <w:pPr>
        <w:pStyle w:val="BodyText"/>
        <w:spacing w:line="316" w:lineRule="auto" w:before="139"/>
        <w:ind w:right="1135" w:firstLine="419"/>
        <w:jc w:val="both"/>
      </w:pPr>
      <w:r>
        <w:rPr/>
        <w:t>除与直接计入其他综合收益或股东权益的交易和事项相关的当期所得税和递延所得税计入其他综合收益或股东权益， 以及企业合并产生的递延所得税调整商誉的账面价值外，其余当期所得税和递延所得税费用或收益计入当期损益。</w:t>
      </w:r>
    </w:p>
    <w:p>
      <w:pPr>
        <w:spacing w:after="0" w:line="316" w:lineRule="auto"/>
        <w:jc w:val="both"/>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986" w:firstLine="419"/>
        <w:jc w:val="left"/>
      </w:pPr>
      <w:r>
        <w:rPr/>
        <w:t>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BodyText"/>
        <w:spacing w:line="316" w:lineRule="auto" w:before="139"/>
        <w:ind w:right="986" w:firstLine="419"/>
        <w:jc w:val="left"/>
      </w:pPr>
      <w:r>
        <w:rPr/>
        <w:t>当拥有以净额结算的法定权利，且意图以净额结算或取得资产、清偿负债同时进行时，本公司当期所得税资产及当期 所得税负债以抵销后的净额列报。</w:t>
      </w:r>
    </w:p>
    <w:p>
      <w:pPr>
        <w:pStyle w:val="BodyText"/>
        <w:spacing w:line="316" w:lineRule="auto" w:before="139"/>
        <w:ind w:right="1133" w:firstLine="419"/>
        <w:jc w:val="both"/>
      </w:pPr>
      <w:r>
        <w:rPr/>
        <w:t>当拥有以净额结算当期所得税资产及当期所得税负债的法定权利，且递延所得税资产及递延所得税负债是与同一税收 </w:t>
      </w: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债转回的期间内，涉及的纳税主体意图以净额结算当期所得税资产和负债或是同时取得资产、清偿负债时，递延所得税资产</w:t>
      </w:r>
      <w:r>
        <w:rPr>
          <w:spacing w:val="-66"/>
        </w:rPr>
        <w:t> </w:t>
      </w:r>
      <w:r>
        <w:rPr>
          <w:spacing w:val="-66"/>
        </w:rPr>
      </w:r>
      <w:r>
        <w:rPr/>
        <w:t>及递延所得税负债以抵销后的净额列报。</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572" w:right="986"/>
        <w:jc w:val="left"/>
        <w:rPr>
          <w:rFonts w:ascii="宋体" w:hAnsi="宋体" w:cs="宋体" w:eastAsia="宋体" w:hint="default"/>
          <w:b w:val="0"/>
          <w:bCs w:val="0"/>
        </w:rPr>
      </w:pP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24" w:firstLine="360"/>
        <w:jc w:val="left"/>
        <w:rPr>
          <w:rFonts w:ascii="宋体" w:hAnsi="宋体" w:cs="宋体" w:eastAsia="宋体" w:hint="default"/>
        </w:rPr>
      </w:pPr>
      <w:r>
        <w:rPr/>
        <w:t>（</w:t>
      </w:r>
      <w:r>
        <w:rPr>
          <w:rFonts w:ascii="宋体" w:hAnsi="宋体" w:cs="宋体" w:eastAsia="宋体" w:hint="default"/>
        </w:rPr>
        <w:t>1</w:t>
      </w:r>
      <w:r>
        <w:rPr/>
        <w:t>）租入资产所支付的租赁费，在不扣除免租期的整个租赁期内，按直线法进行分摊，计入当期费用。支付的与租赁 交易相关的初始直接费用，计入当期费用。</w:t>
      </w:r>
      <w:r>
        <w:rPr>
          <w:rFonts w:ascii="宋体" w:hAnsi="宋体" w:cs="宋体" w:eastAsia="宋体" w:hint="default"/>
          <w:b/>
          <w:bCs/>
          <w:w w:val="99"/>
        </w:rPr>
        <w:t> </w:t>
      </w:r>
      <w:r>
        <w:rPr>
          <w:rFonts w:ascii="宋体" w:hAnsi="宋体" w:cs="宋体" w:eastAsia="宋体" w:hint="default"/>
        </w:rPr>
      </w:r>
    </w:p>
    <w:p>
      <w:pPr>
        <w:pStyle w:val="BodyText"/>
        <w:spacing w:line="316" w:lineRule="auto" w:before="139"/>
        <w:ind w:right="986" w:firstLine="360"/>
        <w:jc w:val="left"/>
      </w:pPr>
      <w:r>
        <w:rPr>
          <w:spacing w:val="-2"/>
        </w:rPr>
        <w:t>资产出租方承担了应由承担的与租赁相关的费用时，将该部分费用从租金总额中扣除，按扣除后的租金费用在租赁期内</w:t>
      </w:r>
      <w:r>
        <w:rPr/>
        <w:t> 分摊，计入当期费用。</w:t>
      </w:r>
    </w:p>
    <w:p>
      <w:pPr>
        <w:pStyle w:val="BodyText"/>
        <w:spacing w:line="316" w:lineRule="auto" w:before="139"/>
        <w:ind w:right="1130" w:firstLine="360"/>
        <w:jc w:val="both"/>
      </w:pPr>
      <w:r>
        <w:rPr/>
        <w:t>（</w:t>
      </w:r>
      <w:r>
        <w:rPr>
          <w:rFonts w:ascii="宋体" w:hAnsi="宋体" w:cs="宋体" w:eastAsia="宋体" w:hint="default"/>
        </w:rPr>
        <w:t>2</w:t>
      </w:r>
      <w:r>
        <w:rPr/>
        <w:t>）出租资产所收取的租赁费，在不扣除免租期的整个租赁期内，按直线法进行分摊，确认为租赁收入。支付的与租 </w:t>
      </w:r>
      <w:r>
        <w:rPr>
          <w:spacing w:val="-2"/>
        </w:rPr>
        <w:t>赁交易相关的初始直接费用，计入当期费用；如金额较大的，则予以资本化，在整个租赁期间内按照与租赁收入确认相同的</w:t>
      </w:r>
      <w:r>
        <w:rPr>
          <w:spacing w:val="-64"/>
        </w:rPr>
        <w:t> </w:t>
      </w:r>
      <w:r>
        <w:rPr>
          <w:spacing w:val="-64"/>
        </w:rPr>
      </w:r>
      <w:r>
        <w:rPr/>
        <w:t>基础分期计入当期收益。</w:t>
      </w:r>
    </w:p>
    <w:p>
      <w:pPr>
        <w:pStyle w:val="BodyText"/>
        <w:spacing w:line="316" w:lineRule="auto" w:before="139"/>
        <w:ind w:right="986" w:firstLine="419"/>
        <w:jc w:val="left"/>
      </w:pPr>
      <w:r>
        <w:rPr/>
        <w:t>承担了应由承租方承担的与租赁相关的费用时，将该部分费用从租金收入总额中扣除，按扣除后的租金费用在租赁期 内分配。</w:t>
      </w:r>
    </w:p>
    <w:p>
      <w:pPr>
        <w:pStyle w:val="Heading5"/>
        <w:spacing w:line="240" w:lineRule="auto" w:before="139"/>
        <w:ind w:left="572" w:right="986"/>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24" w:firstLine="360"/>
        <w:jc w:val="left"/>
      </w:pPr>
      <w:r>
        <w:rPr/>
        <w:t>（</w:t>
      </w:r>
      <w:r>
        <w:rPr>
          <w:rFonts w:ascii="宋体" w:hAnsi="宋体" w:cs="宋体" w:eastAsia="宋体"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316" w:lineRule="auto" w:before="139"/>
        <w:ind w:right="986" w:firstLine="360"/>
        <w:jc w:val="left"/>
      </w:pPr>
      <w:r>
        <w:rPr>
          <w:spacing w:val="-2"/>
        </w:rPr>
        <w:t>采用实际利率法对未确认的融资费用，在资产租赁期间内摊销，计入财务费用。公司发生的初始直接费用，计入租入资</w:t>
      </w:r>
      <w:r>
        <w:rPr/>
        <w:t> 产价值。</w:t>
      </w:r>
    </w:p>
    <w:p>
      <w:pPr>
        <w:pStyle w:val="BodyText"/>
        <w:spacing w:line="316" w:lineRule="auto" w:before="139"/>
        <w:ind w:right="986" w:firstLine="360"/>
        <w:jc w:val="left"/>
      </w:pPr>
      <w:r>
        <w:rPr>
          <w:spacing w:val="-2"/>
        </w:rPr>
        <w:t>（</w:t>
      </w:r>
      <w:r>
        <w:rPr>
          <w:rFonts w:ascii="宋体" w:hAnsi="宋体" w:cs="宋体" w:eastAsia="宋体"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left="572" w:right="986"/>
        <w:jc w:val="left"/>
        <w:rPr>
          <w:rFonts w:ascii="宋体" w:hAnsi="宋体" w:cs="宋体" w:eastAsia="宋体" w:hint="default"/>
          <w:b w:val="0"/>
          <w:bCs w:val="0"/>
        </w:rPr>
      </w:pPr>
      <w:r>
        <w:rPr>
          <w:rFonts w:ascii="宋体" w:hAnsi="宋体" w:cs="宋体" w:eastAsia="宋体" w:hint="default"/>
        </w:rPr>
        <w:t>1.</w:t>
      </w:r>
      <w:r>
        <w:rPr/>
        <w:t>终止经营</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72" w:right="986"/>
        <w:jc w:val="left"/>
      </w:pPr>
      <w:r>
        <w:rPr/>
        <w:t>终止经营，是指满足下列条件之一的、能够单独区分的组成部分，且该组成部分已经处置或划分为持有待售类别：</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1</w:t>
      </w:r>
      <w:r>
        <w:rPr/>
        <w:t>）该组成部分代表一项独立的主要业务或一个单独的主要经营地区；</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spacing w:line="240" w:lineRule="auto" w:before="0"/>
        <w:rPr>
          <w:rFonts w:ascii="宋体" w:hAnsi="宋体" w:cs="宋体" w:eastAsia="宋体" w:hint="default"/>
          <w:sz w:val="15"/>
          <w:szCs w:val="15"/>
        </w:rPr>
      </w:pPr>
    </w:p>
    <w:p>
      <w:pPr>
        <w:pStyle w:val="BodyText"/>
        <w:spacing w:line="439" w:lineRule="auto"/>
        <w:ind w:left="572" w:right="5834" w:hanging="60"/>
        <w:jc w:val="left"/>
      </w:pPr>
      <w:r>
        <w:rPr/>
        <w:t>（</w:t>
      </w:r>
      <w:r>
        <w:rPr>
          <w:rFonts w:ascii="宋体" w:hAnsi="宋体" w:cs="宋体" w:eastAsia="宋体" w:hint="default"/>
        </w:rPr>
        <w:t>3</w:t>
      </w:r>
      <w:r>
        <w:rPr/>
        <w:t>）该组成部分是专为转售而取得的子公司。 符合持有待售的资产的会计处理见本附注四、（十三）。</w:t>
      </w:r>
    </w:p>
    <w:p>
      <w:pPr>
        <w:spacing w:after="0" w:line="439"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left="572" w:right="986"/>
        <w:jc w:val="left"/>
        <w:rPr>
          <w:rFonts w:ascii="宋体" w:hAnsi="宋体" w:cs="宋体" w:eastAsia="宋体" w:hint="default"/>
          <w:b w:val="0"/>
          <w:bCs w:val="0"/>
        </w:rPr>
      </w:pPr>
      <w:r>
        <w:rPr>
          <w:rFonts w:ascii="宋体" w:hAnsi="宋体" w:cs="宋体" w:eastAsia="宋体" w:hint="default"/>
        </w:rPr>
        <w:t>2.</w:t>
      </w:r>
      <w:r>
        <w:rPr/>
        <w:t>附回购条件的资产转让</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33" w:firstLine="360"/>
        <w:jc w:val="both"/>
      </w:pPr>
      <w:r>
        <w:rPr>
          <w:spacing w:val="-2"/>
        </w:rPr>
        <w:t>销售产品或转让其他资产时，与购买方签订了所销售的产品或转让资产回购协议，根据协议条款判断销售商品是否满足</w:t>
      </w:r>
      <w:r>
        <w:rPr/>
        <w:t> </w:t>
      </w:r>
      <w:r>
        <w:rPr>
          <w:spacing w:val="-2"/>
        </w:rPr>
        <w:t>收入确认条件。如售后回购属于融资交易，则在交付产品或资产时，不确认销售收入。回购价款大于销售价款的差额，在回</w:t>
      </w:r>
      <w:r>
        <w:rPr>
          <w:spacing w:val="-67"/>
        </w:rPr>
        <w:t> </w:t>
      </w:r>
      <w:r>
        <w:rPr>
          <w:spacing w:val="-67"/>
        </w:rPr>
      </w:r>
      <w:r>
        <w:rPr/>
        <w:t>购期间按期计提利息，计入财务费用。</w:t>
      </w:r>
    </w:p>
    <w:p>
      <w:pPr>
        <w:pStyle w:val="Heading5"/>
        <w:spacing w:line="240" w:lineRule="auto" w:before="139"/>
        <w:ind w:left="572" w:right="986"/>
        <w:jc w:val="left"/>
        <w:rPr>
          <w:rFonts w:ascii="宋体" w:hAnsi="宋体" w:cs="宋体" w:eastAsia="宋体" w:hint="default"/>
          <w:b w:val="0"/>
          <w:bCs w:val="0"/>
        </w:rPr>
      </w:pPr>
      <w:r>
        <w:rPr>
          <w:rFonts w:ascii="宋体" w:hAnsi="宋体" w:cs="宋体" w:eastAsia="宋体" w:hint="default"/>
        </w:rPr>
        <w:t>3.</w:t>
      </w:r>
      <w:r>
        <w:rPr/>
        <w:t>股份回购</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2"/>
        <w:ind w:left="512" w:right="986"/>
        <w:jc w:val="left"/>
      </w:pPr>
      <w:r>
        <w:rPr/>
        <w:t>为减少注册资本或奖励本公司职工等原因而收购本公司股份时，按实际支付的金额记入库存股。 </w:t>
      </w:r>
      <w:r>
        <w:rPr>
          <w:spacing w:val="-2"/>
        </w:rPr>
        <w:t>根据以权益结算的股份支付协议将收购的股份奖励给本公司职工时，按奖励库存股账面余额与职工所支付现金及授予权</w:t>
      </w:r>
    </w:p>
    <w:p>
      <w:pPr>
        <w:pStyle w:val="BodyText"/>
        <w:spacing w:line="240" w:lineRule="auto" w:before="76"/>
        <w:ind w:right="986"/>
        <w:jc w:val="left"/>
      </w:pPr>
      <w:r>
        <w:rPr/>
        <w:t>益工具时确认的资本公积之间的差额，计入资本公积（股本溢价）。</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注销库存股时，按所注销库存股面值总额注销股本，按所注销库存股的账面余额，冲减库存股，按其差额冲减资本公积</w:t>
      </w:r>
    </w:p>
    <w:p>
      <w:pPr>
        <w:pStyle w:val="BodyText"/>
        <w:spacing w:line="240" w:lineRule="auto" w:before="76"/>
        <w:ind w:right="986"/>
        <w:jc w:val="left"/>
      </w:pPr>
      <w:r>
        <w:rPr/>
        <w:t>（股本溢价），股本溢价不足冲减的，调整留存收益。</w:t>
      </w:r>
    </w:p>
    <w:p>
      <w:pPr>
        <w:spacing w:line="240" w:lineRule="auto" w:before="0"/>
        <w:rPr>
          <w:rFonts w:ascii="宋体" w:hAnsi="宋体" w:cs="宋体" w:eastAsia="宋体" w:hint="default"/>
          <w:sz w:val="15"/>
          <w:szCs w:val="15"/>
        </w:rPr>
      </w:pPr>
    </w:p>
    <w:p>
      <w:pPr>
        <w:pStyle w:val="Heading5"/>
        <w:spacing w:line="240" w:lineRule="auto"/>
        <w:ind w:left="572" w:right="986"/>
        <w:jc w:val="left"/>
        <w:rPr>
          <w:rFonts w:ascii="宋体" w:hAnsi="宋体" w:cs="宋体" w:eastAsia="宋体" w:hint="default"/>
          <w:b w:val="0"/>
          <w:bCs w:val="0"/>
        </w:rPr>
      </w:pPr>
      <w:r>
        <w:rPr>
          <w:rFonts w:ascii="宋体" w:hAnsi="宋体" w:cs="宋体" w:eastAsia="宋体" w:hint="default"/>
        </w:rPr>
        <w:t>4.</w:t>
      </w:r>
      <w:r>
        <w:rPr/>
        <w:t>持有待售的非流动资产及处置组</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439" w:lineRule="auto"/>
        <w:ind w:left="512" w:right="4454"/>
        <w:jc w:val="left"/>
      </w:pPr>
      <w:r>
        <w:rPr/>
        <w:t>（</w:t>
      </w:r>
      <w:r>
        <w:rPr>
          <w:rFonts w:ascii="宋体" w:hAnsi="宋体" w:cs="宋体" w:eastAsia="宋体" w:hint="default"/>
        </w:rPr>
        <w:t>1</w:t>
      </w:r>
      <w:r>
        <w:rPr/>
        <w:t>）持有待售的非流动资产及处置组标准 将同时符合下列条件的非流动资产确认为持有待售的非流动资产及处置组： </w:t>
      </w:r>
      <w:r>
        <w:rPr>
          <w:rFonts w:ascii="宋体" w:hAnsi="宋体" w:cs="宋体" w:eastAsia="宋体" w:hint="default"/>
        </w:rPr>
        <w:t>a.</w:t>
      </w:r>
      <w:r>
        <w:rPr/>
        <w:t>公司已就该资产出售事项作出决议； </w:t>
      </w:r>
      <w:r>
        <w:rPr>
          <w:rFonts w:ascii="宋体" w:hAnsi="宋体" w:cs="宋体" w:eastAsia="宋体" w:hint="default"/>
        </w:rPr>
        <w:t>b.</w:t>
      </w:r>
      <w:r>
        <w:rPr/>
        <w:t>公司已与对方签订了不可撤消的转让协议； </w:t>
      </w:r>
      <w:r>
        <w:rPr>
          <w:rFonts w:ascii="宋体" w:hAnsi="宋体" w:cs="宋体" w:eastAsia="宋体" w:hint="default"/>
        </w:rPr>
        <w:t>c.</w:t>
      </w:r>
      <w:r>
        <w:rPr/>
        <w:t>该资产转让将在一年内完成。</w:t>
      </w:r>
    </w:p>
    <w:p>
      <w:pPr>
        <w:pStyle w:val="BodyText"/>
        <w:spacing w:line="240" w:lineRule="auto" w:before="47"/>
        <w:ind w:left="512" w:right="986"/>
        <w:jc w:val="left"/>
        <w:rPr>
          <w:rFonts w:ascii="宋体" w:hAnsi="宋体" w:cs="宋体" w:eastAsia="宋体" w:hint="default"/>
        </w:rPr>
      </w:pPr>
      <w:r>
        <w:rPr/>
        <w:t>（</w:t>
      </w:r>
      <w:r>
        <w:rPr>
          <w:rFonts w:ascii="宋体" w:hAnsi="宋体" w:cs="宋体" w:eastAsia="宋体" w:hint="default"/>
        </w:rPr>
        <w:t>2</w:t>
      </w:r>
      <w:r>
        <w:rPr/>
        <w:t>）持有待售的非流动资产及处置组的会计处理方法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00" w:lineRule="auto"/>
        <w:ind w:right="1128" w:firstLine="419"/>
        <w:jc w:val="both"/>
      </w:pPr>
      <w:r>
        <w:rPr/>
        <w:t>符合持有待售条件的非流动资产被划分为持有待售的非流动资产及被划分为持有待售的处置组中的资产</w:t>
      </w:r>
      <w:r>
        <w:rPr>
          <w:spacing w:val="43"/>
        </w:rPr>
        <w:t> </w:t>
      </w:r>
      <w:r>
        <w:rPr>
          <w:rFonts w:ascii="Times New Roman" w:hAnsi="Times New Roman" w:cs="Times New Roman" w:eastAsia="Times New Roman" w:hint="default"/>
        </w:rPr>
        <w:t>(</w:t>
      </w:r>
      <w:r>
        <w:rPr/>
        <w:t>不包括金融</w:t>
      </w:r>
      <w:r>
        <w:rPr>
          <w:spacing w:val="2"/>
        </w:rPr>
        <w:t> </w:t>
      </w:r>
      <w:r>
        <w:rPr/>
        <w:t>资产及递延所得税资产</w:t>
      </w:r>
      <w:r>
        <w:rPr>
          <w:rFonts w:ascii="Times New Roman" w:hAnsi="Times New Roman" w:cs="Times New Roman" w:eastAsia="Times New Roman" w:hint="default"/>
        </w:rPr>
        <w:t>)</w:t>
      </w:r>
      <w:r>
        <w:rPr/>
        <w:t>，不计提折旧或进行摊销，以账面价值与公允价值减去处置费用孰低的金额列示。公允价值减去处</w:t>
      </w:r>
      <w:r>
        <w:rPr>
          <w:spacing w:val="-59"/>
        </w:rPr>
        <w:t> </w:t>
      </w:r>
      <w:r>
        <w:rPr>
          <w:spacing w:val="-59"/>
        </w:rPr>
      </w:r>
      <w:r>
        <w:rPr/>
        <w:t>置费用低于原账面价值的金额，确认为资产减值损失。</w:t>
      </w:r>
    </w:p>
    <w:p>
      <w:pPr>
        <w:pStyle w:val="Heading5"/>
        <w:spacing w:line="240" w:lineRule="auto" w:before="151"/>
        <w:ind w:left="572" w:right="986"/>
        <w:jc w:val="left"/>
        <w:rPr>
          <w:rFonts w:ascii="宋体" w:hAnsi="宋体" w:cs="宋体" w:eastAsia="宋体" w:hint="default"/>
          <w:b w:val="0"/>
          <w:bCs w:val="0"/>
        </w:rPr>
      </w:pPr>
      <w:r>
        <w:rPr>
          <w:rFonts w:ascii="宋体" w:hAnsi="宋体" w:cs="宋体" w:eastAsia="宋体" w:hint="default"/>
        </w:rPr>
        <w:t>5.</w:t>
      </w:r>
      <w:r>
        <w:rPr/>
        <w:t>关联方</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027" w:firstLine="419"/>
        <w:jc w:val="left"/>
      </w:pPr>
      <w:r>
        <w:rPr>
          <w:spacing w:val="-1"/>
        </w:rPr>
        <w:t>一方控制、共同控制另一方或对另一方施加重大影响，以及两方或两方以上同受一方控制、共同控制的，构成关联方。</w:t>
      </w:r>
      <w:r>
        <w:rPr/>
        <w:t> 关联方可为个人或企业。仅仅同受国家控制而不存在其他关联方关系的企业，不构成的关联方。</w:t>
      </w:r>
    </w:p>
    <w:p>
      <w:pPr>
        <w:pStyle w:val="BodyText"/>
        <w:spacing w:line="240" w:lineRule="auto" w:before="139"/>
        <w:ind w:left="572" w:right="986"/>
        <w:jc w:val="left"/>
      </w:pPr>
      <w:r>
        <w:rPr/>
        <w:t>本公司关联方包括但不限于：</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1</w:t>
      </w:r>
      <w:r>
        <w:rPr/>
        <w:t>）</w:t>
      </w:r>
      <w:r>
        <w:rPr>
          <w:spacing w:val="-61"/>
        </w:rPr>
        <w:t> </w:t>
      </w:r>
      <w:r>
        <w:rPr/>
        <w:t>母公司；</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2</w:t>
      </w:r>
      <w:r>
        <w:rPr/>
        <w:t>）</w:t>
      </w:r>
      <w:r>
        <w:rPr>
          <w:spacing w:val="-61"/>
        </w:rPr>
        <w:t> </w:t>
      </w:r>
      <w:r>
        <w:rPr/>
        <w:t>子公司；</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3</w:t>
      </w:r>
      <w:r>
        <w:rPr/>
        <w:t>）</w:t>
      </w:r>
      <w:r>
        <w:rPr>
          <w:spacing w:val="-61"/>
        </w:rPr>
        <w:t> </w:t>
      </w:r>
      <w:r>
        <w:rPr/>
        <w:t>受同一母公司控制的其他企业；</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4</w:t>
      </w:r>
      <w:r>
        <w:rPr/>
        <w:t>）</w:t>
      </w:r>
      <w:r>
        <w:rPr>
          <w:spacing w:val="-61"/>
        </w:rPr>
        <w:t> </w:t>
      </w:r>
      <w:r>
        <w:rPr/>
        <w:t>实施共同控制的投资方；</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5</w:t>
      </w:r>
      <w:r>
        <w:rPr/>
        <w:t>）</w:t>
      </w:r>
      <w:r>
        <w:rPr>
          <w:spacing w:val="-61"/>
        </w:rPr>
        <w:t> </w:t>
      </w:r>
      <w:r>
        <w:rPr/>
        <w:t>施加重大影响的投资方；</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6</w:t>
      </w:r>
      <w:r>
        <w:rPr/>
        <w:t>）</w:t>
      </w:r>
      <w:r>
        <w:rPr>
          <w:spacing w:val="-61"/>
        </w:rPr>
        <w:t> </w:t>
      </w:r>
      <w:r>
        <w:rPr/>
        <w:t>合营企业，包括合营企业的子公司；</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7</w:t>
      </w:r>
      <w:r>
        <w:rPr/>
        <w:t>）</w:t>
      </w:r>
      <w:r>
        <w:rPr>
          <w:spacing w:val="-61"/>
        </w:rPr>
        <w:t> </w:t>
      </w:r>
      <w:r>
        <w:rPr/>
        <w:t>联营企业，包括联营企业的子公司；</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8</w:t>
      </w:r>
      <w:r>
        <w:rPr/>
        <w:t>）</w:t>
      </w:r>
      <w:r>
        <w:rPr>
          <w:spacing w:val="-62"/>
        </w:rPr>
        <w:t> </w:t>
      </w:r>
      <w:r>
        <w:rPr/>
        <w:t>主要投资者个人及与其关系密切的家庭成员</w:t>
      </w:r>
      <w:r>
        <w:rPr>
          <w:spacing w:val="-18"/>
        </w:rPr>
        <w:t> </w:t>
      </w:r>
      <w:r>
        <w:rPr/>
        <w:t>；</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9</w:t>
      </w:r>
      <w:r>
        <w:rPr/>
        <w:t>）</w:t>
      </w:r>
      <w:r>
        <w:rPr>
          <w:spacing w:val="-61"/>
        </w:rPr>
        <w:t> </w:t>
      </w:r>
      <w:r>
        <w:rPr/>
        <w:t>本公司或其母公司的关键管理人员及与其关系密切的家庭成员；</w:t>
      </w:r>
    </w:p>
    <w:p>
      <w:pPr>
        <w:spacing w:line="240" w:lineRule="auto" w:before="0"/>
        <w:rPr>
          <w:rFonts w:ascii="宋体" w:hAnsi="宋体" w:cs="宋体" w:eastAsia="宋体" w:hint="default"/>
          <w:sz w:val="15"/>
          <w:szCs w:val="15"/>
        </w:rPr>
      </w:pPr>
    </w:p>
    <w:p>
      <w:pPr>
        <w:pStyle w:val="BodyText"/>
        <w:spacing w:line="240" w:lineRule="auto"/>
        <w:ind w:left="512" w:right="986"/>
        <w:jc w:val="left"/>
      </w:pPr>
      <w:r>
        <w:rPr/>
        <w:t>（</w:t>
      </w:r>
      <w:r>
        <w:rPr>
          <w:rFonts w:ascii="宋体" w:hAnsi="宋体" w:cs="宋体" w:eastAsia="宋体" w:hint="default"/>
        </w:rPr>
        <w:t>10</w:t>
      </w:r>
      <w:r>
        <w:rPr/>
        <w:t>）本公司主要投资者个人、关键管理人员或与其关系密切的家庭成员控制、共同控制的其他企业。</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512" w:right="986" w:firstLine="419"/>
        <w:jc w:val="left"/>
      </w:pPr>
      <w:r>
        <w:rPr/>
        <w:t>除上述按照企业会计准则的有关要求被确定为本公司的关联方以外，根据证监会颁布的《上市公司信息披露管理 办法》的要求，以下企业或个人</w:t>
      </w:r>
      <w:r>
        <w:rPr>
          <w:spacing w:val="-45"/>
        </w:rPr>
        <w:t>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 </w:t>
      </w:r>
      <w:r>
        <w:rPr/>
        <w:t>也属于本公司的关联方：</w:t>
      </w:r>
    </w:p>
    <w:p>
      <w:pPr>
        <w:pStyle w:val="BodyText"/>
        <w:spacing w:line="240" w:lineRule="auto" w:before="119"/>
        <w:ind w:left="512" w:right="986"/>
        <w:jc w:val="left"/>
      </w:pPr>
      <w:r>
        <w:rPr/>
        <w:t>（</w:t>
      </w:r>
      <w:r>
        <w:rPr>
          <w:rFonts w:ascii="宋体" w:hAnsi="宋体" w:cs="宋体" w:eastAsia="宋体" w:hint="default"/>
        </w:rPr>
        <w:t>1</w:t>
      </w:r>
      <w:r>
        <w:rPr/>
        <w:t>）</w:t>
      </w:r>
      <w:r>
        <w:rPr>
          <w:spacing w:val="-62"/>
        </w:rPr>
        <w:t> </w:t>
      </w:r>
      <w:r>
        <w:rPr/>
        <w:t>持有本公司</w:t>
      </w:r>
      <w:r>
        <w:rPr>
          <w:rFonts w:ascii="Times New Roman" w:hAnsi="Times New Roman" w:cs="Times New Roman" w:eastAsia="Times New Roman" w:hint="default"/>
        </w:rPr>
        <w:t>5% </w:t>
      </w:r>
      <w:r>
        <w:rPr/>
        <w:t>以上股份的企业或者一致行动人；</w:t>
      </w:r>
    </w:p>
    <w:p>
      <w:pPr>
        <w:spacing w:line="240" w:lineRule="auto" w:before="13"/>
        <w:rPr>
          <w:rFonts w:ascii="宋体" w:hAnsi="宋体" w:cs="宋体" w:eastAsia="宋体" w:hint="default"/>
          <w:sz w:val="13"/>
          <w:szCs w:val="13"/>
        </w:rPr>
      </w:pPr>
    </w:p>
    <w:p>
      <w:pPr>
        <w:pStyle w:val="BodyText"/>
        <w:spacing w:line="300" w:lineRule="auto"/>
        <w:ind w:right="986" w:firstLine="360"/>
        <w:jc w:val="left"/>
      </w:pPr>
      <w:r>
        <w:rPr/>
        <w:t>（</w:t>
      </w:r>
      <w:r>
        <w:rPr>
          <w:rFonts w:ascii="宋体" w:hAnsi="宋体" w:cs="宋体" w:eastAsia="宋体" w:hint="default"/>
        </w:rPr>
        <w:t>2</w:t>
      </w:r>
      <w:r>
        <w:rPr/>
        <w:t>）直接或者间接持有本公司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以上股份的个人及与其关系密切的家庭成员，上市公司监事及与其关系密切的家庭</w:t>
      </w:r>
      <w:r>
        <w:rPr>
          <w:spacing w:val="2"/>
        </w:rPr>
        <w:t> </w:t>
      </w:r>
      <w:r>
        <w:rPr/>
        <w:t>成员；</w:t>
      </w:r>
    </w:p>
    <w:p>
      <w:pPr>
        <w:pStyle w:val="BodyText"/>
        <w:spacing w:line="240" w:lineRule="auto" w:before="151"/>
        <w:ind w:left="512" w:right="986"/>
        <w:jc w:val="left"/>
      </w:pPr>
      <w:r>
        <w:rPr/>
        <w:t>（</w:t>
      </w:r>
      <w:r>
        <w:rPr>
          <w:rFonts w:ascii="宋体" w:hAnsi="宋体" w:cs="宋体" w:eastAsia="宋体" w:hint="default"/>
        </w:rPr>
        <w:t>2</w:t>
      </w:r>
      <w:r>
        <w:rPr/>
        <w:t>）</w:t>
      </w:r>
      <w:r>
        <w:rPr>
          <w:spacing w:val="-65"/>
        </w:rPr>
        <w:t> </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spacing w:line="240" w:lineRule="auto" w:before="13"/>
        <w:rPr>
          <w:rFonts w:ascii="宋体" w:hAnsi="宋体" w:cs="宋体" w:eastAsia="宋体" w:hint="default"/>
          <w:sz w:val="13"/>
          <w:szCs w:val="13"/>
        </w:rPr>
      </w:pPr>
    </w:p>
    <w:p>
      <w:pPr>
        <w:pStyle w:val="BodyText"/>
        <w:spacing w:line="240" w:lineRule="auto"/>
        <w:ind w:left="512" w:right="986"/>
        <w:jc w:val="left"/>
      </w:pPr>
      <w:r>
        <w:rPr/>
        <w:t>（</w:t>
      </w:r>
      <w:r>
        <w:rPr>
          <w:rFonts w:ascii="宋体" w:hAnsi="宋体" w:cs="宋体" w:eastAsia="宋体" w:hint="default"/>
        </w:rPr>
        <w:t>3</w:t>
      </w:r>
      <w:r>
        <w:rPr/>
        <w:t>）</w:t>
      </w:r>
      <w:r>
        <w:rPr>
          <w:spacing w:val="-63"/>
        </w:rPr>
        <w:t> </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spacing w:line="240" w:lineRule="auto" w:before="13"/>
        <w:rPr>
          <w:rFonts w:ascii="宋体" w:hAnsi="宋体" w:cs="宋体" w:eastAsia="宋体" w:hint="default"/>
          <w:sz w:val="13"/>
          <w:szCs w:val="13"/>
        </w:rPr>
      </w:pPr>
    </w:p>
    <w:p>
      <w:pPr>
        <w:pStyle w:val="BodyText"/>
        <w:spacing w:line="300" w:lineRule="auto"/>
        <w:ind w:left="153" w:right="986" w:firstLine="359"/>
        <w:jc w:val="left"/>
      </w:pPr>
      <w:r>
        <w:rPr>
          <w:spacing w:val="-2"/>
        </w:rPr>
        <w:t>（</w:t>
      </w:r>
      <w:r>
        <w:rPr>
          <w:rFonts w:ascii="宋体" w:hAnsi="宋体" w:cs="宋体" w:eastAsia="宋体" w:hint="default"/>
          <w:spacing w:val="-2"/>
        </w:rPr>
        <w:t>4</w:t>
      </w:r>
      <w:r>
        <w:rPr>
          <w:spacing w:val="-2"/>
        </w:rPr>
        <w:t>）由上述第</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12</w:t>
      </w:r>
      <w:r>
        <w:rPr>
          <w:spacing w:val="-2"/>
        </w:rPr>
        <w:t>和</w:t>
      </w:r>
      <w:r>
        <w:rPr>
          <w:rFonts w:ascii="Times New Roman" w:hAnsi="Times New Roman" w:cs="Times New Roman" w:eastAsia="Times New Roman" w:hint="default"/>
          <w:spacing w:val="-2"/>
        </w:rPr>
        <w:t>14</w:t>
      </w:r>
      <w:r>
        <w:rPr>
          <w:spacing w:val="-2"/>
        </w:rPr>
        <w:t>项直接或者间接控制的、或者担任董事、高级管理人员的，除本公司及其控股子公司以外的企</w:t>
      </w:r>
      <w:r>
        <w:rPr/>
        <w:t> 业。</w:t>
      </w:r>
    </w:p>
    <w:p>
      <w:pPr>
        <w:spacing w:line="240" w:lineRule="auto" w:before="8"/>
        <w:rPr>
          <w:rFonts w:ascii="宋体" w:hAnsi="宋体" w:cs="宋体" w:eastAsia="宋体" w:hint="default"/>
          <w:sz w:val="23"/>
          <w:szCs w:val="23"/>
        </w:rPr>
      </w:pPr>
    </w:p>
    <w:p>
      <w:pPr>
        <w:pStyle w:val="Heading4"/>
        <w:spacing w:line="240" w:lineRule="auto"/>
        <w:ind w:right="986"/>
        <w:jc w:val="left"/>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572" w:right="986"/>
        <w:jc w:val="left"/>
        <w:rPr>
          <w:rFonts w:ascii="宋体" w:hAnsi="宋体" w:cs="宋体" w:eastAsia="宋体" w:hint="default"/>
          <w:b w:val="0"/>
          <w:bCs w:val="0"/>
        </w:rPr>
      </w:pP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379"/>
        <w:gridCol w:w="2126"/>
        <w:gridCol w:w="1063"/>
      </w:tblGrid>
      <w:tr>
        <w:trPr>
          <w:trHeight w:val="403" w:hRule="exact"/>
        </w:trPr>
        <w:tc>
          <w:tcPr>
            <w:tcW w:w="6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0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w:t>
            </w:r>
            <w:r>
              <w:rPr>
                <w:rFonts w:ascii="宋体" w:hAnsi="宋体" w:cs="宋体" w:eastAsia="宋体" w:hint="default"/>
                <w:spacing w:val="-3"/>
                <w:sz w:val="18"/>
                <w:szCs w:val="18"/>
              </w:rPr>
              <w:t>式</w:t>
            </w:r>
            <w:r>
              <w:rPr>
                <w:rFonts w:ascii="宋体" w:hAnsi="宋体" w:cs="宋体" w:eastAsia="宋体" w:hint="default"/>
                <w:sz w:val="18"/>
                <w:szCs w:val="18"/>
              </w:rPr>
              <w:t>的通知</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307"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[2018]15</w:t>
            </w:r>
            <w:r>
              <w:rPr>
                <w:rFonts w:ascii="Times New Roman" w:hAnsi="Times New Roman" w:cs="Times New Roman" w:eastAsia="Times New Roman" w:hint="default"/>
                <w:spacing w:val="26"/>
                <w:w w:val="99"/>
                <w:sz w:val="18"/>
                <w:szCs w:val="18"/>
              </w:rPr>
              <w:t> </w:t>
            </w:r>
            <w:r>
              <w:rPr>
                <w:rFonts w:ascii="宋体" w:hAnsi="宋体" w:cs="宋体" w:eastAsia="宋体" w:hint="default"/>
                <w:spacing w:val="-4"/>
                <w:w w:val="99"/>
                <w:sz w:val="18"/>
                <w:szCs w:val="18"/>
              </w:rPr>
              <w:t>号），在资产负债表中删除原</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应收票据</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及</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应收账款</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项目，将其整合为</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项目，反映资产负债表日以摊余成本计量的、企业</w:t>
            </w:r>
            <w:r>
              <w:rPr>
                <w:rFonts w:ascii="宋体" w:hAnsi="宋体" w:cs="宋体" w:eastAsia="宋体" w:hint="default"/>
                <w:w w:val="99"/>
                <w:sz w:val="18"/>
                <w:szCs w:val="18"/>
              </w:rPr>
              <w:t> </w:t>
            </w:r>
            <w:r>
              <w:rPr>
                <w:rFonts w:ascii="宋体" w:hAnsi="宋体" w:cs="宋体" w:eastAsia="宋体" w:hint="default"/>
                <w:sz w:val="18"/>
                <w:szCs w:val="18"/>
              </w:rPr>
              <w:t>因销售商品、提供服务等经营活动应收取的款项，以及收到的商业汇票，包括银</w:t>
            </w:r>
            <w:r>
              <w:rPr>
                <w:rFonts w:ascii="宋体" w:hAnsi="宋体" w:cs="宋体" w:eastAsia="宋体" w:hint="default"/>
                <w:w w:val="99"/>
                <w:sz w:val="18"/>
                <w:szCs w:val="18"/>
              </w:rPr>
              <w:t> </w:t>
            </w:r>
            <w:r>
              <w:rPr>
                <w:rFonts w:ascii="宋体" w:hAnsi="宋体" w:cs="宋体" w:eastAsia="宋体" w:hint="default"/>
                <w:sz w:val="18"/>
                <w:szCs w:val="18"/>
              </w:rPr>
              <w:t>行承兑汇票和商业承兑汇票。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3"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第六届董事会第二十次审 议通过</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w:t>
            </w:r>
            <w:r>
              <w:rPr>
                <w:rFonts w:ascii="宋体" w:hAnsi="宋体" w:cs="宋体" w:eastAsia="宋体" w:hint="default"/>
                <w:spacing w:val="-3"/>
                <w:sz w:val="18"/>
                <w:szCs w:val="18"/>
              </w:rPr>
              <w:t>式</w:t>
            </w:r>
            <w:r>
              <w:rPr>
                <w:rFonts w:ascii="宋体" w:hAnsi="宋体" w:cs="宋体" w:eastAsia="宋体" w:hint="default"/>
                <w:sz w:val="18"/>
                <w:szCs w:val="18"/>
              </w:rPr>
              <w:t>的通知</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307"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[2018]15</w:t>
            </w:r>
            <w:r>
              <w:rPr>
                <w:rFonts w:ascii="Times New Roman" w:hAnsi="Times New Roman" w:cs="Times New Roman" w:eastAsia="Times New Roman" w:hint="default"/>
                <w:spacing w:val="26"/>
                <w:w w:val="99"/>
                <w:sz w:val="18"/>
                <w:szCs w:val="18"/>
              </w:rPr>
              <w:t> </w:t>
            </w:r>
            <w:r>
              <w:rPr>
                <w:rFonts w:ascii="宋体" w:hAnsi="宋体" w:cs="宋体" w:eastAsia="宋体" w:hint="default"/>
                <w:spacing w:val="-4"/>
                <w:w w:val="99"/>
                <w:sz w:val="18"/>
                <w:szCs w:val="18"/>
              </w:rPr>
              <w:t>号），在资产负债表中删除原</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应付票据</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及</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应付账款</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项目，将其整合为</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项目，反映资产负债表日因购买材料、商品和接受</w:t>
            </w:r>
            <w:r>
              <w:rPr>
                <w:rFonts w:ascii="宋体" w:hAnsi="宋体" w:cs="宋体" w:eastAsia="宋体" w:hint="default"/>
                <w:w w:val="99"/>
                <w:sz w:val="18"/>
                <w:szCs w:val="18"/>
              </w:rPr>
              <w:t> </w:t>
            </w:r>
            <w:r>
              <w:rPr>
                <w:rFonts w:ascii="宋体" w:hAnsi="宋体" w:cs="宋体" w:eastAsia="宋体" w:hint="default"/>
                <w:sz w:val="18"/>
                <w:szCs w:val="18"/>
              </w:rPr>
              <w:t>服务等经营活动应支付的款项，以及开出、承兑的商业汇票，包括银行承兑汇票</w:t>
            </w:r>
            <w:r>
              <w:rPr>
                <w:rFonts w:ascii="宋体" w:hAnsi="宋体" w:cs="宋体" w:eastAsia="宋体" w:hint="default"/>
                <w:w w:val="99"/>
                <w:sz w:val="18"/>
                <w:szCs w:val="18"/>
              </w:rPr>
              <w:t> </w:t>
            </w:r>
            <w:r>
              <w:rPr>
                <w:rFonts w:ascii="宋体" w:hAnsi="宋体" w:cs="宋体" w:eastAsia="宋体" w:hint="default"/>
                <w:sz w:val="18"/>
                <w:szCs w:val="18"/>
              </w:rPr>
              <w:t>和商业承兑汇票。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3"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第六届董事会第二十次审 议通过</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w:t>
            </w:r>
            <w:r>
              <w:rPr>
                <w:rFonts w:ascii="宋体" w:hAnsi="宋体" w:cs="宋体" w:eastAsia="宋体" w:hint="default"/>
                <w:spacing w:val="-3"/>
                <w:sz w:val="18"/>
                <w:szCs w:val="18"/>
              </w:rPr>
              <w:t>式</w:t>
            </w:r>
            <w:r>
              <w:rPr>
                <w:rFonts w:ascii="宋体" w:hAnsi="宋体" w:cs="宋体" w:eastAsia="宋体" w:hint="default"/>
                <w:sz w:val="18"/>
                <w:szCs w:val="18"/>
              </w:rPr>
              <w:t>的通知</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300" w:lineRule="auto" w:before="63"/>
              <w:ind w:left="24" w:right="11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[2018]15</w:t>
            </w:r>
            <w:r>
              <w:rPr>
                <w:rFonts w:ascii="Times New Roman" w:hAnsi="Times New Roman" w:cs="Times New Roman" w:eastAsia="Times New Roman" w:hint="default"/>
                <w:spacing w:val="8"/>
                <w:w w:val="99"/>
                <w:sz w:val="18"/>
                <w:szCs w:val="18"/>
              </w:rPr>
              <w:t> </w:t>
            </w:r>
            <w:r>
              <w:rPr>
                <w:rFonts w:ascii="宋体" w:hAnsi="宋体" w:cs="宋体" w:eastAsia="宋体" w:hint="default"/>
                <w:spacing w:val="-3"/>
                <w:w w:val="99"/>
                <w:sz w:val="18"/>
                <w:szCs w:val="18"/>
              </w:rPr>
              <w:t>号），在资产负债表中删除原</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应付利息</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及</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应付股利</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项目，归并至</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其</w:t>
            </w:r>
            <w:r>
              <w:rPr>
                <w:rFonts w:ascii="宋体" w:hAnsi="宋体" w:cs="宋体" w:eastAsia="宋体" w:hint="default"/>
                <w:spacing w:val="-87"/>
                <w:w w:val="99"/>
                <w:sz w:val="18"/>
                <w:szCs w:val="18"/>
              </w:rPr>
              <w:t> </w:t>
            </w:r>
            <w:r>
              <w:rPr>
                <w:rFonts w:ascii="宋体" w:hAnsi="宋体" w:cs="宋体" w:eastAsia="宋体" w:hint="default"/>
                <w:sz w:val="18"/>
                <w:szCs w:val="18"/>
              </w:rPr>
              <w:t>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第六届董事会第二十次审 议通过</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w:t>
            </w:r>
            <w:r>
              <w:rPr>
                <w:rFonts w:ascii="宋体" w:hAnsi="宋体" w:cs="宋体" w:eastAsia="宋体" w:hint="default"/>
                <w:spacing w:val="-3"/>
                <w:sz w:val="18"/>
                <w:szCs w:val="18"/>
              </w:rPr>
              <w:t>式</w:t>
            </w:r>
            <w:r>
              <w:rPr>
                <w:rFonts w:ascii="宋体" w:hAnsi="宋体" w:cs="宋体" w:eastAsia="宋体" w:hint="default"/>
                <w:sz w:val="18"/>
                <w:szCs w:val="18"/>
              </w:rPr>
              <w:t>的通知</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300" w:lineRule="auto" w:before="63"/>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[2018]15</w:t>
            </w:r>
            <w:r>
              <w:rPr>
                <w:rFonts w:ascii="Times New Roman" w:hAnsi="Times New Roman" w:cs="Times New Roman" w:eastAsia="Times New Roman" w:hint="default"/>
                <w:spacing w:val="10"/>
                <w:w w:val="99"/>
                <w:sz w:val="18"/>
                <w:szCs w:val="18"/>
              </w:rPr>
              <w:t> </w:t>
            </w:r>
            <w:r>
              <w:rPr>
                <w:rFonts w:ascii="宋体" w:hAnsi="宋体" w:cs="宋体" w:eastAsia="宋体" w:hint="default"/>
                <w:spacing w:val="-4"/>
                <w:w w:val="99"/>
                <w:sz w:val="18"/>
                <w:szCs w:val="18"/>
              </w:rPr>
              <w:t>号），在利润表中新增</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研发费用</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项目，反映进行研究与开发过程中发生</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的费用化支出。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第六届董事会第二十次审 议通过</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w:t>
            </w:r>
            <w:r>
              <w:rPr>
                <w:rFonts w:ascii="宋体" w:hAnsi="宋体" w:cs="宋体" w:eastAsia="宋体" w:hint="default"/>
                <w:spacing w:val="-3"/>
                <w:sz w:val="18"/>
                <w:szCs w:val="18"/>
              </w:rPr>
              <w:t>式</w:t>
            </w:r>
            <w:r>
              <w:rPr>
                <w:rFonts w:ascii="宋体" w:hAnsi="宋体" w:cs="宋体" w:eastAsia="宋体" w:hint="default"/>
                <w:sz w:val="18"/>
                <w:szCs w:val="18"/>
              </w:rPr>
              <w:t>的通知</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309" w:lineRule="auto" w:before="63"/>
              <w:ind w:left="24" w:right="29"/>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[2018]15</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3"/>
                <w:w w:val="99"/>
                <w:sz w:val="18"/>
                <w:szCs w:val="18"/>
              </w:rPr>
              <w:t>号），在利润表</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财务费用</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下新增</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利息费用</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与</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利息收入</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项目，分别反</w:t>
            </w:r>
            <w:r>
              <w:rPr>
                <w:rFonts w:ascii="宋体" w:hAnsi="宋体" w:cs="宋体" w:eastAsia="宋体" w:hint="default"/>
                <w:spacing w:val="-86"/>
                <w:w w:val="99"/>
                <w:sz w:val="18"/>
                <w:szCs w:val="18"/>
              </w:rPr>
              <w:t> </w:t>
            </w:r>
            <w:r>
              <w:rPr>
                <w:rFonts w:ascii="宋体" w:hAnsi="宋体" w:cs="宋体" w:eastAsia="宋体" w:hint="default"/>
                <w:sz w:val="18"/>
                <w:szCs w:val="18"/>
              </w:rPr>
              <w:t>映为筹集生产经营所需资金等而发生的应予费用化的利息支出和确认的利息收</w:t>
            </w:r>
            <w:r>
              <w:rPr>
                <w:rFonts w:ascii="宋体" w:hAnsi="宋体" w:cs="宋体" w:eastAsia="宋体" w:hint="default"/>
                <w:w w:val="99"/>
                <w:sz w:val="18"/>
                <w:szCs w:val="18"/>
              </w:rPr>
              <w:t> </w:t>
            </w:r>
            <w:r>
              <w:rPr>
                <w:rFonts w:ascii="宋体" w:hAnsi="宋体" w:cs="宋体" w:eastAsia="宋体" w:hint="default"/>
                <w:sz w:val="18"/>
                <w:szCs w:val="18"/>
              </w:rPr>
              <w:t>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3"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第六届董事会第二十次审 议通过</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日发布了《关于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年度一般企业财务报表格式有关问题的解读》</w:t>
            </w:r>
            <w:r>
              <w:rPr>
                <w:rFonts w:ascii="宋体" w:hAnsi="宋体" w:cs="宋体" w:eastAsia="宋体" w:hint="default"/>
                <w:sz w:val="18"/>
                <w:szCs w:val="18"/>
              </w:rPr>
              <w:t> 明确要求代扣个人所得税手续费返还在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列报。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第六届董事会第二十次审 议通过</w:t>
            </w:r>
          </w:p>
          <w:p>
            <w:pPr>
              <w:pStyle w:val="TableParagraph"/>
              <w:spacing w:line="1017"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105.85pt;height:50.9pt;mso-position-horizontal-relative:char;mso-position-vertical-relative:line" coordorigin="0,0" coordsize="2117,1018">
                  <v:group style="position:absolute;left:0;top:0;width:2117;height:1018" coordorigin="0,0" coordsize="2117,1018">
                    <v:shape style="position:absolute;left:0;top:0;width:2117;height:1018" coordorigin="0,0" coordsize="2117,1018" path="m0,1018l2117,1018,2117,0,0,0,0,1018xe" filled="true" fillcolor="#ffffff" stroked="false">
                      <v:path arrowok="t"/>
                      <v:fill type="solid"/>
                    </v:shape>
                  </v:group>
                  <v:group style="position:absolute;left:24;top:0;width:2072;height:353" coordorigin="24,0" coordsize="2072,353">
                    <v:shape style="position:absolute;left:24;top:0;width:2072;height:353" coordorigin="24,0" coordsize="2072,353" path="m24,353l2095,353,2095,0,24,0,24,353xe" filled="true" fillcolor="#ffffff" stroked="false">
                      <v:path arrowok="t"/>
                      <v:fill type="solid"/>
                    </v:shape>
                  </v:group>
                  <v:group style="position:absolute;left:24;top:353;width:2072;height:312" coordorigin="24,353" coordsize="2072,312">
                    <v:shape style="position:absolute;left:24;top:353;width:2072;height:312" coordorigin="24,353" coordsize="2072,312" path="m24,665l2095,665,2095,353,24,353,24,665xe" filled="true" fillcolor="#ffffff" stroked="false">
                      <v:path arrowok="t"/>
                      <v:fill type="solid"/>
                    </v:shape>
                  </v:group>
                  <v:group style="position:absolute;left:24;top:665;width:2072;height:353" coordorigin="24,665" coordsize="2072,353">
                    <v:shape style="position:absolute;left:24;top:665;width:2072;height:353" coordorigin="24,665" coordsize="2072,353" path="m24,1018l2095,1018,2095,665,24,665,24,1018xe" filled="true" fillcolor="#ffffff" stroked="false">
                      <v:path arrowok="t"/>
                      <v:fill type="solid"/>
                    </v:shape>
                  </v:group>
                </v:group>
              </w:pict>
            </w:r>
            <w:r>
              <w:rPr>
                <w:rFonts w:ascii="宋体" w:hAnsi="宋体" w:cs="宋体" w:eastAsia="宋体" w:hint="default"/>
                <w:position w:val="-19"/>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00" w:lineRule="auto" w:before="44"/>
        <w:ind w:right="986" w:firstLine="419"/>
        <w:jc w:val="left"/>
      </w:pPr>
      <w:r>
        <w:rPr/>
        <w:pict>
          <v:shape style="position:absolute;margin-left:369.720001pt;margin-top:-55.688286pt;width:112pt;height:50.9pt;mso-position-horizontal-relative:page;mso-position-vertical-relative:paragraph;z-index:-943576"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公司经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日召开的第六届董事会第二十次审议通过，公司按照财政部于</w:t>
      </w:r>
      <w:r>
        <w:rPr>
          <w:rFonts w:ascii="Times New Roman" w:hAnsi="Times New Roman" w:cs="Times New Roman" w:eastAsia="Times New Roman" w:hint="default"/>
        </w:rPr>
        <w:t>2018</w:t>
      </w:r>
      <w:r>
        <w:rPr/>
        <w:t>年度颁布的《财政部关于修订 </w:t>
      </w:r>
      <w:r>
        <w:rPr>
          <w:spacing w:val="-1"/>
        </w:rPr>
        <w:t>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号）的规定修订公司的财务报表格式。因公司尚未执行新金融</w:t>
      </w:r>
    </w:p>
    <w:p>
      <w:pPr>
        <w:spacing w:after="0" w:line="30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t>准则和新收入准则，应采用通知附件</w:t>
      </w:r>
      <w:r>
        <w:rPr>
          <w:rFonts w:ascii="Times New Roman" w:hAnsi="Times New Roman" w:cs="Times New Roman" w:eastAsia="Times New Roman" w:hint="default"/>
        </w:rPr>
        <w:t>1</w:t>
      </w:r>
      <w:r>
        <w:rPr/>
        <w:t>的要求编制财务报表，并对比较报表的列报进行相应调整。本次会计政策变更，仅对</w:t>
      </w:r>
      <w:r>
        <w:rPr>
          <w:spacing w:val="-84"/>
        </w:rPr>
        <w:t> </w:t>
      </w:r>
      <w:r>
        <w:rPr>
          <w:spacing w:val="-84"/>
        </w:rPr>
      </w:r>
      <w:r>
        <w:rPr>
          <w:spacing w:val="-2"/>
        </w:rPr>
        <w:t>财务报表项目列示产生影响，对公司财务状况、经营成果和现金流量无重大影响。</w:t>
      </w:r>
      <w:r>
        <w:rPr>
          <w:rFonts w:ascii="Times New Roman" w:hAnsi="Times New Roman" w:cs="Times New Roman" w:eastAsia="Times New Roman" w:hint="default"/>
          <w:spacing w:val="-2"/>
        </w:rPr>
        <w:t>2017</w:t>
      </w:r>
      <w:r>
        <w:rPr>
          <w:spacing w:val="-2"/>
        </w:rPr>
        <w:t>年度财务报表受影响的报表项目和金</w:t>
      </w:r>
      <w:r>
        <w:rPr>
          <w:spacing w:val="-61"/>
        </w:rPr>
        <w:t> </w:t>
      </w:r>
      <w:r>
        <w:rPr>
          <w:spacing w:val="-61"/>
        </w:rPr>
      </w:r>
      <w:r>
        <w:rPr/>
        <w:t>额如下：</w:t>
      </w: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493"/>
        <w:gridCol w:w="316"/>
        <w:gridCol w:w="2406"/>
        <w:gridCol w:w="2350"/>
      </w:tblGrid>
      <w:tr>
        <w:trPr>
          <w:trHeight w:val="334" w:hRule="exact"/>
        </w:trPr>
        <w:tc>
          <w:tcPr>
            <w:tcW w:w="449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left="116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722"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left="275" w:right="0"/>
              <w:jc w:val="left"/>
              <w:rPr>
                <w:rFonts w:ascii="宋体" w:hAnsi="宋体" w:cs="宋体" w:eastAsia="宋体" w:hint="default"/>
                <w:sz w:val="18"/>
                <w:szCs w:val="18"/>
              </w:rPr>
            </w:pPr>
            <w:r>
              <w:rPr>
                <w:rFonts w:ascii="宋体" w:hAnsi="宋体" w:cs="宋体" w:eastAsia="宋体" w:hint="default"/>
                <w:sz w:val="18"/>
                <w:szCs w:val="18"/>
              </w:rPr>
              <w:t>受重要影响的报表项目名称</w:t>
            </w:r>
          </w:p>
        </w:tc>
        <w:tc>
          <w:tcPr>
            <w:tcW w:w="235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53" w:hRule="exact"/>
        </w:trPr>
        <w:tc>
          <w:tcPr>
            <w:tcW w:w="4493" w:type="dxa"/>
            <w:vMerge w:val="restart"/>
            <w:tcBorders>
              <w:top w:val="single" w:sz="4" w:space="0" w:color="000000"/>
              <w:left w:val="single" w:sz="4" w:space="0" w:color="000000"/>
              <w:right w:val="single" w:sz="4" w:space="0" w:color="000000"/>
            </w:tcBorders>
          </w:tcPr>
          <w:p>
            <w:pPr>
              <w:pStyle w:val="TableParagraph"/>
              <w:spacing w:line="304" w:lineRule="auto" w:before="27"/>
              <w:ind w:left="7" w:right="-25"/>
              <w:jc w:val="left"/>
              <w:rPr>
                <w:rFonts w:ascii="宋体" w:hAnsi="宋体" w:cs="宋体" w:eastAsia="宋体" w:hint="default"/>
                <w:sz w:val="18"/>
                <w:szCs w:val="18"/>
              </w:rPr>
            </w:pPr>
            <w:r>
              <w:rPr>
                <w:rFonts w:ascii="宋体" w:hAnsi="宋体" w:cs="宋体" w:eastAsia="宋体" w:hint="default"/>
                <w:spacing w:val="-2"/>
                <w:sz w:val="18"/>
                <w:szCs w:val="18"/>
              </w:rPr>
              <w:t>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w:t>
            </w:r>
            <w:r>
              <w:rPr>
                <w:rFonts w:ascii="宋体" w:hAnsi="宋体" w:cs="宋体" w:eastAsia="宋体" w:hint="default"/>
                <w:spacing w:val="-64"/>
                <w:sz w:val="18"/>
                <w:szCs w:val="18"/>
              </w:rPr>
              <w:t> </w:t>
            </w:r>
            <w:r>
              <w:rPr>
                <w:rFonts w:ascii="宋体" w:hAnsi="宋体" w:cs="宋体" w:eastAsia="宋体" w:hint="default"/>
                <w:spacing w:val="-8"/>
                <w:sz w:val="18"/>
                <w:szCs w:val="18"/>
              </w:rPr>
              <w:t>式的通知》（财会</w:t>
            </w:r>
            <w:r>
              <w:rPr>
                <w:rFonts w:ascii="Times New Roman" w:hAnsi="Times New Roman" w:cs="Times New Roman" w:eastAsia="Times New Roman" w:hint="default"/>
                <w:b/>
                <w:bCs/>
                <w:spacing w:val="-8"/>
                <w:sz w:val="18"/>
                <w:szCs w:val="18"/>
              </w:rPr>
              <w:t>[</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b/>
                <w:bCs/>
                <w:spacing w:val="-8"/>
                <w:sz w:val="18"/>
                <w:szCs w:val="18"/>
              </w:rPr>
              <w:t>]</w:t>
            </w:r>
            <w:r>
              <w:rPr>
                <w:rFonts w:ascii="Times New Roman" w:hAnsi="Times New Roman" w:cs="Times New Roman" w:eastAsia="Times New Roman" w:hint="default"/>
                <w:spacing w:val="-8"/>
                <w:sz w:val="18"/>
                <w:szCs w:val="18"/>
              </w:rPr>
              <w:t>15</w:t>
            </w:r>
            <w:r>
              <w:rPr>
                <w:rFonts w:ascii="宋体" w:hAnsi="宋体" w:cs="宋体" w:eastAsia="宋体" w:hint="default"/>
                <w:spacing w:val="-8"/>
                <w:sz w:val="18"/>
                <w:szCs w:val="18"/>
              </w:rPr>
              <w:t>号），在资产负债表中删除原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w:t>
            </w:r>
            <w:r>
              <w:rPr>
                <w:rFonts w:ascii="宋体" w:hAnsi="宋体" w:cs="宋体" w:eastAsia="宋体" w:hint="default"/>
                <w:spacing w:val="-74"/>
                <w:sz w:val="18"/>
                <w:szCs w:val="18"/>
              </w:rPr>
              <w:t> </w:t>
            </w:r>
            <w:r>
              <w:rPr>
                <w:rFonts w:ascii="宋体" w:hAnsi="宋体" w:cs="宋体" w:eastAsia="宋体" w:hint="default"/>
                <w:sz w:val="18"/>
                <w:szCs w:val="18"/>
              </w:rPr>
              <w:t>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项目，将其整合为新增的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项目，反映资产负债表日以摊余成本计量的 </w:t>
            </w:r>
            <w:r>
              <w:rPr>
                <w:rFonts w:ascii="宋体" w:hAnsi="宋体" w:cs="宋体" w:eastAsia="宋体" w:hint="default"/>
                <w:spacing w:val="-2"/>
                <w:sz w:val="18"/>
                <w:szCs w:val="18"/>
              </w:rPr>
              <w:t>企业因销售商品、提供服务等经营活动应收取的款项，以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及收到的商业汇票，包括银行承兑汇票和商业承兑汇票。</w:t>
            </w:r>
          </w:p>
        </w:tc>
        <w:tc>
          <w:tcPr>
            <w:tcW w:w="316" w:type="dxa"/>
            <w:tcBorders>
              <w:top w:val="single" w:sz="4" w:space="0" w:color="000000"/>
              <w:left w:val="single" w:sz="4" w:space="0" w:color="000000"/>
              <w:bottom w:val="single" w:sz="4" w:space="0" w:color="000000"/>
              <w:right w:val="nil" w:sz="6" w:space="0" w:color="auto"/>
            </w:tcBorders>
          </w:tcPr>
          <w:p>
            <w:pPr/>
          </w:p>
        </w:tc>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11"/>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Times New Roman" w:hAnsi="Times New Roman" w:cs="Times New Roman" w:eastAsia="Times New Roman" w:hint="default"/>
                <w:sz w:val="18"/>
                <w:szCs w:val="18"/>
              </w:rPr>
            </w:pPr>
            <w:r>
              <w:rPr>
                <w:rFonts w:ascii="Times New Roman"/>
                <w:spacing w:val="-1"/>
                <w:sz w:val="18"/>
              </w:rPr>
              <w:t>4,910,013,753.74</w:t>
            </w:r>
          </w:p>
        </w:tc>
      </w:tr>
      <w:tr>
        <w:trPr>
          <w:trHeight w:val="346" w:hRule="exact"/>
        </w:trPr>
        <w:tc>
          <w:tcPr>
            <w:tcW w:w="4493" w:type="dxa"/>
            <w:vMerge/>
            <w:tcBorders>
              <w:left w:val="single" w:sz="4" w:space="0" w:color="000000"/>
              <w:right w:val="single" w:sz="4" w:space="0" w:color="000000"/>
            </w:tcBorders>
          </w:tcPr>
          <w:p>
            <w:pPr/>
          </w:p>
        </w:tc>
        <w:tc>
          <w:tcPr>
            <w:tcW w:w="316" w:type="dxa"/>
            <w:tcBorders>
              <w:top w:val="single" w:sz="4" w:space="0" w:color="000000"/>
              <w:left w:val="single" w:sz="4" w:space="0" w:color="000000"/>
              <w:bottom w:val="nil" w:sz="6" w:space="0" w:color="auto"/>
              <w:right w:val="nil" w:sz="6" w:space="0" w:color="auto"/>
            </w:tcBorders>
          </w:tcPr>
          <w:p>
            <w:pPr/>
          </w:p>
        </w:tc>
        <w:tc>
          <w:tcPr>
            <w:tcW w:w="2406"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right="308"/>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-181,649,503.56</w:t>
            </w:r>
            <w:r>
              <w:rPr>
                <w:rFonts w:ascii="Times New Roman"/>
                <w:sz w:val="18"/>
              </w:rPr>
            </w:r>
          </w:p>
        </w:tc>
      </w:tr>
      <w:tr>
        <w:trPr>
          <w:trHeight w:val="1212" w:hRule="exact"/>
        </w:trPr>
        <w:tc>
          <w:tcPr>
            <w:tcW w:w="4493" w:type="dxa"/>
            <w:vMerge/>
            <w:tcBorders>
              <w:left w:val="single" w:sz="4" w:space="0" w:color="000000"/>
              <w:bottom w:val="single" w:sz="4" w:space="0" w:color="000000"/>
              <w:right w:val="single" w:sz="4" w:space="0" w:color="000000"/>
            </w:tcBorders>
          </w:tcPr>
          <w:p>
            <w:pPr/>
          </w:p>
        </w:tc>
        <w:tc>
          <w:tcPr>
            <w:tcW w:w="272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应收账款</w:t>
            </w:r>
          </w:p>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pacing w:val="-1"/>
                <w:sz w:val="18"/>
              </w:rPr>
              <w:t>-4,728,364,250.18</w:t>
            </w:r>
          </w:p>
        </w:tc>
      </w:tr>
      <w:tr>
        <w:trPr>
          <w:trHeight w:val="346" w:hRule="exact"/>
        </w:trPr>
        <w:tc>
          <w:tcPr>
            <w:tcW w:w="4493" w:type="dxa"/>
            <w:vMerge w:val="restart"/>
            <w:tcBorders>
              <w:top w:val="single" w:sz="4" w:space="0" w:color="000000"/>
              <w:left w:val="single" w:sz="4" w:space="0" w:color="000000"/>
              <w:right w:val="single" w:sz="4" w:space="0" w:color="000000"/>
            </w:tcBorders>
          </w:tcPr>
          <w:p>
            <w:pPr>
              <w:pStyle w:val="TableParagraph"/>
              <w:spacing w:line="304" w:lineRule="auto" w:before="20"/>
              <w:ind w:left="7" w:right="0"/>
              <w:jc w:val="both"/>
              <w:rPr>
                <w:rFonts w:ascii="宋体" w:hAnsi="宋体" w:cs="宋体" w:eastAsia="宋体" w:hint="default"/>
                <w:sz w:val="18"/>
                <w:szCs w:val="18"/>
              </w:rPr>
            </w:pPr>
            <w:r>
              <w:rPr>
                <w:rFonts w:ascii="宋体" w:hAnsi="宋体" w:cs="宋体" w:eastAsia="宋体" w:hint="default"/>
                <w:spacing w:val="-2"/>
                <w:sz w:val="18"/>
                <w:szCs w:val="18"/>
              </w:rPr>
              <w:t>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w:t>
            </w:r>
            <w:r>
              <w:rPr>
                <w:rFonts w:ascii="宋体" w:hAnsi="宋体" w:cs="宋体" w:eastAsia="宋体" w:hint="default"/>
                <w:spacing w:val="-64"/>
                <w:sz w:val="18"/>
                <w:szCs w:val="18"/>
              </w:rPr>
              <w:t> </w:t>
            </w:r>
            <w:r>
              <w:rPr>
                <w:rFonts w:ascii="宋体" w:hAnsi="宋体" w:cs="宋体" w:eastAsia="宋体" w:hint="default"/>
                <w:spacing w:val="-8"/>
                <w:sz w:val="18"/>
                <w:szCs w:val="18"/>
              </w:rPr>
              <w:t>式的通知》（财会</w:t>
            </w:r>
            <w:r>
              <w:rPr>
                <w:rFonts w:ascii="Times New Roman" w:hAnsi="Times New Roman" w:cs="Times New Roman" w:eastAsia="Times New Roman" w:hint="default"/>
                <w:spacing w:val="-8"/>
                <w:sz w:val="18"/>
                <w:szCs w:val="18"/>
              </w:rPr>
              <w:t>[2018]15</w:t>
            </w:r>
            <w:r>
              <w:rPr>
                <w:rFonts w:ascii="宋体" w:hAnsi="宋体" w:cs="宋体" w:eastAsia="宋体" w:hint="default"/>
                <w:spacing w:val="-8"/>
                <w:sz w:val="18"/>
                <w:szCs w:val="18"/>
              </w:rPr>
              <w:t>号），在资产负债表中删除原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w:t>
            </w:r>
            <w:r>
              <w:rPr>
                <w:rFonts w:ascii="宋体" w:hAnsi="宋体" w:cs="宋体" w:eastAsia="宋体" w:hint="default"/>
                <w:spacing w:val="-75"/>
                <w:sz w:val="18"/>
                <w:szCs w:val="18"/>
              </w:rPr>
              <w:t> </w:t>
            </w:r>
            <w:r>
              <w:rPr>
                <w:rFonts w:ascii="宋体" w:hAnsi="宋体" w:cs="宋体" w:eastAsia="宋体" w:hint="default"/>
                <w:sz w:val="18"/>
                <w:szCs w:val="18"/>
              </w:rPr>
              <w:t>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项目，将其整合为新增的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项目，反映资产负债表日因购买材料、商品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和接受服务等经营活动应支付的款项，以及开出、承兑的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商业汇票，包括银行承兑汇票和商业承兑汇票。</w:t>
            </w: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1,391,990,364.08</w:t>
            </w:r>
          </w:p>
        </w:tc>
      </w:tr>
      <w:tr>
        <w:trPr>
          <w:trHeight w:val="346" w:hRule="exact"/>
        </w:trPr>
        <w:tc>
          <w:tcPr>
            <w:tcW w:w="4493" w:type="dxa"/>
            <w:vMerge/>
            <w:tcBorders>
              <w:left w:val="single" w:sz="4" w:space="0" w:color="000000"/>
              <w:right w:val="single" w:sz="4" w:space="0" w:color="000000"/>
            </w:tcBorders>
          </w:tcPr>
          <w:p>
            <w:pP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-443,949,481.53</w:t>
            </w:r>
            <w:r>
              <w:rPr>
                <w:rFonts w:ascii="Times New Roman"/>
                <w:sz w:val="18"/>
              </w:rPr>
            </w:r>
          </w:p>
        </w:tc>
      </w:tr>
      <w:tr>
        <w:trPr>
          <w:trHeight w:val="1210" w:hRule="exact"/>
        </w:trPr>
        <w:tc>
          <w:tcPr>
            <w:tcW w:w="4493" w:type="dxa"/>
            <w:vMerge/>
            <w:tcBorders>
              <w:left w:val="single" w:sz="4" w:space="0" w:color="000000"/>
              <w:bottom w:val="single" w:sz="4" w:space="0" w:color="000000"/>
              <w:right w:val="single" w:sz="4" w:space="0" w:color="000000"/>
            </w:tcBorders>
          </w:tcPr>
          <w:p>
            <w:pP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-948,040,882.55</w:t>
            </w:r>
            <w:r>
              <w:rPr>
                <w:rFonts w:ascii="Times New Roman"/>
                <w:sz w:val="18"/>
              </w:rPr>
            </w:r>
          </w:p>
        </w:tc>
      </w:tr>
      <w:tr>
        <w:trPr>
          <w:trHeight w:val="346" w:hRule="exact"/>
        </w:trPr>
        <w:tc>
          <w:tcPr>
            <w:tcW w:w="4493" w:type="dxa"/>
            <w:vMerge w:val="restart"/>
            <w:tcBorders>
              <w:top w:val="single" w:sz="4" w:space="0" w:color="000000"/>
              <w:left w:val="single" w:sz="4" w:space="0" w:color="000000"/>
              <w:right w:val="single" w:sz="4" w:space="0" w:color="000000"/>
            </w:tcBorders>
          </w:tcPr>
          <w:p>
            <w:pPr>
              <w:pStyle w:val="TableParagraph"/>
              <w:spacing w:line="300" w:lineRule="auto" w:before="20"/>
              <w:ind w:left="7" w:right="0"/>
              <w:jc w:val="both"/>
              <w:rPr>
                <w:rFonts w:ascii="宋体" w:hAnsi="宋体" w:cs="宋体" w:eastAsia="宋体" w:hint="default"/>
                <w:sz w:val="18"/>
                <w:szCs w:val="18"/>
              </w:rPr>
            </w:pPr>
            <w:r>
              <w:rPr>
                <w:rFonts w:ascii="宋体" w:hAnsi="宋体" w:cs="宋体" w:eastAsia="宋体" w:hint="default"/>
                <w:spacing w:val="-2"/>
                <w:sz w:val="18"/>
                <w:szCs w:val="18"/>
              </w:rPr>
              <w:t>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w:t>
            </w:r>
            <w:r>
              <w:rPr>
                <w:rFonts w:ascii="宋体" w:hAnsi="宋体" w:cs="宋体" w:eastAsia="宋体" w:hint="default"/>
                <w:spacing w:val="-64"/>
                <w:sz w:val="18"/>
                <w:szCs w:val="18"/>
              </w:rPr>
              <w:t> </w:t>
            </w:r>
            <w:r>
              <w:rPr>
                <w:rFonts w:ascii="宋体" w:hAnsi="宋体" w:cs="宋体" w:eastAsia="宋体" w:hint="default"/>
                <w:spacing w:val="-8"/>
                <w:sz w:val="18"/>
                <w:szCs w:val="18"/>
              </w:rPr>
              <w:t>式的通知》（财会</w:t>
            </w:r>
            <w:r>
              <w:rPr>
                <w:rFonts w:ascii="Times New Roman" w:hAnsi="Times New Roman" w:cs="Times New Roman" w:eastAsia="Times New Roman" w:hint="default"/>
                <w:spacing w:val="-8"/>
                <w:sz w:val="18"/>
                <w:szCs w:val="18"/>
              </w:rPr>
              <w:t>[2018]15</w:t>
            </w:r>
            <w:r>
              <w:rPr>
                <w:rFonts w:ascii="宋体" w:hAnsi="宋体" w:cs="宋体" w:eastAsia="宋体" w:hint="default"/>
                <w:spacing w:val="-8"/>
                <w:sz w:val="18"/>
                <w:szCs w:val="18"/>
              </w:rPr>
              <w:t>号），在资产负债表中删除原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w:t>
            </w:r>
            <w:r>
              <w:rPr>
                <w:rFonts w:ascii="宋体" w:hAnsi="宋体" w:cs="宋体" w:eastAsia="宋体" w:hint="default"/>
                <w:spacing w:val="-75"/>
                <w:sz w:val="18"/>
                <w:szCs w:val="18"/>
              </w:rPr>
              <w:t> </w:t>
            </w:r>
            <w:r>
              <w:rPr>
                <w:rFonts w:ascii="宋体" w:hAnsi="宋体" w:cs="宋体" w:eastAsia="宋体" w:hint="default"/>
                <w:sz w:val="18"/>
                <w:szCs w:val="18"/>
              </w:rPr>
              <w:t>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r>
        <w:trPr>
          <w:trHeight w:val="346" w:hRule="exact"/>
        </w:trPr>
        <w:tc>
          <w:tcPr>
            <w:tcW w:w="4493" w:type="dxa"/>
            <w:vMerge/>
            <w:tcBorders>
              <w:left w:val="single" w:sz="4" w:space="0" w:color="000000"/>
              <w:right w:val="single" w:sz="4" w:space="0" w:color="000000"/>
            </w:tcBorders>
          </w:tcPr>
          <w:p>
            <w:pP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493" w:type="dxa"/>
            <w:vMerge/>
            <w:tcBorders>
              <w:left w:val="single" w:sz="4" w:space="0" w:color="000000"/>
              <w:bottom w:val="single" w:sz="4" w:space="0" w:color="000000"/>
              <w:right w:val="single" w:sz="4" w:space="0" w:color="000000"/>
            </w:tcBorders>
          </w:tcPr>
          <w:p>
            <w:pP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r>
        <w:trPr>
          <w:trHeight w:val="346" w:hRule="exact"/>
        </w:trPr>
        <w:tc>
          <w:tcPr>
            <w:tcW w:w="4493" w:type="dxa"/>
            <w:vMerge w:val="restart"/>
            <w:tcBorders>
              <w:top w:val="single" w:sz="4" w:space="0" w:color="000000"/>
              <w:left w:val="single" w:sz="4" w:space="0" w:color="000000"/>
              <w:right w:val="single" w:sz="4" w:space="0" w:color="000000"/>
            </w:tcBorders>
          </w:tcPr>
          <w:p>
            <w:pPr>
              <w:pStyle w:val="TableParagraph"/>
              <w:spacing w:line="300" w:lineRule="auto" w:before="20"/>
              <w:ind w:left="7" w:right="0"/>
              <w:jc w:val="both"/>
              <w:rPr>
                <w:rFonts w:ascii="宋体" w:hAnsi="宋体" w:cs="宋体" w:eastAsia="宋体" w:hint="default"/>
                <w:sz w:val="18"/>
                <w:szCs w:val="18"/>
              </w:rPr>
            </w:pPr>
            <w:r>
              <w:rPr>
                <w:rFonts w:ascii="宋体" w:hAnsi="宋体" w:cs="宋体" w:eastAsia="宋体" w:hint="default"/>
                <w:spacing w:val="-2"/>
                <w:sz w:val="18"/>
                <w:szCs w:val="18"/>
              </w:rPr>
              <w:t>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w:t>
            </w:r>
            <w:r>
              <w:rPr>
                <w:rFonts w:ascii="宋体" w:hAnsi="宋体" w:cs="宋体" w:eastAsia="宋体" w:hint="default"/>
                <w:spacing w:val="-64"/>
                <w:sz w:val="18"/>
                <w:szCs w:val="18"/>
              </w:rPr>
              <w:t> </w:t>
            </w:r>
            <w:r>
              <w:rPr>
                <w:rFonts w:ascii="宋体" w:hAnsi="宋体" w:cs="宋体" w:eastAsia="宋体" w:hint="default"/>
                <w:spacing w:val="-2"/>
                <w:sz w:val="18"/>
                <w:szCs w:val="18"/>
              </w:rPr>
              <w:t>式的通知》（财会</w:t>
            </w:r>
            <w:r>
              <w:rPr>
                <w:rFonts w:ascii="Times New Roman" w:hAnsi="Times New Roman" w:cs="Times New Roman" w:eastAsia="Times New Roman" w:hint="default"/>
                <w:spacing w:val="-2"/>
                <w:sz w:val="18"/>
                <w:szCs w:val="18"/>
              </w:rPr>
              <w:t>[2018]15</w:t>
            </w:r>
            <w:r>
              <w:rPr>
                <w:rFonts w:ascii="宋体" w:hAnsi="宋体" w:cs="宋体" w:eastAsia="宋体" w:hint="default"/>
                <w:spacing w:val="-2"/>
                <w:sz w:val="18"/>
                <w:szCs w:val="18"/>
              </w:rPr>
              <w:t>号），在利润表中新增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w:t>
            </w:r>
            <w:r>
              <w:rPr>
                <w:rFonts w:ascii="宋体" w:hAnsi="宋体" w:cs="宋体" w:eastAsia="宋体" w:hint="default"/>
                <w:spacing w:val="-84"/>
                <w:sz w:val="18"/>
                <w:szCs w:val="18"/>
              </w:rPr>
              <w:t> </w:t>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项目，反映进行研究与开发过程中发生的费用化支出</w:t>
            </w:r>
          </w:p>
        </w:tc>
        <w:tc>
          <w:tcPr>
            <w:tcW w:w="316" w:type="dxa"/>
            <w:tcBorders>
              <w:top w:val="single" w:sz="4" w:space="0" w:color="000000"/>
              <w:left w:val="single" w:sz="4" w:space="0" w:color="000000"/>
              <w:bottom w:val="single" w:sz="4" w:space="0" w:color="000000"/>
              <w:right w:val="nil" w:sz="6" w:space="0" w:color="auto"/>
            </w:tcBorders>
          </w:tcPr>
          <w:p>
            <w:pPr/>
          </w:p>
        </w:tc>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30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-343,963,250.41</w:t>
            </w:r>
            <w:r>
              <w:rPr>
                <w:rFonts w:ascii="Times New Roman"/>
                <w:sz w:val="18"/>
              </w:rPr>
            </w:r>
          </w:p>
        </w:tc>
      </w:tr>
      <w:tr>
        <w:trPr>
          <w:trHeight w:val="619" w:hRule="exact"/>
        </w:trPr>
        <w:tc>
          <w:tcPr>
            <w:tcW w:w="4493" w:type="dxa"/>
            <w:vMerge/>
            <w:tcBorders>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2406" w:type="dxa"/>
            <w:tcBorders>
              <w:top w:val="single" w:sz="4" w:space="0" w:color="000000"/>
              <w:left w:val="nil" w:sz="6" w:space="0" w:color="auto"/>
              <w:bottom w:val="nil" w:sz="6" w:space="0" w:color="auto"/>
              <w:right w:val="single" w:sz="4" w:space="0" w:color="000000"/>
            </w:tcBorders>
          </w:tcPr>
          <w:p>
            <w:pPr>
              <w:pStyle w:val="TableParagraph"/>
              <w:spacing w:line="240" w:lineRule="auto" w:before="20"/>
              <w:ind w:right="30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343,963,250.41</w:t>
            </w:r>
            <w:r>
              <w:rPr>
                <w:rFonts w:ascii="Times New Roman"/>
                <w:sz w:val="18"/>
              </w:rPr>
            </w:r>
          </w:p>
        </w:tc>
      </w:tr>
      <w:tr>
        <w:trPr>
          <w:trHeight w:val="346" w:hRule="exact"/>
        </w:trPr>
        <w:tc>
          <w:tcPr>
            <w:tcW w:w="4493" w:type="dxa"/>
            <w:vMerge w:val="restart"/>
            <w:tcBorders>
              <w:top w:val="single" w:sz="4" w:space="0" w:color="000000"/>
              <w:left w:val="single" w:sz="4" w:space="0" w:color="000000"/>
              <w:right w:val="single" w:sz="4" w:space="0" w:color="000000"/>
            </w:tcBorders>
          </w:tcPr>
          <w:p>
            <w:pPr>
              <w:pStyle w:val="TableParagraph"/>
              <w:spacing w:line="304" w:lineRule="auto" w:before="20"/>
              <w:ind w:left="7" w:right="-8"/>
              <w:jc w:val="both"/>
              <w:rPr>
                <w:rFonts w:ascii="宋体" w:hAnsi="宋体" w:cs="宋体" w:eastAsia="宋体" w:hint="default"/>
                <w:sz w:val="18"/>
                <w:szCs w:val="18"/>
              </w:rPr>
            </w:pPr>
            <w:r>
              <w:rPr>
                <w:rFonts w:ascii="宋体" w:hAnsi="宋体" w:cs="宋体" w:eastAsia="宋体" w:hint="default"/>
                <w:spacing w:val="-2"/>
                <w:sz w:val="18"/>
                <w:szCs w:val="18"/>
              </w:rPr>
              <w:t>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w:t>
            </w:r>
            <w:r>
              <w:rPr>
                <w:rFonts w:ascii="宋体" w:hAnsi="宋体" w:cs="宋体" w:eastAsia="宋体" w:hint="default"/>
                <w:spacing w:val="-64"/>
                <w:sz w:val="18"/>
                <w:szCs w:val="18"/>
              </w:rPr>
              <w:t> </w:t>
            </w:r>
            <w:r>
              <w:rPr>
                <w:rFonts w:ascii="宋体" w:hAnsi="宋体" w:cs="宋体" w:eastAsia="宋体" w:hint="default"/>
                <w:sz w:val="18"/>
                <w:szCs w:val="18"/>
              </w:rPr>
              <w:t>式的通知》（财会</w:t>
            </w:r>
            <w:r>
              <w:rPr>
                <w:rFonts w:ascii="Times New Roman" w:hAnsi="Times New Roman" w:cs="Times New Roman" w:eastAsia="Times New Roman" w:hint="default"/>
                <w:sz w:val="18"/>
                <w:szCs w:val="18"/>
              </w:rPr>
              <w:t>[2018]15</w:t>
            </w:r>
            <w:r>
              <w:rPr>
                <w:rFonts w:ascii="宋体" w:hAnsi="宋体" w:cs="宋体" w:eastAsia="宋体" w:hint="default"/>
                <w:sz w:val="18"/>
                <w:szCs w:val="18"/>
              </w:rPr>
              <w:t>号），在利润表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下</w:t>
            </w:r>
            <w:r>
              <w:rPr>
                <w:rFonts w:ascii="宋体" w:hAnsi="宋体" w:cs="宋体" w:eastAsia="宋体" w:hint="default"/>
                <w:spacing w:val="-49"/>
                <w:sz w:val="18"/>
                <w:szCs w:val="18"/>
              </w:rPr>
              <w:t> </w:t>
            </w:r>
            <w:r>
              <w:rPr>
                <w:rFonts w:ascii="宋体" w:hAnsi="宋体" w:cs="宋体" w:eastAsia="宋体" w:hint="default"/>
                <w:sz w:val="18"/>
                <w:szCs w:val="18"/>
              </w:rPr>
              <w:t>新增</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项目，分别反映为筹集生产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经营所需资金等而发生的应予费用化的利息支出和确认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的利息收入。</w:t>
            </w: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利息费用</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43,388,597.11</w:t>
            </w:r>
          </w:p>
        </w:tc>
      </w:tr>
      <w:tr>
        <w:trPr>
          <w:trHeight w:val="1246" w:hRule="exact"/>
        </w:trPr>
        <w:tc>
          <w:tcPr>
            <w:tcW w:w="4493" w:type="dxa"/>
            <w:vMerge/>
            <w:tcBorders>
              <w:left w:val="single" w:sz="4" w:space="0" w:color="000000"/>
              <w:bottom w:val="single" w:sz="4" w:space="0" w:color="000000"/>
              <w:right w:val="single" w:sz="4" w:space="0" w:color="000000"/>
            </w:tcBorders>
          </w:tcPr>
          <w:p>
            <w:pP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5,479,332.50</w:t>
            </w:r>
            <w:r>
              <w:rPr>
                <w:rFonts w:ascii="Times New Roman"/>
                <w:sz w:val="18"/>
              </w:rPr>
            </w:r>
          </w:p>
        </w:tc>
      </w:tr>
      <w:tr>
        <w:trPr>
          <w:trHeight w:val="346" w:hRule="exact"/>
        </w:trPr>
        <w:tc>
          <w:tcPr>
            <w:tcW w:w="4493" w:type="dxa"/>
            <w:vMerge w:val="restart"/>
            <w:tcBorders>
              <w:top w:val="single" w:sz="4" w:space="0" w:color="000000"/>
              <w:left w:val="single" w:sz="4" w:space="0" w:color="000000"/>
              <w:right w:val="single" w:sz="4" w:space="0" w:color="000000"/>
            </w:tcBorders>
          </w:tcPr>
          <w:p>
            <w:pPr>
              <w:pStyle w:val="TableParagraph"/>
              <w:spacing w:line="309" w:lineRule="auto" w:before="20"/>
              <w:ind w:left="7"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日发布了《关于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w:t>
            </w:r>
            <w:r>
              <w:rPr>
                <w:rFonts w:ascii="宋体" w:hAnsi="宋体" w:cs="宋体" w:eastAsia="宋体" w:hint="default"/>
                <w:spacing w:val="-61"/>
                <w:sz w:val="18"/>
                <w:szCs w:val="18"/>
              </w:rPr>
              <w:t> </w:t>
            </w:r>
            <w:r>
              <w:rPr>
                <w:rFonts w:ascii="宋体" w:hAnsi="宋体" w:cs="宋体" w:eastAsia="宋体" w:hint="default"/>
                <w:spacing w:val="-2"/>
                <w:sz w:val="18"/>
                <w:szCs w:val="18"/>
              </w:rPr>
              <w:t>式有关问题的解读》，明确要求代扣个人所得税手续费返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还在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列报。</w:t>
            </w: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723,019.73</w:t>
            </w:r>
          </w:p>
        </w:tc>
      </w:tr>
      <w:tr>
        <w:trPr>
          <w:trHeight w:val="619" w:hRule="exact"/>
        </w:trPr>
        <w:tc>
          <w:tcPr>
            <w:tcW w:w="4493" w:type="dxa"/>
            <w:vMerge/>
            <w:tcBorders>
              <w:left w:val="single" w:sz="4" w:space="0" w:color="000000"/>
              <w:bottom w:val="single" w:sz="4" w:space="0" w:color="000000"/>
              <w:right w:val="single" w:sz="4" w:space="0" w:color="000000"/>
            </w:tcBorders>
          </w:tcPr>
          <w:p>
            <w:pPr/>
          </w:p>
        </w:tc>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-723,019.73</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left="572" w:right="986"/>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4、其他" w:id="211"/>
      <w:bookmarkEnd w:id="211"/>
      <w:r>
        <w:rPr>
          <w:b w:val="0"/>
          <w:bCs w:val="0"/>
        </w:rPr>
      </w:r>
      <w:r>
        <w:rPr>
          <w:rFonts w:ascii="Times New Roman" w:hAnsi="Times New Roman" w:cs="Times New Roman" w:eastAsia="Times New Roman" w:hint="default"/>
        </w:rPr>
        <w:t>34</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986"/>
        <w:jc w:val="left"/>
        <w:rPr>
          <w:b w:val="0"/>
          <w:bCs w:val="0"/>
        </w:rPr>
      </w:pPr>
      <w:bookmarkStart w:name="六、税项" w:id="212"/>
      <w:bookmarkEnd w:id="212"/>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rFonts w:ascii="宋体" w:hAnsi="宋体" w:cs="宋体" w:eastAsia="宋体" w:hint="default"/>
          <w:b w:val="0"/>
          <w:bCs w:val="0"/>
        </w:rPr>
      </w:pPr>
      <w:r>
        <w:rPr>
          <w:rFonts w:ascii="宋体" w:hAnsi="宋体" w:cs="宋体" w:eastAsia="宋体" w:hint="default"/>
        </w:rPr>
        <w:t>1</w:t>
      </w:r>
      <w:r>
        <w:rPr/>
        <w:t>、主要税种及税率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67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p>
            <w:pPr>
              <w:pStyle w:val="TableParagraph"/>
              <w:spacing w:line="240" w:lineRule="auto" w:before="6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日后为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b/>
          <w:bCs/>
          <w:sz w:val="28"/>
          <w:szCs w:val="28"/>
        </w:rPr>
      </w:pPr>
      <w:r>
        <w:rPr/>
        <w:pict>
          <v:group style="position:absolute;margin-left:375.839996pt;margin-top:202.199982pt;width:159pt;height:70.2pt;mso-position-horizontal-relative:page;mso-position-vertical-relative:page;z-index:-943528" coordorigin="7517,4044" coordsize="3180,1404">
            <v:shape style="position:absolute;left:7517;top:4044;width:3180;height:1404" coordorigin="7517,4044" coordsize="3180,1404" path="m7517,5448l10697,5448,10697,4044,7517,4044,7517,5448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90"/>
        <w:gridCol w:w="3190"/>
        <w:gridCol w:w="1448"/>
        <w:gridCol w:w="1741"/>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允许抵扣的进项税额后，差额部分为应 交增值税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母公司、公司所属子公司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北京东华合创 科技有限公司的应纳税所得额</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w:t>
            </w:r>
          </w:p>
        </w:tc>
      </w:tr>
      <w:tr>
        <w:trPr>
          <w:trHeight w:val="32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泰安东华合创软件有限 公司、北京联银通科技有限公司、北京 神州新桥科技有限公司、东华软件工程 有限公司、北京威锐达测控系统有限公 司、 东华网络股份公司、西安东华软件有限 公司、东华金云网络股份公司；公司所 属孙公司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广东东华发思特软件有限公 司、西安锐益达风电技术有限公司的应 纳税所得额</w:t>
            </w:r>
          </w:p>
        </w:tc>
        <w:tc>
          <w:tcPr>
            <w:tcW w:w="1448" w:type="dxa"/>
            <w:tcBorders>
              <w:top w:val="single" w:sz="4" w:space="0" w:color="000000"/>
              <w:left w:val="single" w:sz="4" w:space="0" w:color="000000"/>
              <w:bottom w:val="single" w:sz="4" w:space="0" w:color="000000"/>
              <w:right w:val="nil" w:sz="6" w:space="0" w:color="auto"/>
            </w:tcBorders>
          </w:tcPr>
          <w:p>
            <w:pPr/>
          </w:p>
        </w:tc>
        <w:tc>
          <w:tcPr>
            <w:tcW w:w="17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北京东华合创香港有限 公司、公司所属孙公司</w:t>
            </w:r>
            <w:r>
              <w:rPr>
                <w:rFonts w:ascii="Times New Roman" w:hAnsi="Times New Roman" w:cs="Times New Roman" w:eastAsia="Times New Roman" w:hint="default"/>
                <w:sz w:val="18"/>
                <w:szCs w:val="18"/>
              </w:rPr>
              <w:t>-Hong Kong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Sino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Bridge Limited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的应纳税所得额</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除上述公司外的其余公司的应纳税所得 额</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6"/>
        <w:rPr>
          <w:rFonts w:ascii="宋体" w:hAnsi="宋体" w:cs="宋体" w:eastAsia="宋体" w:hint="default"/>
          <w:b/>
          <w:bCs/>
          <w:sz w:val="5"/>
          <w:szCs w:val="5"/>
        </w:rPr>
      </w:pPr>
    </w:p>
    <w:p>
      <w:pPr>
        <w:pStyle w:val="Heading4"/>
        <w:spacing w:line="240" w:lineRule="auto" w:before="36"/>
        <w:ind w:left="134" w:right="9488"/>
        <w:jc w:val="center"/>
        <w:rPr>
          <w:rFonts w:ascii="宋体" w:hAnsi="宋体" w:cs="宋体" w:eastAsia="宋体" w:hint="default"/>
          <w:b w:val="0"/>
          <w:bCs w:val="0"/>
        </w:rPr>
      </w:pPr>
      <w:r>
        <w:rPr/>
        <w:pict>
          <v:shape style="position:absolute;margin-left:234.720306pt;margin-top:-251.016312pt;width:300.150pt;height:160pt;mso-position-horizontal-relative:page;mso-position-vertical-relative:paragraph;z-index:-9435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1"/>
                    <w:ind w:left="0" w:right="0"/>
                    <w:jc w:val="left"/>
                  </w:pPr>
                  <w:r>
                    <w:rPr/>
                    <w:t>深圳市至高通信技术发展有限公司、</w:t>
                  </w:r>
                </w:p>
              </w:txbxContent>
            </v:textbox>
            <w10:wrap type="none"/>
          </v:shape>
        </w:pict>
      </w:r>
      <w:r>
        <w:rPr/>
        <w:pict>
          <v:group style="position:absolute;margin-left:375.839996pt;margin-top:-161.256317pt;width:159pt;height:70.2pt;mso-position-horizontal-relative:page;mso-position-vertical-relative:paragraph;z-index:-943504" coordorigin="7517,-3225" coordsize="3180,1404">
            <v:shape style="position:absolute;left:7517;top:-3225;width:3180;height:1404" coordorigin="7517,-3225" coordsize="3180,1404" path="m7517,-1821l10697,-1821,10697,-3225,7517,-3225,7517,-1821xe" filled="true" fillcolor="#ffffff" stroked="false">
              <v:path arrowok="t"/>
              <v:fill type="solid"/>
            </v:shape>
            <w10:wrap type="none"/>
          </v:group>
        </w:pict>
      </w:r>
      <w:r>
        <w:rPr>
          <w:rFonts w:ascii="宋体" w:hAnsi="宋体" w:cs="宋体" w:eastAsia="宋体" w:hint="default"/>
        </w:rPr>
        <w:t>2</w:t>
      </w:r>
      <w:r>
        <w:rPr/>
        <w:t>、税收优惠</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3"/>
          <w:szCs w:val="13"/>
        </w:rPr>
      </w:pPr>
    </w:p>
    <w:p>
      <w:pPr>
        <w:pStyle w:val="Heading5"/>
        <w:spacing w:line="240" w:lineRule="auto"/>
        <w:ind w:right="986"/>
        <w:jc w:val="left"/>
        <w:rPr>
          <w:b w:val="0"/>
          <w:bCs w:val="0"/>
        </w:rPr>
      </w:pPr>
      <w:r>
        <w:rPr>
          <w:rFonts w:ascii="宋体" w:hAnsi="宋体" w:cs="宋体" w:eastAsia="宋体" w:hint="default"/>
        </w:rPr>
        <w:t>1.</w:t>
      </w:r>
      <w:r>
        <w:rPr/>
        <w:t>增值税</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986" w:firstLine="359"/>
        <w:jc w:val="left"/>
      </w:pPr>
      <w:r>
        <w:rPr>
          <w:spacing w:val="-1"/>
        </w:rPr>
        <w:t>（</w:t>
      </w:r>
      <w:r>
        <w:rPr>
          <w:rFonts w:ascii="Times New Roman" w:hAnsi="Times New Roman" w:cs="Times New Roman" w:eastAsia="Times New Roman" w:hint="default"/>
          <w:spacing w:val="-1"/>
        </w:rPr>
        <w:t>1</w:t>
      </w:r>
      <w:r>
        <w:rPr>
          <w:spacing w:val="-1"/>
        </w:rPr>
        <w:t>）根据财税</w:t>
      </w:r>
      <w:r>
        <w:rPr>
          <w:rFonts w:ascii="Times New Roman" w:hAnsi="Times New Roman" w:cs="Times New Roman" w:eastAsia="Times New Roman" w:hint="default"/>
          <w:spacing w:val="-1"/>
        </w:rPr>
        <w:t>[2013]106</w:t>
      </w:r>
      <w:r>
        <w:rPr>
          <w:spacing w:val="-1"/>
        </w:rPr>
        <w:t>号文件《营业税改征增值税试点过渡政策的规定》，试点纳税人提供技术转让、技术开发和与</w:t>
      </w:r>
      <w:r>
        <w:rPr/>
        <w:t> 之相关的技术咨询、技术服务免征增值税。公司及所属子公司从事上述业务取得的收入免征增值税。</w:t>
      </w:r>
    </w:p>
    <w:p>
      <w:pPr>
        <w:pStyle w:val="BodyText"/>
        <w:spacing w:line="302" w:lineRule="auto" w:before="91"/>
        <w:ind w:left="153" w:right="1041" w:firstLine="359"/>
        <w:jc w:val="left"/>
      </w:pPr>
      <w:r>
        <w:rPr>
          <w:spacing w:val="-2"/>
        </w:rPr>
        <w:t>（</w:t>
      </w:r>
      <w:r>
        <w:rPr>
          <w:rFonts w:ascii="Times New Roman" w:hAnsi="Times New Roman" w:cs="Times New Roman" w:eastAsia="Times New Roman" w:hint="default"/>
          <w:spacing w:val="-2"/>
        </w:rPr>
        <w:t>2</w:t>
      </w:r>
      <w:r>
        <w:rPr>
          <w:spacing w:val="-2"/>
        </w:rPr>
        <w:t>）依据国务院下发的《国务院关于印发进一步鼓励软件产业和集成电路产业发展若干政策的通知》（国发</w:t>
      </w:r>
      <w:r>
        <w:rPr>
          <w:rFonts w:ascii="Times New Roman" w:hAnsi="Times New Roman" w:cs="Times New Roman" w:eastAsia="Times New Roman" w:hint="default"/>
          <w:spacing w:val="-2"/>
        </w:rPr>
        <w:t>[2011]4</w:t>
      </w:r>
      <w:r>
        <w:rPr>
          <w:spacing w:val="-2"/>
        </w:rPr>
        <w:t>号）</w:t>
      </w:r>
      <w:r>
        <w:rPr/>
        <w:t> </w:t>
      </w:r>
      <w:r>
        <w:rPr>
          <w:spacing w:val="-2"/>
        </w:rPr>
        <w:t>的规定，以及财政部、国家税务总局联合下发的《财政部、国家税务总局关于软件产品增值税政策的通知》（财税</w:t>
      </w:r>
      <w:r>
        <w:rPr>
          <w:rFonts w:ascii="Times New Roman" w:hAnsi="Times New Roman" w:cs="Times New Roman" w:eastAsia="Times New Roman" w:hint="default"/>
          <w:spacing w:val="-2"/>
        </w:rPr>
        <w:t>[2011]100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日起，公司及公司的所属子公司</w:t>
      </w:r>
      <w:r>
        <w:rPr>
          <w:rFonts w:ascii="Times New Roman" w:hAnsi="Times New Roman" w:cs="Times New Roman" w:eastAsia="Times New Roman" w:hint="default"/>
        </w:rPr>
        <w:t>-</w:t>
      </w:r>
      <w:r>
        <w:rPr/>
        <w:t>北京东华合创科技有限公司、东华软件工程有限公司、泰安东 </w:t>
      </w:r>
      <w:r>
        <w:rPr>
          <w:spacing w:val="-2"/>
        </w:rPr>
        <w:t>华合创软件有限公司、北京东华信息技术有限公司、西安东华软件有限公司、北京联银通科技有限公司、北京东华厚盾软件</w:t>
      </w:r>
      <w:r>
        <w:rPr>
          <w:spacing w:val="-65"/>
        </w:rPr>
        <w:t> </w:t>
      </w:r>
      <w:r>
        <w:rPr>
          <w:spacing w:val="-65"/>
        </w:rPr>
      </w:r>
      <w:r>
        <w:rPr>
          <w:spacing w:val="-1"/>
        </w:rPr>
        <w:t>有限公司、东华合创软件有限公司、深圳市至高通信技术发展有限公司，公司所属孙子公司</w:t>
      </w:r>
      <w:r>
        <w:rPr>
          <w:rFonts w:ascii="Times New Roman" w:hAnsi="Times New Roman" w:cs="Times New Roman" w:eastAsia="Times New Roman" w:hint="default"/>
          <w:spacing w:val="-1"/>
        </w:rPr>
        <w:t>-</w:t>
      </w:r>
      <w:r>
        <w:rPr>
          <w:spacing w:val="-1"/>
        </w:rPr>
        <w:t>西安锐益达风电技术有限公司、</w:t>
      </w:r>
      <w:r>
        <w:rPr>
          <w:spacing w:val="-86"/>
        </w:rPr>
        <w:t> </w:t>
      </w:r>
      <w:r>
        <w:rPr/>
        <w:t>广东东华发思特软件有限公司、北京东华智中能源互联网科技有限公司等公司销售自行开发生产的软件产品，按</w:t>
      </w:r>
      <w:r>
        <w:rPr>
          <w:rFonts w:ascii="Times New Roman" w:hAnsi="Times New Roman" w:cs="Times New Roman" w:eastAsia="Times New Roman" w:hint="default"/>
        </w:rPr>
        <w:t>17%</w:t>
      </w:r>
      <w:r>
        <w:rPr/>
        <w:t>的法定 税率征收增值税后，享受增值税实际税负超过</w:t>
      </w:r>
      <w:r>
        <w:rPr>
          <w:rFonts w:ascii="Times New Roman" w:hAnsi="Times New Roman" w:cs="Times New Roman" w:eastAsia="Times New Roman" w:hint="default"/>
        </w:rPr>
        <w:t>3%</w:t>
      </w:r>
      <w:r>
        <w:rPr/>
        <w:t>的部分实行即征即退的优惠政策。</w:t>
      </w:r>
    </w:p>
    <w:p>
      <w:pPr>
        <w:pStyle w:val="Heading5"/>
        <w:spacing w:line="240" w:lineRule="auto" w:before="71"/>
        <w:ind w:left="565" w:right="986"/>
        <w:jc w:val="left"/>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300" w:lineRule="auto" w:before="123"/>
        <w:ind w:right="986" w:firstLine="360"/>
        <w:jc w:val="left"/>
      </w:pPr>
      <w:r>
        <w:rPr/>
        <w:t>（</w:t>
      </w:r>
      <w:r>
        <w:rPr>
          <w:rFonts w:ascii="Times New Roman" w:hAnsi="Times New Roman" w:cs="Times New Roman" w:eastAsia="Times New Roman" w:hint="default"/>
        </w:rPr>
        <w:t>1</w:t>
      </w:r>
      <w:r>
        <w:rPr/>
        <w:t>）公司通过了</w:t>
      </w:r>
      <w:r>
        <w:rPr>
          <w:rFonts w:ascii="Times New Roman" w:hAnsi="Times New Roman" w:cs="Times New Roman" w:eastAsia="Times New Roman" w:hint="default"/>
        </w:rPr>
        <w:t>2017</w:t>
      </w:r>
      <w:r>
        <w:rPr/>
        <w:t>年高新技术企业复审，并收到北京市科学技术委员会、北京市财政局、北京市国家税务局、北京 市地方税务局联合下发的高新技术企业证书，证书编号：</w:t>
      </w:r>
      <w:r>
        <w:rPr>
          <w:rFonts w:ascii="Times New Roman" w:hAnsi="Times New Roman" w:cs="Times New Roman" w:eastAsia="Times New Roman" w:hint="default"/>
        </w:rPr>
        <w:t>GR201711004108</w:t>
      </w:r>
      <w:r>
        <w:rPr>
          <w:rFonts w:ascii="Times New Roman" w:hAnsi="Times New Roman" w:cs="Times New Roman" w:eastAsia="Times New Roman" w:hint="default"/>
          <w:spacing w:val="5"/>
        </w:rPr>
        <w:t> </w:t>
      </w:r>
      <w:r>
        <w:rPr/>
        <w:t>，有效期三年。根据相关规定，通过高新技术企 </w:t>
      </w:r>
      <w:r>
        <w:rPr>
          <w:spacing w:val="-4"/>
        </w:rPr>
        <w:t>业复审后，自</w:t>
      </w:r>
      <w:r>
        <w:rPr>
          <w:rFonts w:ascii="Times New Roman" w:hAnsi="Times New Roman" w:cs="Times New Roman" w:eastAsia="Times New Roman" w:hint="default"/>
          <w:spacing w:val="-4"/>
        </w:rPr>
        <w:t>2017</w:t>
      </w:r>
      <w:r>
        <w:rPr>
          <w:spacing w:val="-4"/>
        </w:rPr>
        <w:t>年起，连续三年继续享受国家关于高新技术企业的相关优惠政策。另外，公司认为符合重点软件企业条件，</w:t>
      </w:r>
      <w:r>
        <w:rPr>
          <w:spacing w:val="-40"/>
        </w:rPr>
        <w:t> </w:t>
      </w:r>
      <w:r>
        <w:rPr>
          <w:spacing w:val="-40"/>
        </w:rPr>
      </w:r>
      <w:r>
        <w:rPr>
          <w:spacing w:val="-2"/>
        </w:rPr>
        <w:t>目前正在进行</w:t>
      </w:r>
      <w:r>
        <w:rPr>
          <w:rFonts w:ascii="Times New Roman" w:hAnsi="Times New Roman" w:cs="Times New Roman" w:eastAsia="Times New Roman" w:hint="default"/>
          <w:spacing w:val="-2"/>
        </w:rPr>
        <w:t>2018</w:t>
      </w:r>
      <w:r>
        <w:rPr>
          <w:spacing w:val="-2"/>
        </w:rPr>
        <w:t>年度国家规划布局内重点软件企业企业所得税优惠事项备案，根据《财政部、国家税务总局关于企业所得</w:t>
      </w:r>
      <w:r>
        <w:rPr>
          <w:spacing w:val="-64"/>
        </w:rPr>
        <w:t> </w:t>
      </w:r>
      <w:r>
        <w:rPr>
          <w:spacing w:val="-64"/>
        </w:rPr>
      </w:r>
      <w:r>
        <w:rPr/>
        <w:t>税若干优惠政策的通知》（财税</w:t>
      </w:r>
      <w:r>
        <w:rPr>
          <w:rFonts w:ascii="Times New Roman" w:hAnsi="Times New Roman" w:cs="Times New Roman" w:eastAsia="Times New Roman" w:hint="default"/>
        </w:rPr>
        <w:t>[2008]1</w:t>
      </w:r>
      <w:r>
        <w:rPr/>
        <w:t>号）的规定，公司</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10%</w:t>
      </w:r>
      <w:r>
        <w:rPr/>
        <w:t>的税率缴纳企业所得税。</w:t>
      </w:r>
    </w:p>
    <w:p>
      <w:pPr>
        <w:pStyle w:val="BodyText"/>
        <w:spacing w:line="240" w:lineRule="auto" w:before="73"/>
        <w:ind w:left="512" w:right="986"/>
        <w:jc w:val="left"/>
      </w:pPr>
      <w:r>
        <w:rPr/>
        <w:t>（</w:t>
      </w:r>
      <w:r>
        <w:rPr>
          <w:rFonts w:ascii="Times New Roman" w:hAnsi="Times New Roman" w:cs="Times New Roman" w:eastAsia="Times New Roman" w:hint="default"/>
        </w:rPr>
        <w:t>2</w:t>
      </w:r>
      <w:r>
        <w:rPr/>
        <w:t>）公司所属子公司</w:t>
      </w:r>
      <w:r>
        <w:rPr>
          <w:rFonts w:ascii="Times New Roman" w:hAnsi="Times New Roman" w:cs="Times New Roman" w:eastAsia="Times New Roman" w:hint="default"/>
        </w:rPr>
        <w:t>-</w:t>
      </w:r>
      <w:r>
        <w:rPr/>
        <w:t>北京东华合创科技有限公司通过了</w:t>
      </w:r>
      <w:r>
        <w:rPr>
          <w:rFonts w:ascii="Times New Roman" w:hAnsi="Times New Roman" w:cs="Times New Roman" w:eastAsia="Times New Roman" w:hint="default"/>
        </w:rPr>
        <w:t>2017</w:t>
      </w:r>
      <w:r>
        <w:rPr/>
        <w:t>年高新技术企业复审，并收到北京市科学技术委员会、北</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4"/>
        <w:jc w:val="left"/>
      </w:pPr>
      <w:r>
        <w:rPr/>
        <w:t>京市财政局、北京市国家税务局、北京市地方税务局联合下发的高新技术企业证书，证书编号：</w:t>
      </w:r>
      <w:r>
        <w:rPr>
          <w:rFonts w:ascii="Times New Roman" w:hAnsi="Times New Roman" w:cs="Times New Roman" w:eastAsia="Times New Roman" w:hint="default"/>
        </w:rPr>
        <w:t>GR201711003671</w:t>
      </w:r>
      <w:r>
        <w:rPr>
          <w:rFonts w:ascii="Times New Roman" w:hAnsi="Times New Roman" w:cs="Times New Roman" w:eastAsia="Times New Roman" w:hint="default"/>
          <w:spacing w:val="10"/>
        </w:rPr>
        <w:t> </w:t>
      </w:r>
      <w:r>
        <w:rPr>
          <w:spacing w:val="-4"/>
        </w:rPr>
        <w:t>，有效期</w:t>
      </w:r>
      <w:r>
        <w:rPr/>
        <w:t> 三年。根据相关规定，通过高新技术企业复审后，自</w:t>
      </w:r>
      <w:r>
        <w:rPr>
          <w:rFonts w:ascii="Times New Roman" w:hAnsi="Times New Roman" w:cs="Times New Roman" w:eastAsia="Times New Roman" w:hint="default"/>
        </w:rPr>
        <w:t>2017</w:t>
      </w:r>
      <w:r>
        <w:rPr/>
        <w:t>年起，连续三年继续享受国家关于高新技术企业的相关优惠政策。 </w:t>
      </w:r>
      <w:r>
        <w:rPr>
          <w:spacing w:val="-2"/>
        </w:rPr>
        <w:t>另外，北京东华合创科技有限公司认为符合重点软件企业条件，目前正在进行</w:t>
      </w:r>
      <w:r>
        <w:rPr>
          <w:rFonts w:ascii="Times New Roman" w:hAnsi="Times New Roman" w:cs="Times New Roman" w:eastAsia="Times New Roman" w:hint="default"/>
          <w:spacing w:val="-2"/>
        </w:rPr>
        <w:t>2018</w:t>
      </w:r>
      <w:r>
        <w:rPr>
          <w:spacing w:val="-2"/>
        </w:rPr>
        <w:t>年度国家规划布局内重点软件企业企业所</w:t>
      </w:r>
      <w:r>
        <w:rPr>
          <w:spacing w:val="-62"/>
        </w:rPr>
        <w:t> </w:t>
      </w:r>
      <w:r>
        <w:rPr>
          <w:spacing w:val="-62"/>
        </w:rPr>
      </w:r>
      <w:r>
        <w:rPr/>
        <w:t>得税优惠事项备案，根据《财政部、国家税务总局关于企业所得税若干优惠政策的通知》（财税</w:t>
      </w:r>
      <w:r>
        <w:rPr>
          <w:rFonts w:ascii="Times New Roman" w:hAnsi="Times New Roman" w:cs="Times New Roman" w:eastAsia="Times New Roman" w:hint="default"/>
        </w:rPr>
        <w:t>[2008]1</w:t>
      </w:r>
      <w:r>
        <w:rPr/>
        <w:t>号）的规定，</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年度减按</w:t>
      </w:r>
      <w:r>
        <w:rPr>
          <w:rFonts w:ascii="Times New Roman" w:hAnsi="Times New Roman" w:cs="Times New Roman" w:eastAsia="Times New Roman" w:hint="default"/>
        </w:rPr>
        <w:t>10%</w:t>
      </w:r>
      <w:r>
        <w:rPr/>
        <w:t>的税率缴纳企业所得税。</w:t>
      </w:r>
    </w:p>
    <w:p>
      <w:pPr>
        <w:pStyle w:val="BodyText"/>
        <w:spacing w:line="300" w:lineRule="auto" w:before="73"/>
        <w:ind w:right="986" w:firstLine="360"/>
        <w:jc w:val="left"/>
      </w:pPr>
      <w:r>
        <w:rPr/>
        <w:t>（</w:t>
      </w:r>
      <w:r>
        <w:rPr>
          <w:rFonts w:ascii="Times New Roman" w:hAnsi="Times New Roman" w:cs="Times New Roman" w:eastAsia="Times New Roman" w:hint="default"/>
        </w:rPr>
        <w:t>3</w:t>
      </w:r>
      <w:r>
        <w:rPr/>
        <w:t>）公司所属子公司</w:t>
      </w:r>
      <w:r>
        <w:rPr>
          <w:rFonts w:ascii="Times New Roman" w:hAnsi="Times New Roman" w:cs="Times New Roman" w:eastAsia="Times New Roman" w:hint="default"/>
        </w:rPr>
        <w:t>-</w:t>
      </w:r>
      <w:r>
        <w:rPr/>
        <w:t>西安东华软件有限公司于</w:t>
      </w:r>
      <w:r>
        <w:rPr>
          <w:rFonts w:ascii="Times New Roman" w:hAnsi="Times New Roman" w:cs="Times New Roman" w:eastAsia="Times New Roman" w:hint="default"/>
        </w:rPr>
        <w:t>2018</w:t>
      </w:r>
      <w:r>
        <w:rPr/>
        <w:t>年被认定为高新技术企业，并收到陕西省科学技术厅、陕西省财政 </w:t>
      </w:r>
      <w:r>
        <w:rPr>
          <w:spacing w:val="-2"/>
        </w:rPr>
        <w:t>厅、国家税务总局陕西省税务局联合下发的高新技术企业证书，证书编号：</w:t>
      </w:r>
      <w:r>
        <w:rPr>
          <w:rFonts w:ascii="Times New Roman" w:hAnsi="Times New Roman" w:cs="Times New Roman" w:eastAsia="Times New Roman" w:hint="default"/>
          <w:spacing w:val="-2"/>
        </w:rPr>
        <w:t>GR201861000728</w:t>
      </w:r>
      <w:r>
        <w:rPr>
          <w:spacing w:val="-2"/>
        </w:rPr>
        <w:t>，有效期三年。根据相关规定，</w:t>
      </w:r>
      <w:r>
        <w:rPr>
          <w:spacing w:val="-35"/>
        </w:rPr>
        <w:t> </w:t>
      </w:r>
      <w:r>
        <w:rPr>
          <w:spacing w:val="-35"/>
        </w:rPr>
      </w:r>
      <w:r>
        <w:rPr/>
        <w:t>通过高新技术企业认定后，自</w:t>
      </w:r>
      <w:r>
        <w:rPr>
          <w:rFonts w:ascii="Times New Roman" w:hAnsi="Times New Roman" w:cs="Times New Roman" w:eastAsia="Times New Roman" w:hint="default"/>
        </w:rPr>
        <w:t>2018</w:t>
      </w:r>
      <w:r>
        <w:rPr/>
        <w:t>年起，连续三年享受国家关于高新技术企业的相关优惠政策，企业所得税按</w:t>
      </w:r>
      <w:r>
        <w:rPr>
          <w:rFonts w:ascii="Times New Roman" w:hAnsi="Times New Roman" w:cs="Times New Roman" w:eastAsia="Times New Roman" w:hint="default"/>
        </w:rPr>
        <w:t>15%</w:t>
      </w:r>
      <w:r>
        <w:rPr/>
        <w:t>的税率征 收。</w:t>
      </w:r>
    </w:p>
    <w:p>
      <w:pPr>
        <w:pStyle w:val="BodyText"/>
        <w:spacing w:line="300" w:lineRule="auto" w:before="91"/>
        <w:ind w:right="986" w:firstLine="360"/>
        <w:jc w:val="left"/>
      </w:pPr>
      <w:r>
        <w:rPr/>
        <w:t>（</w:t>
      </w:r>
      <w:r>
        <w:rPr>
          <w:rFonts w:ascii="Times New Roman" w:hAnsi="Times New Roman" w:cs="Times New Roman" w:eastAsia="Times New Roman" w:hint="default"/>
        </w:rPr>
        <w:t>4</w:t>
      </w:r>
      <w:r>
        <w:rPr/>
        <w:t>）公司所属子公司</w:t>
      </w:r>
      <w:r>
        <w:rPr>
          <w:rFonts w:ascii="Times New Roman" w:hAnsi="Times New Roman" w:cs="Times New Roman" w:eastAsia="Times New Roman" w:hint="default"/>
        </w:rPr>
        <w:t>-</w:t>
      </w:r>
      <w:r>
        <w:rPr/>
        <w:t>东华金云网络股份公司于</w:t>
      </w:r>
      <w:r>
        <w:rPr>
          <w:rFonts w:ascii="Times New Roman" w:hAnsi="Times New Roman" w:cs="Times New Roman" w:eastAsia="Times New Roman" w:hint="default"/>
        </w:rPr>
        <w:t>2018</w:t>
      </w:r>
      <w:r>
        <w:rPr/>
        <w:t>年被认定为高新技术企业，并收到安徽省科学技术厅、安徽省财政 </w:t>
      </w:r>
      <w:r>
        <w:rPr>
          <w:spacing w:val="-2"/>
        </w:rPr>
        <w:t>厅、国家税务总局安徽省税务局联合下发的高新技术企业证书，证书编号：</w:t>
      </w:r>
      <w:r>
        <w:rPr>
          <w:rFonts w:ascii="Times New Roman" w:hAnsi="Times New Roman" w:cs="Times New Roman" w:eastAsia="Times New Roman" w:hint="default"/>
          <w:spacing w:val="-2"/>
        </w:rPr>
        <w:t>GR201834001031</w:t>
      </w:r>
      <w:r>
        <w:rPr>
          <w:spacing w:val="-2"/>
        </w:rPr>
        <w:t>，有效期三年。根据相关规定，</w:t>
      </w:r>
      <w:r>
        <w:rPr>
          <w:spacing w:val="-35"/>
        </w:rPr>
        <w:t> </w:t>
      </w:r>
      <w:r>
        <w:rPr>
          <w:spacing w:val="-35"/>
        </w:rPr>
      </w:r>
      <w:r>
        <w:rPr/>
        <w:t>通过高新技术企业认定后，自</w:t>
      </w:r>
      <w:r>
        <w:rPr>
          <w:rFonts w:ascii="Times New Roman" w:hAnsi="Times New Roman" w:cs="Times New Roman" w:eastAsia="Times New Roman" w:hint="default"/>
        </w:rPr>
        <w:t>2018</w:t>
      </w:r>
      <w:r>
        <w:rPr/>
        <w:t>年起，连续三年享受国家关于高新技术企业的相关优惠政策，企业所得税按</w:t>
      </w:r>
      <w:r>
        <w:rPr>
          <w:rFonts w:ascii="Times New Roman" w:hAnsi="Times New Roman" w:cs="Times New Roman" w:eastAsia="Times New Roman" w:hint="default"/>
        </w:rPr>
        <w:t>15%</w:t>
      </w:r>
      <w:r>
        <w:rPr/>
        <w:t>的税率征 收。</w:t>
      </w:r>
    </w:p>
    <w:p>
      <w:pPr>
        <w:pStyle w:val="BodyText"/>
        <w:spacing w:line="300" w:lineRule="auto" w:before="91"/>
        <w:ind w:right="1133" w:firstLine="359"/>
        <w:jc w:val="both"/>
      </w:pPr>
      <w:r>
        <w:rPr>
          <w:spacing w:val="-1"/>
        </w:rPr>
        <w:t>（</w:t>
      </w:r>
      <w:r>
        <w:rPr>
          <w:rFonts w:ascii="Times New Roman" w:hAnsi="Times New Roman" w:cs="Times New Roman" w:eastAsia="Times New Roman" w:hint="default"/>
          <w:spacing w:val="-1"/>
        </w:rPr>
        <w:t>5</w:t>
      </w:r>
      <w:r>
        <w:rPr>
          <w:spacing w:val="-1"/>
        </w:rPr>
        <w:t>）公司所属孙公司</w:t>
      </w:r>
      <w:r>
        <w:rPr>
          <w:rFonts w:ascii="Times New Roman" w:hAnsi="Times New Roman" w:cs="Times New Roman" w:eastAsia="Times New Roman" w:hint="default"/>
          <w:spacing w:val="-1"/>
        </w:rPr>
        <w:t>-</w:t>
      </w:r>
      <w:r>
        <w:rPr>
          <w:spacing w:val="-1"/>
        </w:rPr>
        <w:t>西安锐益达风电技术有限公司于</w:t>
      </w:r>
      <w:r>
        <w:rPr>
          <w:rFonts w:ascii="Times New Roman" w:hAnsi="Times New Roman" w:cs="Times New Roman" w:eastAsia="Times New Roman" w:hint="default"/>
          <w:spacing w:val="-1"/>
        </w:rPr>
        <w:t>2016</w:t>
      </w:r>
      <w:r>
        <w:rPr>
          <w:spacing w:val="-1"/>
        </w:rPr>
        <w:t>年被认定为高新技术企业，并收到陕西省科学技术厅、陕西</w:t>
      </w:r>
      <w:r>
        <w:rPr/>
        <w:t> 省财政厅、陕西省国家税务局、陕西省地方税务局联合下发的高新技术企业证书，证书编号：</w:t>
      </w:r>
      <w:r>
        <w:rPr>
          <w:rFonts w:ascii="Times New Roman" w:hAnsi="Times New Roman" w:cs="Times New Roman" w:eastAsia="Times New Roman" w:hint="default"/>
        </w:rPr>
        <w:t>GR201661000005</w:t>
      </w:r>
      <w:r>
        <w:rPr/>
        <w:t>，有效期三 </w:t>
      </w:r>
      <w:r>
        <w:rPr>
          <w:spacing w:val="-2"/>
        </w:rPr>
        <w:t>年。根据相关规定，通过高新技术企业认定后，自</w:t>
      </w:r>
      <w:r>
        <w:rPr>
          <w:rFonts w:ascii="Times New Roman" w:hAnsi="Times New Roman" w:cs="Times New Roman" w:eastAsia="Times New Roman" w:hint="default"/>
          <w:spacing w:val="-2"/>
        </w:rPr>
        <w:t>2016</w:t>
      </w:r>
      <w:r>
        <w:rPr>
          <w:spacing w:val="-2"/>
        </w:rPr>
        <w:t>年起，连续三年享受国家关于高新技术企业的相关优惠政策，企业所</w:t>
      </w:r>
      <w:r>
        <w:rPr>
          <w:spacing w:val="-65"/>
        </w:rPr>
        <w:t> </w:t>
      </w:r>
      <w:r>
        <w:rPr>
          <w:spacing w:val="-65"/>
        </w:rPr>
      </w:r>
      <w:r>
        <w:rPr/>
        <w:t>得税按</w:t>
      </w:r>
      <w:r>
        <w:rPr>
          <w:rFonts w:ascii="Times New Roman" w:hAnsi="Times New Roman" w:cs="Times New Roman" w:eastAsia="Times New Roman" w:hint="default"/>
        </w:rPr>
        <w:t>15%</w:t>
      </w:r>
      <w:r>
        <w:rPr/>
        <w:t>的税率征收。</w:t>
      </w:r>
    </w:p>
    <w:p>
      <w:pPr>
        <w:pStyle w:val="BodyText"/>
        <w:spacing w:line="300" w:lineRule="auto" w:before="73"/>
        <w:ind w:right="1130" w:firstLine="360"/>
        <w:jc w:val="both"/>
      </w:pPr>
      <w:r>
        <w:rPr>
          <w:spacing w:val="-1"/>
        </w:rPr>
        <w:t>（</w:t>
      </w:r>
      <w:r>
        <w:rPr>
          <w:rFonts w:ascii="Times New Roman" w:hAnsi="Times New Roman" w:cs="Times New Roman" w:eastAsia="Times New Roman" w:hint="default"/>
          <w:spacing w:val="-1"/>
        </w:rPr>
        <w:t>6</w:t>
      </w:r>
      <w:r>
        <w:rPr>
          <w:spacing w:val="-1"/>
        </w:rPr>
        <w:t>）公司所属子公司</w:t>
      </w:r>
      <w:r>
        <w:rPr>
          <w:rFonts w:ascii="Times New Roman" w:hAnsi="Times New Roman" w:cs="Times New Roman" w:eastAsia="Times New Roman" w:hint="default"/>
          <w:spacing w:val="-1"/>
        </w:rPr>
        <w:t>-</w:t>
      </w:r>
      <w:r>
        <w:rPr>
          <w:spacing w:val="-1"/>
        </w:rPr>
        <w:t>泰安东华合创软件有限公司</w:t>
      </w:r>
      <w:r>
        <w:rPr>
          <w:rFonts w:ascii="Times New Roman" w:hAnsi="Times New Roman" w:cs="Times New Roman" w:eastAsia="Times New Roman" w:hint="default"/>
          <w:spacing w:val="-1"/>
        </w:rPr>
        <w:t>2016</w:t>
      </w:r>
      <w:r>
        <w:rPr>
          <w:spacing w:val="-1"/>
        </w:rPr>
        <w:t>年被认定为高新技术企业，并收到山东省科学技术厅、山东省财</w:t>
      </w:r>
      <w:r>
        <w:rPr/>
        <w:t> 政厅、山东省国家税务局、山东省地方税务局联合下发的高新技术企业证书，证书编号：</w:t>
      </w:r>
      <w:r>
        <w:rPr>
          <w:rFonts w:ascii="Times New Roman" w:hAnsi="Times New Roman" w:cs="Times New Roman" w:eastAsia="Times New Roman" w:hint="default"/>
        </w:rPr>
        <w:t>GR201637001033</w:t>
      </w:r>
      <w:r>
        <w:rPr/>
        <w:t>，有效期三年。 </w:t>
      </w:r>
      <w:r>
        <w:rPr>
          <w:spacing w:val="-2"/>
        </w:rPr>
        <w:t>根据相关规定，通过高新技术企业认定后，自</w:t>
      </w:r>
      <w:r>
        <w:rPr>
          <w:rFonts w:ascii="Times New Roman" w:hAnsi="Times New Roman" w:cs="Times New Roman" w:eastAsia="Times New Roman" w:hint="default"/>
          <w:spacing w:val="-2"/>
        </w:rPr>
        <w:t>2016</w:t>
      </w:r>
      <w:r>
        <w:rPr>
          <w:spacing w:val="-2"/>
        </w:rPr>
        <w:t>年起，连续三年享受国家关于高新技术企业的相关优惠政策，企业所得税</w:t>
      </w:r>
      <w:r>
        <w:rPr>
          <w:spacing w:val="-61"/>
        </w:rPr>
        <w:t> </w:t>
      </w:r>
      <w:r>
        <w:rPr>
          <w:spacing w:val="-61"/>
        </w:rPr>
      </w:r>
      <w:r>
        <w:rPr/>
        <w:t>按</w:t>
      </w:r>
      <w:r>
        <w:rPr>
          <w:rFonts w:ascii="Times New Roman" w:hAnsi="Times New Roman" w:cs="Times New Roman" w:eastAsia="Times New Roman" w:hint="default"/>
        </w:rPr>
        <w:t>15%</w:t>
      </w:r>
      <w:r>
        <w:rPr/>
        <w:t>的税率征收。</w:t>
      </w:r>
    </w:p>
    <w:p>
      <w:pPr>
        <w:pStyle w:val="BodyText"/>
        <w:spacing w:line="300" w:lineRule="auto" w:before="73"/>
        <w:ind w:left="153" w:right="1132" w:firstLine="359"/>
        <w:jc w:val="both"/>
      </w:pPr>
      <w:r>
        <w:rPr>
          <w:spacing w:val="-1"/>
        </w:rPr>
        <w:t>（</w:t>
      </w:r>
      <w:r>
        <w:rPr>
          <w:rFonts w:ascii="Times New Roman" w:hAnsi="Times New Roman" w:cs="Times New Roman" w:eastAsia="Times New Roman" w:hint="default"/>
          <w:spacing w:val="-1"/>
        </w:rPr>
        <w:t>7</w:t>
      </w:r>
      <w:r>
        <w:rPr>
          <w:spacing w:val="-1"/>
        </w:rPr>
        <w:t>）公司所属子公司</w:t>
      </w:r>
      <w:r>
        <w:rPr>
          <w:rFonts w:ascii="Times New Roman" w:hAnsi="Times New Roman" w:cs="Times New Roman" w:eastAsia="Times New Roman" w:hint="default"/>
          <w:spacing w:val="-1"/>
        </w:rPr>
        <w:t>-</w:t>
      </w:r>
      <w:r>
        <w:rPr>
          <w:spacing w:val="-1"/>
        </w:rPr>
        <w:t>北京联银通科技有限公司通过了</w:t>
      </w:r>
      <w:r>
        <w:rPr>
          <w:rFonts w:ascii="Times New Roman" w:hAnsi="Times New Roman" w:cs="Times New Roman" w:eastAsia="Times New Roman" w:hint="default"/>
          <w:spacing w:val="-1"/>
        </w:rPr>
        <w:t>2017</w:t>
      </w:r>
      <w:r>
        <w:rPr>
          <w:spacing w:val="-1"/>
        </w:rPr>
        <w:t>年高新技术企业复审，并收到北京市科学技术委员会、北京</w:t>
      </w:r>
      <w:r>
        <w:rPr/>
        <w:t> 市财政局、北京市国家税务局、北京市地方税务局联合下发的高新技术企业证书，证书编号：</w:t>
      </w:r>
      <w:r>
        <w:rPr>
          <w:rFonts w:ascii="Times New Roman" w:hAnsi="Times New Roman" w:cs="Times New Roman" w:eastAsia="Times New Roman" w:hint="default"/>
        </w:rPr>
        <w:t>GR201711001388</w:t>
      </w:r>
      <w:r>
        <w:rPr>
          <w:rFonts w:ascii="Times New Roman" w:hAnsi="Times New Roman" w:cs="Times New Roman" w:eastAsia="Times New Roman" w:hint="default"/>
          <w:spacing w:val="-6"/>
        </w:rPr>
        <w:t> </w:t>
      </w:r>
      <w:r>
        <w:rPr>
          <w:spacing w:val="-3"/>
        </w:rPr>
        <w:t>，有效期三</w:t>
      </w:r>
      <w:r>
        <w:rPr/>
        <w:t> </w:t>
      </w:r>
      <w:r>
        <w:rPr>
          <w:spacing w:val="-2"/>
        </w:rPr>
        <w:t>年。根据相关规定，通过高新技术企业复审后，自</w:t>
      </w:r>
      <w:r>
        <w:rPr>
          <w:rFonts w:ascii="Times New Roman" w:hAnsi="Times New Roman" w:cs="Times New Roman" w:eastAsia="Times New Roman" w:hint="default"/>
          <w:spacing w:val="-2"/>
        </w:rPr>
        <w:t>2017</w:t>
      </w:r>
      <w:r>
        <w:rPr>
          <w:spacing w:val="-2"/>
        </w:rPr>
        <w:t>年起，连续三年继续享受国家关于高新技术企业的相关优惠政策，企</w:t>
      </w:r>
      <w:r>
        <w:rPr>
          <w:spacing w:val="-65"/>
        </w:rPr>
        <w:t> </w:t>
      </w:r>
      <w:r>
        <w:rPr>
          <w:spacing w:val="-65"/>
        </w:rPr>
      </w:r>
      <w:r>
        <w:rPr/>
        <w:t>业所得税按</w:t>
      </w:r>
      <w:r>
        <w:rPr>
          <w:rFonts w:ascii="Times New Roman" w:hAnsi="Times New Roman" w:cs="Times New Roman" w:eastAsia="Times New Roman" w:hint="default"/>
        </w:rPr>
        <w:t>15%</w:t>
      </w:r>
      <w:r>
        <w:rPr/>
        <w:t>的税率征收。</w:t>
      </w:r>
    </w:p>
    <w:p>
      <w:pPr>
        <w:pStyle w:val="BodyText"/>
        <w:spacing w:line="300" w:lineRule="auto" w:before="73"/>
        <w:ind w:left="153" w:right="1033" w:firstLine="360"/>
        <w:jc w:val="left"/>
      </w:pPr>
      <w:r>
        <w:rPr/>
        <w:t>（</w:t>
      </w:r>
      <w:r>
        <w:rPr>
          <w:rFonts w:ascii="Times New Roman" w:hAnsi="Times New Roman" w:cs="Times New Roman" w:eastAsia="Times New Roman" w:hint="default"/>
        </w:rPr>
        <w:t>8</w:t>
      </w:r>
      <w:r>
        <w:rPr/>
        <w:t>）公司所属子公司</w:t>
      </w:r>
      <w:r>
        <w:rPr>
          <w:rFonts w:ascii="Times New Roman" w:hAnsi="Times New Roman" w:cs="Times New Roman" w:eastAsia="Times New Roman" w:hint="default"/>
        </w:rPr>
        <w:t>-</w:t>
      </w:r>
      <w:r>
        <w:rPr/>
        <w:t>北京神州新桥科技有限公司通过了</w:t>
      </w:r>
      <w:r>
        <w:rPr>
          <w:rFonts w:ascii="Times New Roman" w:hAnsi="Times New Roman" w:cs="Times New Roman" w:eastAsia="Times New Roman" w:hint="default"/>
        </w:rPr>
        <w:t>2017</w:t>
      </w:r>
      <w:r>
        <w:rPr/>
        <w:t>年高新技术企业复审，并收到北京市科学技术委员会、北 京市财政局、北京市国家税务局、北京市地方税务局联合下发的高新技术企业证书，证书编号：</w:t>
      </w:r>
      <w:r>
        <w:rPr>
          <w:rFonts w:ascii="Times New Roman" w:hAnsi="Times New Roman" w:cs="Times New Roman" w:eastAsia="Times New Roman" w:hint="default"/>
        </w:rPr>
        <w:t>GR201711002878</w:t>
      </w:r>
      <w:r>
        <w:rPr/>
        <w:t>，有效期 三年。根据相关规定，通过高新技术企业复审后，自</w:t>
      </w:r>
      <w:r>
        <w:rPr>
          <w:rFonts w:ascii="Times New Roman" w:hAnsi="Times New Roman" w:cs="Times New Roman" w:eastAsia="Times New Roman" w:hint="default"/>
        </w:rPr>
        <w:t>2017</w:t>
      </w:r>
      <w:r>
        <w:rPr/>
        <w:t>年起，连续三年继续享受国家关于高新技术企业的相关优惠政策， 企业所得税按</w:t>
      </w:r>
      <w:r>
        <w:rPr>
          <w:rFonts w:ascii="Times New Roman" w:hAnsi="Times New Roman" w:cs="Times New Roman" w:eastAsia="Times New Roman" w:hint="default"/>
        </w:rPr>
        <w:t>15%</w:t>
      </w:r>
      <w:r>
        <w:rPr/>
        <w:t>的税率征收。</w:t>
      </w:r>
    </w:p>
    <w:p>
      <w:pPr>
        <w:pStyle w:val="BodyText"/>
        <w:spacing w:line="300" w:lineRule="auto" w:before="73"/>
        <w:ind w:left="153" w:right="1130" w:firstLine="360"/>
        <w:jc w:val="both"/>
      </w:pPr>
      <w:r>
        <w:rPr>
          <w:spacing w:val="-1"/>
        </w:rPr>
        <w:t>（</w:t>
      </w:r>
      <w:r>
        <w:rPr>
          <w:rFonts w:ascii="Times New Roman" w:hAnsi="Times New Roman" w:cs="Times New Roman" w:eastAsia="Times New Roman" w:hint="default"/>
          <w:spacing w:val="-1"/>
        </w:rPr>
        <w:t>9</w:t>
      </w:r>
      <w:r>
        <w:rPr>
          <w:spacing w:val="-1"/>
        </w:rPr>
        <w:t>）公司所属子公司</w:t>
      </w:r>
      <w:r>
        <w:rPr>
          <w:rFonts w:ascii="Times New Roman" w:hAnsi="Times New Roman" w:cs="Times New Roman" w:eastAsia="Times New Roman" w:hint="default"/>
          <w:spacing w:val="-1"/>
        </w:rPr>
        <w:t>-</w:t>
      </w:r>
      <w:r>
        <w:rPr>
          <w:spacing w:val="-1"/>
        </w:rPr>
        <w:t>东华软件工程有限公司通过了</w:t>
      </w:r>
      <w:r>
        <w:rPr>
          <w:rFonts w:ascii="Times New Roman" w:hAnsi="Times New Roman" w:cs="Times New Roman" w:eastAsia="Times New Roman" w:hint="default"/>
          <w:spacing w:val="-1"/>
        </w:rPr>
        <w:t>2017</w:t>
      </w:r>
      <w:r>
        <w:rPr>
          <w:spacing w:val="-1"/>
        </w:rPr>
        <w:t>年高新技术企业复审，并收到安徽省科学技术厅、安徽省财政</w:t>
      </w:r>
      <w:r>
        <w:rPr/>
        <w:t> 厅、安徽省国家税务局、安徽省地方税务局联合下发的高新技术企业证书，证书编号：</w:t>
      </w:r>
      <w:r>
        <w:rPr>
          <w:rFonts w:ascii="Times New Roman" w:hAnsi="Times New Roman" w:cs="Times New Roman" w:eastAsia="Times New Roman" w:hint="default"/>
        </w:rPr>
        <w:t>GR201734001627</w:t>
      </w:r>
      <w:r>
        <w:rPr/>
        <w:t>，有效期三年。根 </w:t>
      </w:r>
      <w:r>
        <w:rPr>
          <w:spacing w:val="-2"/>
        </w:rPr>
        <w:t>据相关规定，通过高新技术企业复审后，自</w:t>
      </w:r>
      <w:r>
        <w:rPr>
          <w:rFonts w:ascii="Times New Roman" w:hAnsi="Times New Roman" w:cs="Times New Roman" w:eastAsia="Times New Roman" w:hint="default"/>
          <w:spacing w:val="-2"/>
        </w:rPr>
        <w:t>2017</w:t>
      </w:r>
      <w:r>
        <w:rPr>
          <w:spacing w:val="-2"/>
        </w:rPr>
        <w:t>年起，连续三年继续享受国家关于高新技术企业的相关优惠政策，企业所得</w:t>
      </w:r>
      <w:r>
        <w:rPr>
          <w:spacing w:val="-61"/>
        </w:rPr>
        <w:t> </w:t>
      </w:r>
      <w:r>
        <w:rPr>
          <w:spacing w:val="-61"/>
        </w:rPr>
      </w:r>
      <w:r>
        <w:rPr/>
        <w:t>税按</w:t>
      </w:r>
      <w:r>
        <w:rPr>
          <w:rFonts w:ascii="Times New Roman" w:hAnsi="Times New Roman" w:cs="Times New Roman" w:eastAsia="Times New Roman" w:hint="default"/>
        </w:rPr>
        <w:t>15%</w:t>
      </w:r>
      <w:r>
        <w:rPr/>
        <w:t>的税率征收。</w:t>
      </w:r>
    </w:p>
    <w:p>
      <w:pPr>
        <w:pStyle w:val="BodyText"/>
        <w:spacing w:line="300" w:lineRule="auto" w:before="73"/>
        <w:ind w:left="153" w:right="1029" w:firstLine="360"/>
        <w:jc w:val="left"/>
      </w:pPr>
      <w:r>
        <w:rPr>
          <w:spacing w:val="-1"/>
        </w:rPr>
        <w:t>（</w:t>
      </w:r>
      <w:r>
        <w:rPr>
          <w:rFonts w:ascii="Times New Roman" w:hAnsi="Times New Roman" w:cs="Times New Roman" w:eastAsia="Times New Roman" w:hint="default"/>
          <w:spacing w:val="-1"/>
        </w:rPr>
        <w:t>10</w:t>
      </w:r>
      <w:r>
        <w:rPr>
          <w:spacing w:val="-1"/>
        </w:rPr>
        <w:t>）公司所属子公司</w:t>
      </w:r>
      <w:r>
        <w:rPr>
          <w:rFonts w:ascii="Times New Roman" w:hAnsi="Times New Roman" w:cs="Times New Roman" w:eastAsia="Times New Roman" w:hint="default"/>
          <w:spacing w:val="-1"/>
        </w:rPr>
        <w:t>-</w:t>
      </w:r>
      <w:r>
        <w:rPr>
          <w:spacing w:val="-1"/>
        </w:rPr>
        <w:t>北京威锐达测控系统有限公司通过了</w:t>
      </w:r>
      <w:r>
        <w:rPr>
          <w:rFonts w:ascii="Times New Roman" w:hAnsi="Times New Roman" w:cs="Times New Roman" w:eastAsia="Times New Roman" w:hint="default"/>
          <w:spacing w:val="-1"/>
        </w:rPr>
        <w:t>2017</w:t>
      </w:r>
      <w:r>
        <w:rPr>
          <w:spacing w:val="-1"/>
        </w:rPr>
        <w:t>年高新技术企业复审，并收到北京市科学技术委员会、</w:t>
      </w:r>
      <w:r>
        <w:rPr/>
        <w:t> 北京市财政局、北京市国家税务局、北京市地方税务局联合下发的高新技术企业证书，证书编号：</w:t>
      </w:r>
      <w:r>
        <w:rPr>
          <w:rFonts w:ascii="Times New Roman" w:hAnsi="Times New Roman" w:cs="Times New Roman" w:eastAsia="Times New Roman" w:hint="default"/>
        </w:rPr>
        <w:t>GR201711000034</w:t>
      </w:r>
      <w:r>
        <w:rPr/>
        <w:t>，有效</w:t>
      </w:r>
      <w:r>
        <w:rPr>
          <w:spacing w:val="-3"/>
        </w:rPr>
        <w:t> </w:t>
      </w:r>
      <w:r>
        <w:rPr>
          <w:spacing w:val="-2"/>
        </w:rPr>
        <w:t>期三年。根据相关规定，通过高新技术企业复审后，自</w:t>
      </w:r>
      <w:r>
        <w:rPr>
          <w:rFonts w:ascii="Times New Roman" w:hAnsi="Times New Roman" w:cs="Times New Roman" w:eastAsia="Times New Roman" w:hint="default"/>
          <w:spacing w:val="-2"/>
        </w:rPr>
        <w:t>2017</w:t>
      </w:r>
      <w:r>
        <w:rPr>
          <w:spacing w:val="-2"/>
        </w:rPr>
        <w:t>年起，连续三年享受国家关于高新技术企业的相关优惠政策，企</w:t>
      </w:r>
      <w:r>
        <w:rPr>
          <w:spacing w:val="-65"/>
        </w:rPr>
        <w:t> </w:t>
      </w:r>
      <w:r>
        <w:rPr>
          <w:spacing w:val="-65"/>
        </w:rPr>
      </w:r>
      <w:r>
        <w:rPr/>
        <w:t>业所得税按</w:t>
      </w:r>
      <w:r>
        <w:rPr>
          <w:rFonts w:ascii="Times New Roman" w:hAnsi="Times New Roman" w:cs="Times New Roman" w:eastAsia="Times New Roman" w:hint="default"/>
        </w:rPr>
        <w:t>15%</w:t>
      </w:r>
      <w:r>
        <w:rPr/>
        <w:t>的税率征收。</w:t>
      </w:r>
    </w:p>
    <w:p>
      <w:pPr>
        <w:pStyle w:val="BodyText"/>
        <w:spacing w:line="300" w:lineRule="auto" w:before="73"/>
        <w:ind w:left="153" w:right="1033" w:firstLine="360"/>
        <w:jc w:val="left"/>
      </w:pPr>
      <w:r>
        <w:rPr/>
        <w:t>（</w:t>
      </w:r>
      <w:r>
        <w:rPr>
          <w:rFonts w:ascii="Times New Roman" w:hAnsi="Times New Roman" w:cs="Times New Roman" w:eastAsia="Times New Roman" w:hint="default"/>
        </w:rPr>
        <w:t>11</w:t>
      </w:r>
      <w:r>
        <w:rPr/>
        <w:t>）公司所属子公司</w:t>
      </w:r>
      <w:r>
        <w:rPr>
          <w:rFonts w:ascii="Times New Roman" w:hAnsi="Times New Roman" w:cs="Times New Roman" w:eastAsia="Times New Roman" w:hint="default"/>
        </w:rPr>
        <w:t>-</w:t>
      </w:r>
      <w:r>
        <w:rPr/>
        <w:t>深圳市至高通信技术发展有限公司通过了</w:t>
      </w:r>
      <w:r>
        <w:rPr>
          <w:rFonts w:ascii="Times New Roman" w:hAnsi="Times New Roman" w:cs="Times New Roman" w:eastAsia="Times New Roman" w:hint="default"/>
        </w:rPr>
        <w:t>2018</w:t>
      </w:r>
      <w:r>
        <w:rPr/>
        <w:t>年高新技术企业认证，并收到深圳市科技创新委 员会、深圳市财政局委员会、国家税务总局深圳市税务局联合颁发的高新技术企业证书，证书编号：</w:t>
      </w:r>
      <w:r>
        <w:rPr>
          <w:rFonts w:ascii="Times New Roman" w:hAnsi="Times New Roman" w:cs="Times New Roman" w:eastAsia="Times New Roman" w:hint="default"/>
        </w:rPr>
        <w:t>GR201844202695</w:t>
      </w:r>
      <w:r>
        <w:rPr/>
        <w:t>，有</w:t>
      </w:r>
      <w:r>
        <w:rPr>
          <w:spacing w:val="-3"/>
        </w:rPr>
        <w:t> </w:t>
      </w:r>
      <w:r>
        <w:rPr/>
        <w:t>效期三年。根据相关规定，通过高新技术企业复审后，自</w:t>
      </w:r>
      <w:r>
        <w:rPr>
          <w:rFonts w:ascii="Times New Roman" w:hAnsi="Times New Roman" w:cs="Times New Roman" w:eastAsia="Times New Roman" w:hint="default"/>
        </w:rPr>
        <w:t>2017</w:t>
      </w:r>
      <w:r>
        <w:rPr/>
        <w:t>年起，连续三年享受国家关于高新技术企业的相关优惠政策， 企业所得税按</w:t>
      </w:r>
      <w:r>
        <w:rPr>
          <w:rFonts w:ascii="Times New Roman" w:hAnsi="Times New Roman" w:cs="Times New Roman" w:eastAsia="Times New Roman" w:hint="default"/>
        </w:rPr>
        <w:t>15%</w:t>
      </w:r>
      <w:r>
        <w:rPr/>
        <w:t>的税率征收。</w:t>
      </w:r>
    </w:p>
    <w:p>
      <w:pPr>
        <w:pStyle w:val="BodyText"/>
        <w:spacing w:line="240" w:lineRule="auto" w:before="73"/>
        <w:ind w:left="513" w:right="0"/>
        <w:jc w:val="left"/>
      </w:pPr>
      <w:r>
        <w:rPr/>
        <w:t>（</w:t>
      </w:r>
      <w:r>
        <w:rPr>
          <w:rFonts w:ascii="Times New Roman" w:hAnsi="Times New Roman" w:cs="Times New Roman" w:eastAsia="Times New Roman" w:hint="default"/>
        </w:rPr>
        <w:t>12</w:t>
      </w:r>
      <w:r>
        <w:rPr/>
        <w:t>）公司所属子公司</w:t>
      </w:r>
      <w:r>
        <w:rPr>
          <w:rFonts w:ascii="Times New Roman" w:hAnsi="Times New Roman" w:cs="Times New Roman" w:eastAsia="Times New Roman" w:hint="default"/>
        </w:rPr>
        <w:t>-</w:t>
      </w:r>
      <w:r>
        <w:rPr/>
        <w:t>东华网络股份公司通过了</w:t>
      </w:r>
      <w:r>
        <w:rPr>
          <w:rFonts w:ascii="Times New Roman" w:hAnsi="Times New Roman" w:cs="Times New Roman" w:eastAsia="Times New Roman" w:hint="default"/>
        </w:rPr>
        <w:t>2017</w:t>
      </w:r>
      <w:r>
        <w:rPr/>
        <w:t>年高新技术企业认证，并收到辽宁省科学技术厅、辽宁省财政厅、</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both"/>
      </w:pPr>
      <w:r>
        <w:rPr/>
        <w:t>辽宁省国家税务局、辽宁省地方税务局联合颁发的高新技术企业证书，证书编号：</w:t>
      </w:r>
      <w:r>
        <w:rPr>
          <w:rFonts w:ascii="Times New Roman" w:hAnsi="Times New Roman" w:cs="Times New Roman" w:eastAsia="Times New Roman" w:hint="default"/>
        </w:rPr>
        <w:t>GR201721000298</w:t>
      </w:r>
      <w:r>
        <w:rPr/>
        <w:t>，有效期三年。根据相 </w:t>
      </w:r>
      <w:r>
        <w:rPr>
          <w:spacing w:val="-1"/>
        </w:rPr>
        <w:t>关规定，通过高新技术企业复审后，自</w:t>
      </w:r>
      <w:r>
        <w:rPr>
          <w:rFonts w:ascii="Times New Roman" w:hAnsi="Times New Roman" w:cs="Times New Roman" w:eastAsia="Times New Roman" w:hint="default"/>
          <w:spacing w:val="-1"/>
        </w:rPr>
        <w:t>2017</w:t>
      </w:r>
      <w:r>
        <w:rPr>
          <w:spacing w:val="-1"/>
        </w:rPr>
        <w:t>年起，连续三年享受国家关于高新技术企业的相关优惠政策，企业所得税按</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的税率征收。</w:t>
      </w:r>
    </w:p>
    <w:p>
      <w:pPr>
        <w:pStyle w:val="BodyText"/>
        <w:spacing w:line="300" w:lineRule="auto" w:before="91"/>
        <w:ind w:right="1135" w:firstLine="360"/>
        <w:jc w:val="both"/>
      </w:pPr>
      <w:r>
        <w:rPr/>
        <w:t>（</w:t>
      </w:r>
      <w:r>
        <w:rPr>
          <w:rFonts w:ascii="Times New Roman" w:hAnsi="Times New Roman" w:cs="Times New Roman" w:eastAsia="Times New Roman" w:hint="default"/>
        </w:rPr>
        <w:t>13</w:t>
      </w:r>
      <w:r>
        <w:rPr/>
        <w:t>）公司所属孙公司</w:t>
      </w:r>
      <w:r>
        <w:rPr>
          <w:rFonts w:ascii="Times New Roman" w:hAnsi="Times New Roman" w:cs="Times New Roman" w:eastAsia="Times New Roman" w:hint="default"/>
        </w:rPr>
        <w:t>-</w:t>
      </w:r>
      <w:r>
        <w:rPr/>
        <w:t>广东东华发思特软件有限公司通过了</w:t>
      </w:r>
      <w:r>
        <w:rPr>
          <w:rFonts w:ascii="Times New Roman" w:hAnsi="Times New Roman" w:cs="Times New Roman" w:eastAsia="Times New Roman" w:hint="default"/>
        </w:rPr>
        <w:t>2016</w:t>
      </w:r>
      <w:r>
        <w:rPr/>
        <w:t>年高新技术企业认证，并收到广东省科学技术厅、广 东省财政厅、广东省国家税务局、广东省地方税务局联合下发的高新技术企业证书，证书编号：</w:t>
      </w:r>
      <w:r>
        <w:rPr>
          <w:rFonts w:ascii="Times New Roman" w:hAnsi="Times New Roman" w:cs="Times New Roman" w:eastAsia="Times New Roman" w:hint="default"/>
        </w:rPr>
        <w:t>GR201644002102</w:t>
      </w:r>
      <w:r>
        <w:rPr/>
        <w:t>，有效期 </w:t>
      </w:r>
      <w:r>
        <w:rPr>
          <w:spacing w:val="-2"/>
        </w:rPr>
        <w:t>三年。根据相关规定，通过高新技术企业复审后，自</w:t>
      </w:r>
      <w:r>
        <w:rPr>
          <w:rFonts w:ascii="Times New Roman" w:hAnsi="Times New Roman" w:cs="Times New Roman" w:eastAsia="Times New Roman" w:hint="default"/>
          <w:spacing w:val="-2"/>
        </w:rPr>
        <w:t>2016</w:t>
      </w:r>
      <w:r>
        <w:rPr>
          <w:spacing w:val="-2"/>
        </w:rPr>
        <w:t>年起，连续三年享受国家关于高新技术企业的相关优惠政策，企业</w:t>
      </w:r>
      <w:r>
        <w:rPr>
          <w:spacing w:val="-65"/>
        </w:rPr>
        <w:t> </w:t>
      </w:r>
      <w:r>
        <w:rPr>
          <w:spacing w:val="-65"/>
        </w:rPr>
      </w:r>
      <w:r>
        <w:rPr/>
        <w:t>所得税按</w:t>
      </w:r>
      <w:r>
        <w:rPr>
          <w:rFonts w:ascii="Times New Roman" w:hAnsi="Times New Roman" w:cs="Times New Roman" w:eastAsia="Times New Roman" w:hint="default"/>
        </w:rPr>
        <w:t>15%</w:t>
      </w:r>
      <w:r>
        <w:rPr/>
        <w:t>的税率征收。</w:t>
      </w:r>
    </w:p>
    <w:p>
      <w:pPr>
        <w:pStyle w:val="BodyText"/>
        <w:spacing w:line="319" w:lineRule="auto" w:before="73"/>
        <w:ind w:right="1128" w:firstLine="360"/>
        <w:jc w:val="left"/>
      </w:pPr>
      <w:r>
        <w:rPr/>
        <w:t>（</w:t>
      </w:r>
      <w:r>
        <w:rPr>
          <w:rFonts w:ascii="Times New Roman" w:hAnsi="Times New Roman" w:cs="Times New Roman" w:eastAsia="Times New Roman" w:hint="default"/>
        </w:rPr>
        <w:t>14</w:t>
      </w:r>
      <w:r>
        <w:rPr/>
        <w:t>）公司所属子公司</w:t>
      </w:r>
      <w:r>
        <w:rPr>
          <w:rFonts w:ascii="Times New Roman" w:hAnsi="Times New Roman" w:cs="Times New Roman" w:eastAsia="Times New Roman" w:hint="default"/>
        </w:rPr>
        <w:t>-</w:t>
      </w:r>
      <w:r>
        <w:rPr/>
        <w:t>北京东华合创香港有限公司公司、所属孙公司</w:t>
      </w:r>
      <w:r>
        <w:rPr>
          <w:rFonts w:ascii="Times New Roman" w:hAnsi="Times New Roman" w:cs="Times New Roman" w:eastAsia="Times New Roman" w:hint="default"/>
        </w:rPr>
        <w:t>-Hong</w:t>
      </w:r>
      <w:r>
        <w:rPr>
          <w:rFonts w:ascii="Times New Roman" w:hAnsi="Times New Roman" w:cs="Times New Roman" w:eastAsia="Times New Roman" w:hint="default"/>
          <w:spacing w:val="-17"/>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7"/>
        </w:rPr>
        <w:t> </w:t>
      </w:r>
      <w:r>
        <w:rPr>
          <w:rFonts w:ascii="Times New Roman" w:hAnsi="Times New Roman" w:cs="Times New Roman" w:eastAsia="Times New Roman" w:hint="default"/>
        </w:rPr>
        <w:t>Sino</w:t>
      </w:r>
      <w:r>
        <w:rPr>
          <w:rFonts w:ascii="Times New Roman" w:hAnsi="Times New Roman" w:cs="Times New Roman" w:eastAsia="Times New Roman" w:hint="default"/>
          <w:spacing w:val="-14"/>
        </w:rPr>
        <w:t> </w:t>
      </w:r>
      <w:r>
        <w:rPr>
          <w:rFonts w:ascii="Times New Roman" w:hAnsi="Times New Roman" w:cs="Times New Roman" w:eastAsia="Times New Roman" w:hint="default"/>
        </w:rPr>
        <w:t>Bridge</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系在中国香港特别 行政区注册的企业，按照属地原则按规定缴纳企业所得税，</w:t>
      </w:r>
      <w:r>
        <w:rPr>
          <w:rFonts w:ascii="Times New Roman" w:hAnsi="Times New Roman" w:cs="Times New Roman" w:eastAsia="Times New Roman" w:hint="default"/>
        </w:rPr>
        <w:t>2018</w:t>
      </w:r>
      <w:r>
        <w:rPr/>
        <w:t>年度所得税税率为</w:t>
      </w:r>
      <w:r>
        <w:rPr>
          <w:rFonts w:ascii="Times New Roman" w:hAnsi="Times New Roman" w:cs="Times New Roman" w:eastAsia="Times New Roman" w:hint="default"/>
        </w:rPr>
        <w:t>16.5%</w:t>
      </w:r>
      <w:r>
        <w:rPr/>
        <w:t>。 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0"/>
          <w:szCs w:val="20"/>
        </w:rPr>
      </w:pPr>
    </w:p>
    <w:p>
      <w:pPr>
        <w:spacing w:line="487" w:lineRule="auto" w:before="0"/>
        <w:ind w:left="152" w:right="7863" w:firstLine="0"/>
        <w:jc w:val="left"/>
        <w:rPr>
          <w:rFonts w:ascii="宋体" w:hAnsi="宋体" w:cs="宋体" w:eastAsia="宋体" w:hint="default"/>
          <w:sz w:val="21"/>
          <w:szCs w:val="21"/>
        </w:rPr>
      </w:pPr>
      <w:bookmarkStart w:name="3、其他" w:id="213"/>
      <w:bookmarkEnd w:id="2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14"/>
      <w:bookmarkEnd w:id="214"/>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15"/>
      <w:bookmarkEnd w:id="2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513,537.92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1,183,057.39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2,075,063,126.19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1,558,849,945.64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11,064,607.49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188,971,886.53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2,086,641,271.60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1,749,004,889.56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21,608,649.34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21,179,233.33</w:t>
            </w:r>
          </w:p>
        </w:tc>
      </w:tr>
    </w:tbl>
    <w:p>
      <w:pPr>
        <w:spacing w:line="240" w:lineRule="auto" w:before="8"/>
        <w:rPr>
          <w:rFonts w:ascii="宋体" w:hAnsi="宋体" w:cs="宋体" w:eastAsia="宋体" w:hint="default"/>
          <w:sz w:val="6"/>
          <w:szCs w:val="6"/>
        </w:rPr>
      </w:pPr>
    </w:p>
    <w:p>
      <w:pPr>
        <w:pStyle w:val="BodyText"/>
        <w:spacing w:line="240" w:lineRule="auto" w:before="44"/>
        <w:ind w:right="986"/>
        <w:jc w:val="left"/>
      </w:pPr>
      <w:r>
        <w:rPr/>
        <w:t>其中，受限制的货币资金明细如下：</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20"/>
        <w:gridCol w:w="3259"/>
        <w:gridCol w:w="3197"/>
      </w:tblGrid>
      <w:tr>
        <w:trPr>
          <w:trHeight w:val="343" w:hRule="exact"/>
        </w:trPr>
        <w:tc>
          <w:tcPr>
            <w:tcW w:w="312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31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3,444,784.94</w:t>
            </w:r>
            <w:r>
              <w:rPr>
                <w:rFonts w:ascii="Times New Roman"/>
                <w:sz w:val="18"/>
              </w:rPr>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2,342,955.44</w:t>
            </w:r>
            <w:r>
              <w:rPr>
                <w:rFonts w:ascii="Times New Roman"/>
                <w:sz w:val="18"/>
              </w:rPr>
            </w:r>
          </w:p>
        </w:tc>
      </w:tr>
      <w:tr>
        <w:trPr>
          <w:trHeight w:val="3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4,554,703.21</w:t>
            </w:r>
            <w:r>
              <w:rPr>
                <w:rFonts w:ascii="Times New Roman"/>
                <w:sz w:val="18"/>
              </w:rPr>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144,990,296.62</w:t>
            </w:r>
            <w:r>
              <w:rPr>
                <w:rFonts w:ascii="Times New Roman"/>
                <w:sz w:val="18"/>
              </w:rPr>
            </w:r>
          </w:p>
        </w:tc>
      </w:tr>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1,087,908.21</w:t>
            </w:r>
            <w:r>
              <w:rPr>
                <w:rFonts w:ascii="Times New Roman"/>
                <w:sz w:val="18"/>
              </w:rPr>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1,242,153.24</w:t>
            </w:r>
            <w:r>
              <w:rPr>
                <w:rFonts w:ascii="Times New Roman"/>
                <w:sz w:val="18"/>
              </w:rPr>
            </w:r>
          </w:p>
        </w:tc>
      </w:tr>
      <w:tr>
        <w:trPr>
          <w:trHeight w:val="3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13,194,000.00</w:t>
            </w:r>
          </w:p>
        </w:tc>
        <w:tc>
          <w:tcPr>
            <w:tcW w:w="319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80,000.00</w:t>
            </w:r>
          </w:p>
        </w:tc>
        <w:tc>
          <w:tcPr>
            <w:tcW w:w="319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冻结资金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323,527.56</w:t>
            </w:r>
          </w:p>
        </w:tc>
        <w:tc>
          <w:tcPr>
            <w:tcW w:w="319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300,000,000.00</w:t>
            </w:r>
            <w:r>
              <w:rPr>
                <w:rFonts w:ascii="Times New Roman"/>
                <w:sz w:val="18"/>
              </w:rPr>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1,080,752.00</w:t>
            </w:r>
            <w:r>
              <w:rPr>
                <w:rFonts w:ascii="Times New Roman"/>
                <w:sz w:val="18"/>
              </w:rPr>
            </w:r>
          </w:p>
        </w:tc>
      </w:tr>
      <w:tr>
        <w:trPr>
          <w:trHeight w:val="3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322,684,923.92</w:t>
            </w:r>
            <w:r>
              <w:rPr>
                <w:rFonts w:ascii="Times New Roman"/>
                <w:sz w:val="18"/>
              </w:rPr>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149,656,157.30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以公允价值计量且其变动计入当期损益的金融资产" w:id="216"/>
      <w:bookmarkEnd w:id="21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3、衍生金融资产" w:id="217"/>
      <w:bookmarkEnd w:id="21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4、应收票据及应收账款" w:id="218"/>
      <w:bookmarkEnd w:id="218"/>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53,165,741.89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181,649,503.56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5,560,938,612.15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4,728,364,250.18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5,614,104,354.04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4,910,013,753.74</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1.</w:t>
      </w:r>
      <w:r>
        <w:rPr/>
        <w:t>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424" w:right="986"/>
        <w:jc w:val="left"/>
      </w:pPr>
      <w:r>
        <w:rPr/>
        <w:t>（</w:t>
      </w:r>
      <w:r>
        <w:rPr>
          <w:rFonts w:ascii="Times New Roman" w:hAnsi="Times New Roman" w:cs="Times New Roman" w:eastAsia="Times New Roman" w:hint="default"/>
        </w:rPr>
        <w:t>1</w:t>
      </w:r>
      <w:r>
        <w:rPr/>
        <w:t>）应收票据分类列示</w:t>
      </w:r>
    </w:p>
    <w:p>
      <w:pPr>
        <w:pStyle w:val="BodyText"/>
        <w:spacing w:line="240" w:lineRule="auto" w:before="103"/>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44,526,480.05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97,132,933.56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8,639,261.84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84,516,570.00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53,165,741.89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181,649,503.56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7" w:header="748" w:top="1060" w:bottom="1160" w:left="980" w:right="0"/>
          <w:pgNumType w:start="120"/>
        </w:sectPr>
      </w:pPr>
    </w:p>
    <w:p>
      <w:pPr>
        <w:pStyle w:val="BodyText"/>
        <w:spacing w:line="240" w:lineRule="auto" w:before="51"/>
        <w:ind w:left="512" w:right="-18"/>
        <w:jc w:val="left"/>
      </w:pPr>
      <w:r>
        <w:rPr/>
        <w:t>（</w:t>
      </w:r>
      <w:r>
        <w:rPr>
          <w:rFonts w:ascii="Times New Roman" w:hAnsi="Times New Roman" w:cs="Times New Roman" w:eastAsia="Times New Roman" w:hint="default"/>
        </w:rPr>
        <w:t>2</w:t>
      </w:r>
      <w:r>
        <w:rPr/>
        <w:t>）期末公司已质押的应收票据</w:t>
      </w:r>
    </w:p>
    <w:p>
      <w:pPr>
        <w:pStyle w:val="BodyText"/>
        <w:spacing w:line="240" w:lineRule="auto" w:before="103"/>
        <w:ind w:left="51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2" w:right="-18"/>
        <w:jc w:val="left"/>
      </w:pPr>
      <w:r>
        <w:rPr/>
        <w:t>（</w:t>
      </w: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512"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825" w:space="2643"/>
            <w:col w:w="246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17,989,112.32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17,989,112.32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12" w:right="986"/>
        <w:jc w:val="left"/>
      </w:pPr>
      <w:r>
        <w:rPr/>
        <w:t>（</w:t>
      </w: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66,326,700.00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215,200.00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66,541,900.00</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512" w:right="986"/>
        <w:jc w:val="left"/>
      </w:pPr>
      <w:r>
        <w:rPr/>
        <w:t>（</w:t>
      </w:r>
      <w:r>
        <w:rPr>
          <w:rFonts w:ascii="Times New Roman" w:hAnsi="Times New Roman" w:cs="Times New Roman" w:eastAsia="Times New Roman" w:hint="default"/>
        </w:rPr>
        <w:t>1</w:t>
      </w:r>
      <w:r>
        <w:rPr/>
        <w:t>）应收账款分类披露</w:t>
      </w:r>
    </w:p>
    <w:p>
      <w:pPr>
        <w:pStyle w:val="BodyText"/>
        <w:spacing w:line="240" w:lineRule="auto" w:before="101"/>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1524"/>
        <w:gridCol w:w="1526"/>
        <w:gridCol w:w="787"/>
        <w:gridCol w:w="1416"/>
        <w:gridCol w:w="1747"/>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6,038,66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0,058.39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477,721,</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446.24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5,560,938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,612.15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5,075,9</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08,140.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347,543,8</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89.82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4,728,364,2</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50.18</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6,038,66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0,058.39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477,721,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446.24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5,560,938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,612.15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5,075,9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08,140.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347,543,8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4,728,364,2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50.18</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4"/>
            <w:col w:w="210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2,956,036,150.35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29,560,361.50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1,196,217,486.26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59,810,874.31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728,451,928.81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72,845,192.88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453,460,258.24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136,038,077.47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319,486,840.76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95,846,052.23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51,295,398.77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51,295,398.77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5,704,948,063.19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445,395,957.16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7.81%</w:t>
            </w:r>
          </w:p>
        </w:tc>
      </w:tr>
    </w:tbl>
    <w:p>
      <w:pPr>
        <w:spacing w:line="240" w:lineRule="auto" w:before="8"/>
        <w:rPr>
          <w:rFonts w:ascii="宋体" w:hAnsi="宋体" w:cs="宋体" w:eastAsia="宋体" w:hint="default"/>
          <w:sz w:val="6"/>
          <w:szCs w:val="6"/>
        </w:rPr>
      </w:pPr>
    </w:p>
    <w:p>
      <w:pPr>
        <w:pStyle w:val="BodyText"/>
        <w:spacing w:line="240" w:lineRule="auto" w:before="44"/>
        <w:ind w:right="986"/>
        <w:jc w:val="left"/>
      </w:pPr>
      <w:r>
        <w:rPr/>
        <w:t>组合中，公司子公司</w:t>
      </w:r>
      <w:r>
        <w:rPr>
          <w:rFonts w:ascii="Times New Roman" w:hAnsi="Times New Roman" w:cs="Times New Roman" w:eastAsia="Times New Roman" w:hint="default"/>
        </w:rPr>
        <w:t>-</w:t>
      </w:r>
      <w:r>
        <w:rPr/>
        <w:t>深圳市至高通信技术发展有限公司按账龄分析法计提坏账准备的应收账款</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316"/>
        <w:gridCol w:w="2436"/>
        <w:gridCol w:w="2436"/>
        <w:gridCol w:w="2345"/>
      </w:tblGrid>
      <w:tr>
        <w:trPr>
          <w:trHeight w:val="341" w:hRule="exact"/>
        </w:trPr>
        <w:tc>
          <w:tcPr>
            <w:tcW w:w="2316"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17" w:type="dxa"/>
            <w:gridSpan w:val="3"/>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2316" w:type="dxa"/>
            <w:vMerge/>
            <w:tcBorders>
              <w:left w:val="single" w:sz="4" w:space="0" w:color="000000"/>
              <w:bottom w:val="single" w:sz="4" w:space="0" w:color="000000"/>
              <w:right w:val="single" w:sz="4" w:space="0" w:color="000000"/>
            </w:tcBorders>
            <w:shd w:val="clear" w:color="auto" w:fill="DADADA"/>
          </w:tcPr>
          <w:p>
            <w:pPr/>
          </w:p>
        </w:tc>
        <w:tc>
          <w:tcPr>
            <w:tcW w:w="243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3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4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83,379,416.34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4,168,970.82</w:t>
            </w:r>
            <w:r>
              <w:rPr>
                <w:rFonts w:ascii="Times New Roman"/>
                <w:sz w:val="18"/>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5.00%</w:t>
            </w:r>
          </w:p>
        </w:tc>
      </w:tr>
      <w:tr>
        <w:trPr>
          <w:trHeight w:val="34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243,131,283.40</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24,313,128.34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10.00%</w:t>
            </w:r>
          </w:p>
        </w:tc>
      </w:tr>
      <w:tr>
        <w:trPr>
          <w:trHeight w:val="34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2,279,652.71</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683,895.81</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34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2,785,100.00</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1,392,550.00</w:t>
            </w:r>
            <w:r>
              <w:rPr>
                <w:rFonts w:ascii="Times New Roman"/>
                <w:sz w:val="18"/>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50.00%</w:t>
            </w:r>
          </w:p>
        </w:tc>
      </w:tr>
      <w:tr>
        <w:trPr>
          <w:trHeight w:val="34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1,847,993.21</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1,478,394.57</w:t>
            </w:r>
            <w:r>
              <w:rPr>
                <w:rFonts w:ascii="Times New Roman"/>
                <w:sz w:val="18"/>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80.00%</w:t>
            </w:r>
          </w:p>
        </w:tc>
      </w:tr>
      <w:tr>
        <w:trPr>
          <w:trHeight w:val="34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288,549.54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288,549.54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333,711,995.20</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32,325,489.08</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9.69%</w:t>
            </w:r>
          </w:p>
        </w:tc>
      </w:tr>
    </w:tbl>
    <w:p>
      <w:pPr>
        <w:spacing w:line="240" w:lineRule="auto" w:before="8"/>
        <w:rPr>
          <w:rFonts w:ascii="宋体" w:hAnsi="宋体" w:cs="宋体" w:eastAsia="宋体" w:hint="default"/>
          <w:sz w:val="6"/>
          <w:szCs w:val="6"/>
        </w:rPr>
      </w:pPr>
    </w:p>
    <w:p>
      <w:pPr>
        <w:pStyle w:val="BodyText"/>
        <w:spacing w:line="240" w:lineRule="auto" w:before="44"/>
        <w:ind w:right="986"/>
        <w:jc w:val="left"/>
      </w:pPr>
      <w:r>
        <w:rPr/>
        <w:t>确定该组合依据的说明：</w:t>
      </w:r>
    </w:p>
    <w:p>
      <w:pPr>
        <w:spacing w:line="240" w:lineRule="auto" w:before="0"/>
        <w:rPr>
          <w:rFonts w:ascii="宋体" w:hAnsi="宋体" w:cs="宋体" w:eastAsia="宋体" w:hint="default"/>
          <w:sz w:val="15"/>
          <w:szCs w:val="15"/>
        </w:rPr>
      </w:pPr>
    </w:p>
    <w:p>
      <w:pPr>
        <w:pStyle w:val="BodyText"/>
        <w:spacing w:line="316" w:lineRule="auto"/>
        <w:ind w:right="986" w:firstLine="419"/>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spacing w:after="0" w:line="316"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组合中，采用余额百分比法计提坏账准备的应收账款：</w:t>
      </w:r>
    </w:p>
    <w:p>
      <w:pPr>
        <w:pStyle w:val="BodyText"/>
        <w:spacing w:line="338" w:lineRule="auto" w:before="117"/>
        <w:ind w:right="67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right="98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512" w:right="986"/>
        <w:jc w:val="left"/>
      </w:pPr>
      <w:r>
        <w:rPr/>
        <w:t>（</w:t>
      </w:r>
      <w:r>
        <w:rPr>
          <w:rFonts w:ascii="Times New Roman" w:hAnsi="Times New Roman" w:cs="Times New Roman" w:eastAsia="Times New Roman" w:hint="default"/>
        </w:rPr>
        <w:t>2</w:t>
      </w:r>
      <w:r>
        <w:rPr/>
        <w:t>）本期计提、收回或转回的坏账准备情况</w:t>
      </w:r>
    </w:p>
    <w:p>
      <w:pPr>
        <w:pStyle w:val="BodyText"/>
        <w:spacing w:line="240" w:lineRule="auto" w:before="101"/>
        <w:ind w:left="512" w:right="986"/>
        <w:jc w:val="left"/>
      </w:pPr>
      <w:r>
        <w:rPr/>
        <w:t>本期计提坏账准备金额</w:t>
      </w:r>
      <w:r>
        <w:rPr>
          <w:spacing w:val="-48"/>
        </w:rPr>
        <w:t> </w:t>
      </w:r>
      <w:r>
        <w:rPr>
          <w:rFonts w:ascii="Times New Roman" w:hAnsi="Times New Roman" w:cs="Times New Roman" w:eastAsia="Times New Roman" w:hint="default"/>
        </w:rPr>
        <w:t>130,263,306.42</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40" w:lineRule="auto" w:before="103"/>
        <w:ind w:left="512" w:right="7435"/>
        <w:jc w:val="left"/>
      </w:pPr>
      <w:r>
        <w:rPr/>
        <w:t>（</w:t>
      </w:r>
      <w:r>
        <w:rPr>
          <w:rFonts w:ascii="Times New Roman" w:hAnsi="Times New Roman" w:cs="Times New Roman" w:eastAsia="Times New Roman" w:hint="default"/>
        </w:rPr>
        <w:t>3</w:t>
      </w:r>
      <w:r>
        <w:rPr/>
        <w:t>）本期实际核销的应收账款情况 本期实际核销应收账款</w:t>
      </w:r>
      <w:r>
        <w:rPr>
          <w:spacing w:val="-46"/>
        </w:rPr>
        <w:t> </w:t>
      </w:r>
      <w:r>
        <w:rPr>
          <w:rFonts w:ascii="Times New Roman" w:hAnsi="Times New Roman" w:cs="Times New Roman" w:eastAsia="Times New Roman" w:hint="default"/>
        </w:rPr>
        <w:t>85,750.00</w:t>
      </w:r>
      <w:r>
        <w:rPr>
          <w:rFonts w:ascii="Times New Roman" w:hAnsi="Times New Roman" w:cs="Times New Roman" w:eastAsia="Times New Roman" w:hint="default"/>
          <w:spacing w:val="-10"/>
        </w:rPr>
        <w:t> </w:t>
      </w:r>
      <w:r>
        <w:rPr/>
        <w:t>元。</w:t>
      </w:r>
    </w:p>
    <w:p>
      <w:pPr>
        <w:pStyle w:val="BodyText"/>
        <w:spacing w:line="240" w:lineRule="auto" w:before="17"/>
        <w:ind w:left="512" w:right="986"/>
        <w:jc w:val="left"/>
      </w:pPr>
      <w:r>
        <w:rPr/>
        <w:t>（</w:t>
      </w:r>
      <w:r>
        <w:rPr>
          <w:rFonts w:ascii="Times New Roman" w:hAnsi="Times New Roman" w:cs="Times New Roman" w:eastAsia="Times New Roman" w:hint="default"/>
        </w:rPr>
        <w:t>4</w:t>
      </w:r>
      <w:r>
        <w:rPr/>
        <w:t>）按欠款方归集的期末余额前五名的应收账款情况</w:t>
      </w:r>
    </w:p>
    <w:p>
      <w:pPr>
        <w:spacing w:line="240" w:lineRule="auto" w:before="2"/>
        <w:rPr>
          <w:rFonts w:ascii="宋体" w:hAnsi="宋体" w:cs="宋体" w:eastAsia="宋体" w:hint="default"/>
          <w:sz w:val="14"/>
          <w:szCs w:val="14"/>
        </w:rPr>
      </w:pPr>
    </w:p>
    <w:p>
      <w:pPr>
        <w:pStyle w:val="BodyText"/>
        <w:spacing w:line="240" w:lineRule="auto"/>
        <w:ind w:left="573" w:right="986"/>
        <w:jc w:val="left"/>
      </w:pPr>
      <w:r>
        <w:rPr>
          <w:spacing w:val="5"/>
        </w:rPr>
        <w:t>本报告期按欠款方归集的期末余额前五名应收账款汇总金额</w:t>
      </w:r>
      <w:r>
        <w:rPr>
          <w:rFonts w:ascii="Times New Roman" w:hAnsi="Times New Roman" w:cs="Times New Roman" w:eastAsia="Times New Roman" w:hint="default"/>
          <w:spacing w:val="5"/>
        </w:rPr>
        <w:t>580,927,162.49</w:t>
      </w:r>
      <w:r>
        <w:rPr>
          <w:spacing w:val="5"/>
        </w:rPr>
        <w:t>元，占应收账款期末余额合计数的比例</w:t>
      </w:r>
      <w:r>
        <w:rPr/>
      </w:r>
    </w:p>
    <w:p>
      <w:pPr>
        <w:pStyle w:val="BodyText"/>
        <w:spacing w:line="240" w:lineRule="auto" w:before="60"/>
        <w:ind w:left="153" w:right="986"/>
        <w:jc w:val="left"/>
      </w:pPr>
      <w:r>
        <w:rPr>
          <w:rFonts w:ascii="Times New Roman" w:hAnsi="Times New Roman" w:cs="Times New Roman" w:eastAsia="Times New Roman" w:hint="default"/>
        </w:rPr>
        <w:t>9.62%</w:t>
      </w:r>
      <w:r>
        <w:rPr/>
        <w:t>，相应计提的坏账准备期末余额汇总金额</w:t>
      </w:r>
      <w:r>
        <w:rPr>
          <w:rFonts w:ascii="Times New Roman" w:hAnsi="Times New Roman" w:cs="Times New Roman" w:eastAsia="Times New Roman" w:hint="default"/>
        </w:rPr>
        <w:t>25,725,689.20</w:t>
      </w:r>
      <w:r>
        <w:rPr/>
        <w:t>元。</w:t>
      </w:r>
    </w:p>
    <w:p>
      <w:pPr>
        <w:spacing w:line="240" w:lineRule="auto" w:before="13"/>
        <w:rPr>
          <w:rFonts w:ascii="宋体" w:hAnsi="宋体" w:cs="宋体" w:eastAsia="宋体" w:hint="default"/>
          <w:sz w:val="13"/>
          <w:szCs w:val="13"/>
        </w:rPr>
      </w:pPr>
    </w:p>
    <w:p>
      <w:pPr>
        <w:pStyle w:val="BodyText"/>
        <w:spacing w:line="360" w:lineRule="auto"/>
        <w:ind w:left="513" w:right="6855"/>
        <w:jc w:val="left"/>
      </w:pPr>
      <w:r>
        <w:rPr/>
        <w:t>（</w:t>
      </w:r>
      <w:r>
        <w:rPr>
          <w:rFonts w:ascii="宋体" w:hAnsi="宋体" w:cs="宋体" w:eastAsia="宋体" w:hint="default"/>
        </w:rPr>
        <w:t>4</w:t>
      </w:r>
      <w:r>
        <w:rPr/>
        <w:t>）</w:t>
      </w:r>
      <w:r>
        <w:rPr>
          <w:spacing w:val="-62"/>
        </w:rPr>
        <w:t> </w:t>
      </w:r>
      <w:r>
        <w:rPr/>
        <w:t>因金融资产转移而终止确认的应收账款</w:t>
      </w:r>
      <w:r>
        <w:rPr/>
        <w:t> 无</w:t>
      </w:r>
    </w:p>
    <w:p>
      <w:pPr>
        <w:pStyle w:val="BodyText"/>
        <w:spacing w:line="357" w:lineRule="auto" w:before="27"/>
        <w:ind w:left="513" w:right="6135"/>
        <w:jc w:val="left"/>
      </w:pPr>
      <w:r>
        <w:rPr/>
        <w:t>（</w:t>
      </w:r>
      <w:r>
        <w:rPr>
          <w:rFonts w:ascii="宋体" w:hAnsi="宋体" w:cs="宋体" w:eastAsia="宋体" w:hint="default"/>
        </w:rPr>
        <w:t>5</w:t>
      </w:r>
      <w:r>
        <w:rPr/>
        <w:t>）</w:t>
      </w:r>
      <w:r>
        <w:rPr>
          <w:spacing w:val="-62"/>
        </w:rPr>
        <w:t> </w:t>
      </w:r>
      <w:r>
        <w:rPr/>
        <w:t>转移应收账款且继续涉入形成的资产、负债金额</w:t>
      </w:r>
      <w:r>
        <w:rPr/>
        <w:t> 无</w:t>
      </w:r>
    </w:p>
    <w:p>
      <w:pPr>
        <w:spacing w:line="240" w:lineRule="auto" w:before="3"/>
        <w:rPr>
          <w:rFonts w:ascii="宋体" w:hAnsi="宋体" w:cs="宋体" w:eastAsia="宋体" w:hint="default"/>
          <w:sz w:val="20"/>
          <w:szCs w:val="20"/>
        </w:rPr>
      </w:pPr>
    </w:p>
    <w:p>
      <w:pPr>
        <w:pStyle w:val="Heading4"/>
        <w:spacing w:line="240" w:lineRule="auto"/>
        <w:ind w:right="986"/>
        <w:jc w:val="left"/>
        <w:rPr>
          <w:b w:val="0"/>
          <w:bCs w:val="0"/>
        </w:rPr>
      </w:pPr>
      <w:bookmarkStart w:name="5、预付款项" w:id="219"/>
      <w:bookmarkEnd w:id="21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519,110,367.70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70.87%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747,329,987.91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87.31%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171,185,823.06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80,785,350.11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30,298,501.16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20,843,428.26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11,901,610.78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6,893,477.92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732,496,302.70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855,852,244.20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6"/>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6"/>
        <w:gridCol w:w="4409"/>
        <w:gridCol w:w="1834"/>
        <w:gridCol w:w="2628"/>
      </w:tblGrid>
      <w:tr>
        <w:trPr>
          <w:trHeight w:val="341" w:hRule="exact"/>
        </w:trPr>
        <w:tc>
          <w:tcPr>
            <w:tcW w:w="68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40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18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2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34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深圳市意众智能科技有限责任公司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8,360,949.80</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3"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北京太极网络科技有限公司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7,800,000.00</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洲明科技（宁夏）有限公司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3,078,000.00</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新联合众（北京）科技有限公司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3,000,592.44</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3"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5</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北京昊天网聚科技有限公司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2,702,300.00</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975"/>
        <w:gridCol w:w="1135"/>
        <w:gridCol w:w="1418"/>
        <w:gridCol w:w="1841"/>
        <w:gridCol w:w="1135"/>
        <w:gridCol w:w="1049"/>
      </w:tblGrid>
      <w:tr>
        <w:trPr>
          <w:trHeight w:val="650" w:hRule="exact"/>
        </w:trPr>
        <w:tc>
          <w:tcPr>
            <w:tcW w:w="297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15"/>
              <w:ind w:left="208" w:right="14" w:hanging="195"/>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04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
              <w:ind w:left="6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z w:val="18"/>
              </w:rPr>
              <w:t>79,497,836.29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976"/>
        <w:gridCol w:w="1135"/>
        <w:gridCol w:w="1418"/>
        <w:gridCol w:w="1841"/>
        <w:gridCol w:w="1135"/>
        <w:gridCol w:w="1049"/>
      </w:tblGrid>
      <w:tr>
        <w:trPr>
          <w:trHeight w:val="34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44,968,595.56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北京太极网络科技有限公司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26,872,000.00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重庆思源建筑技术有限公司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18,777,110.31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北京佳讯飞鸿电气股份有限公司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16,919,557.20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187,035,099.36</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25.52%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6"/>
          <w:szCs w:val="6"/>
        </w:rPr>
      </w:pPr>
    </w:p>
    <w:p>
      <w:pPr>
        <w:pStyle w:val="BodyText"/>
        <w:spacing w:line="415" w:lineRule="auto" w:before="44"/>
        <w:ind w:left="153" w:right="4979" w:hanging="1"/>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46,695,196.57</w:t>
      </w:r>
      <w:r>
        <w:rPr/>
        <w:t>元，</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1,202,029.77</w:t>
      </w:r>
      <w:r>
        <w:rPr/>
        <w:t>元，</w:t>
      </w:r>
      <w:r>
        <w:rPr>
          <w:rFonts w:ascii="Times New Roman" w:hAnsi="Times New Roman" w:cs="Times New Roman" w:eastAsia="Times New Roman" w:hint="default"/>
        </w:rPr>
        <w:t>3-4</w:t>
      </w:r>
      <w:r>
        <w:rPr/>
        <w:t>年</w:t>
      </w:r>
      <w:r>
        <w:rPr>
          <w:rFonts w:ascii="Times New Roman" w:hAnsi="Times New Roman" w:cs="Times New Roman" w:eastAsia="Times New Roman" w:hint="default"/>
        </w:rPr>
        <w:t>940,067.00</w:t>
      </w:r>
      <w:r>
        <w:rPr/>
        <w:t>元。 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19,072,000.00</w:t>
      </w:r>
      <w:r>
        <w:rPr/>
        <w:t>元，</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7,800,000.00</w:t>
      </w:r>
      <w:r>
        <w:rPr/>
        <w:t>元。</w:t>
      </w:r>
    </w:p>
    <w:p>
      <w:pPr>
        <w:spacing w:line="240" w:lineRule="auto" w:before="11"/>
        <w:rPr>
          <w:rFonts w:ascii="宋体" w:hAnsi="宋体" w:cs="宋体" w:eastAsia="宋体" w:hint="default"/>
          <w:sz w:val="14"/>
          <w:szCs w:val="14"/>
        </w:rPr>
      </w:pPr>
    </w:p>
    <w:p>
      <w:pPr>
        <w:pStyle w:val="Heading4"/>
        <w:spacing w:line="240" w:lineRule="auto"/>
        <w:ind w:right="986"/>
        <w:jc w:val="left"/>
        <w:rPr>
          <w:b w:val="0"/>
          <w:bCs w:val="0"/>
        </w:rPr>
      </w:pPr>
      <w:bookmarkStart w:name="6、其他应收款" w:id="220"/>
      <w:bookmarkEnd w:id="22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549,284,862.70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508,072,788.87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549,284,862.70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508,072,788.87</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1.</w:t>
      </w:r>
      <w:r>
        <w:rPr/>
        <w:t>应收利息</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4"/>
          <w:szCs w:val="14"/>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2.</w:t>
      </w:r>
      <w:r>
        <w:rPr/>
        <w:t>应收股利</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4"/>
          <w:szCs w:val="14"/>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3.</w:t>
      </w: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44"/>
        <w:ind w:left="512" w:right="986"/>
        <w:jc w:val="left"/>
      </w:pPr>
      <w:r>
        <w:rPr/>
        <w:t>（</w:t>
      </w: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634,766,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724.62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85,481,8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549,284,8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62.70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572,014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,478.02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63,941,68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508,072,78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8.87</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634,766,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724.62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85,481,8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61.92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549,284,8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62.70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572,014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,478.02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63,941,68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9.15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508,072,78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8.87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4"/>
            <w:col w:w="2103"/>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5"/>
      </w:tblGrid>
      <w:tr>
        <w:trPr>
          <w:trHeight w:val="403" w:hRule="exact"/>
        </w:trPr>
        <w:tc>
          <w:tcPr>
            <w:tcW w:w="238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9"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294,471,447.00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2,944,714.50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73,849,603.02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3,692,480.15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55,577,347.75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5,557,734.77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47,623,605.82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14,287,081.75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21,739,918.71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6,521,975.61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43,754,989.20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43,754,989.20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537,016,911.50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76,758,975.98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14.29%</w:t>
            </w:r>
          </w:p>
        </w:tc>
      </w:tr>
    </w:tbl>
    <w:p>
      <w:pPr>
        <w:pStyle w:val="BodyText"/>
        <w:spacing w:line="240" w:lineRule="auto" w:before="51"/>
        <w:ind w:right="986"/>
        <w:jc w:val="left"/>
      </w:pPr>
      <w:r>
        <w:rPr/>
        <w:t>确定该组合依据的说明：</w:t>
      </w:r>
    </w:p>
    <w:p>
      <w:pPr>
        <w:spacing w:line="240" w:lineRule="auto" w:before="0"/>
        <w:rPr>
          <w:rFonts w:ascii="宋体" w:hAnsi="宋体" w:cs="宋体" w:eastAsia="宋体" w:hint="default"/>
          <w:sz w:val="15"/>
          <w:szCs w:val="15"/>
        </w:rPr>
      </w:pPr>
    </w:p>
    <w:p>
      <w:pPr>
        <w:pStyle w:val="BodyText"/>
        <w:spacing w:line="240" w:lineRule="auto"/>
        <w:ind w:right="986"/>
        <w:jc w:val="left"/>
      </w:pPr>
      <w:r>
        <w:rPr/>
        <w:t>组合中，公司子公司</w:t>
      </w:r>
      <w:r>
        <w:rPr>
          <w:rFonts w:ascii="Times New Roman" w:hAnsi="Times New Roman" w:cs="Times New Roman" w:eastAsia="Times New Roman" w:hint="default"/>
        </w:rPr>
        <w:t>-</w:t>
      </w:r>
      <w:r>
        <w:rPr/>
        <w:t>深圳市至高通信技术发展有限公司按账龄分析法计提坏账准备的其他应收款</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311"/>
        <w:gridCol w:w="2429"/>
        <w:gridCol w:w="2429"/>
        <w:gridCol w:w="2340"/>
      </w:tblGrid>
      <w:tr>
        <w:trPr>
          <w:trHeight w:val="341" w:hRule="exact"/>
        </w:trPr>
        <w:tc>
          <w:tcPr>
            <w:tcW w:w="2311"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2311" w:type="dxa"/>
            <w:vMerge/>
            <w:tcBorders>
              <w:left w:val="single" w:sz="4" w:space="0" w:color="000000"/>
              <w:bottom w:val="single" w:sz="4" w:space="0" w:color="000000"/>
              <w:right w:val="single" w:sz="4" w:space="0" w:color="000000"/>
            </w:tcBorders>
            <w:shd w:val="clear" w:color="auto" w:fill="DADADA"/>
          </w:tcPr>
          <w:p>
            <w:pPr/>
          </w:p>
        </w:tc>
        <w:tc>
          <w:tcPr>
            <w:tcW w:w="24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7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47,603,988.34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2,380,199.41</w:t>
            </w:r>
            <w:r>
              <w:rPr>
                <w:rFonts w:ascii="Times New Roman"/>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5.00%</w:t>
            </w:r>
          </w:p>
        </w:tc>
      </w:tr>
      <w:tr>
        <w:trPr>
          <w:trHeight w:val="34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47,046,941.95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4,704,694.20</w:t>
            </w:r>
            <w:r>
              <w:rPr>
                <w:rFonts w:ascii="Times New Roman"/>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10.00%</w:t>
            </w:r>
          </w:p>
        </w:tc>
      </w:tr>
      <w:tr>
        <w:trPr>
          <w:trHeight w:val="34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1,404,833.40</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421,450.02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34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483,269.89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241,634.95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50.00%</w:t>
            </w:r>
          </w:p>
        </w:tc>
      </w:tr>
      <w:tr>
        <w:trPr>
          <w:trHeight w:val="34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1,179,360.91</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943,488.73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80.00%</w:t>
            </w:r>
          </w:p>
        </w:tc>
      </w:tr>
      <w:tr>
        <w:trPr>
          <w:trHeight w:val="343"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31,418.63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31,418.63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1"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97,749,813.12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8,722,885.94</w:t>
            </w:r>
            <w:r>
              <w:rPr>
                <w:rFonts w:ascii="Times New Roman"/>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8.92%</w:t>
            </w:r>
          </w:p>
        </w:tc>
      </w:tr>
    </w:tbl>
    <w:p>
      <w:pPr>
        <w:spacing w:line="240" w:lineRule="auto" w:before="8"/>
        <w:rPr>
          <w:rFonts w:ascii="宋体" w:hAnsi="宋体" w:cs="宋体" w:eastAsia="宋体" w:hint="default"/>
          <w:sz w:val="6"/>
          <w:szCs w:val="6"/>
        </w:rPr>
      </w:pPr>
    </w:p>
    <w:p>
      <w:pPr>
        <w:pStyle w:val="BodyText"/>
        <w:spacing w:line="240" w:lineRule="auto" w:before="44"/>
        <w:ind w:right="986"/>
        <w:jc w:val="left"/>
      </w:pPr>
      <w:r>
        <w:rPr/>
        <w:t>确定该组合依据的说明：</w:t>
      </w:r>
    </w:p>
    <w:p>
      <w:pPr>
        <w:spacing w:line="240" w:lineRule="auto" w:before="0"/>
        <w:rPr>
          <w:rFonts w:ascii="宋体" w:hAnsi="宋体" w:cs="宋体" w:eastAsia="宋体" w:hint="default"/>
          <w:sz w:val="15"/>
          <w:szCs w:val="15"/>
        </w:rPr>
      </w:pPr>
    </w:p>
    <w:p>
      <w:pPr>
        <w:pStyle w:val="BodyText"/>
        <w:spacing w:line="316" w:lineRule="auto"/>
        <w:ind w:right="986" w:firstLine="419"/>
        <w:jc w:val="left"/>
      </w:pPr>
      <w:r>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spacing w:after="0" w:line="316" w:lineRule="auto"/>
        <w:jc w:val="left"/>
        <w:sectPr>
          <w:pgSz w:w="11910" w:h="16840"/>
          <w:pgMar w:header="748" w:footer="977" w:top="1060" w:bottom="1160" w:left="980" w:right="0"/>
        </w:sectPr>
      </w:pPr>
    </w:p>
    <w:p>
      <w:pPr>
        <w:pStyle w:val="BodyText"/>
        <w:spacing w:line="240" w:lineRule="auto" w:before="139"/>
        <w:ind w:right="-11"/>
        <w:jc w:val="left"/>
      </w:pPr>
      <w:r>
        <w:rPr/>
        <w:t>组合中，采用余额百分比法计提坏账准备的其他应收款：</w:t>
      </w:r>
    </w:p>
    <w:p>
      <w:pPr>
        <w:pStyle w:val="BodyText"/>
        <w:spacing w:line="340" w:lineRule="auto" w:before="117"/>
        <w:ind w:right="2234" w:firstLine="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left="512"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424" w:right="-11"/>
        <w:jc w:val="left"/>
      </w:pPr>
      <w:r>
        <w:rPr/>
        <w:t>（</w:t>
      </w: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153" w:right="-11"/>
        <w:jc w:val="left"/>
      </w:pPr>
      <w:r>
        <w:rPr/>
        <w:t>本期计提坏账准备金额</w:t>
      </w:r>
      <w:r>
        <w:rPr>
          <w:spacing w:val="-47"/>
        </w:rPr>
        <w:t> </w:t>
      </w:r>
      <w:r>
        <w:rPr>
          <w:rFonts w:ascii="Times New Roman" w:hAnsi="Times New Roman" w:cs="Times New Roman" w:eastAsia="Times New Roman" w:hint="default"/>
        </w:rPr>
        <w:t>21,540,172.77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left="424" w:right="3132"/>
        <w:jc w:val="left"/>
      </w:pPr>
      <w:r>
        <w:rPr/>
        <w:t>（</w:t>
      </w:r>
      <w:r>
        <w:rPr>
          <w:rFonts w:ascii="Times New Roman" w:hAnsi="Times New Roman" w:cs="Times New Roman" w:eastAsia="Times New Roman" w:hint="default"/>
        </w:rPr>
        <w:t>3</w:t>
      </w:r>
      <w:r>
        <w:rPr/>
        <w:t>）本期实际核销的其他应收款情况 无</w:t>
      </w:r>
    </w:p>
    <w:p>
      <w:pPr>
        <w:pStyle w:val="BodyText"/>
        <w:spacing w:line="240" w:lineRule="auto" w:before="41"/>
        <w:ind w:left="424" w:right="-11"/>
        <w:jc w:val="left"/>
      </w:pPr>
      <w:r>
        <w:rPr/>
        <w:t>（</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547" w:space="2280"/>
            <w:col w:w="210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146,878,178.71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115,537,248.30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164,063,511.16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150,624,849.09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171,101,300.86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148,647,190.63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152,723,733.89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142,495,388.00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14,709,802.00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634,766,724.62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572,014,478.02</w:t>
            </w:r>
            <w:r>
              <w:rPr>
                <w:rFonts w:ascii="Times New Roman"/>
                <w:sz w:val="18"/>
              </w:rPr>
            </w:r>
          </w:p>
        </w:tc>
      </w:tr>
    </w:tbl>
    <w:p>
      <w:pPr>
        <w:pStyle w:val="BodyText"/>
        <w:spacing w:line="240" w:lineRule="auto" w:before="51"/>
        <w:ind w:left="424" w:right="986"/>
        <w:jc w:val="left"/>
      </w:pPr>
      <w:r>
        <w:rPr/>
        <w:t>（</w:t>
      </w: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02"/>
        <w:gridCol w:w="1596"/>
        <w:gridCol w:w="1594"/>
        <w:gridCol w:w="1594"/>
        <w:gridCol w:w="1596"/>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49"/>
              <w:jc w:val="left"/>
              <w:rPr>
                <w:rFonts w:ascii="宋体" w:hAnsi="宋体" w:cs="宋体" w:eastAsia="宋体" w:hint="default"/>
                <w:sz w:val="18"/>
                <w:szCs w:val="18"/>
              </w:rPr>
            </w:pPr>
            <w:r>
              <w:rPr>
                <w:rFonts w:ascii="宋体" w:hAnsi="宋体" w:cs="宋体" w:eastAsia="宋体" w:hint="default"/>
                <w:sz w:val="18"/>
                <w:szCs w:val="18"/>
              </w:rPr>
              <w:t>深圳市鑫瑞康实业发展 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25,600,000.00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3,560,000.00</w:t>
            </w:r>
            <w:r>
              <w:rPr>
                <w:rFonts w:ascii="Times New Roman"/>
                <w:sz w:val="18"/>
              </w:rPr>
            </w:r>
          </w:p>
        </w:tc>
      </w:tr>
      <w:tr>
        <w:trPr>
          <w:trHeight w:val="133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49"/>
              <w:jc w:val="left"/>
              <w:rPr>
                <w:rFonts w:ascii="宋体" w:hAnsi="宋体" w:cs="宋体" w:eastAsia="宋体" w:hint="default"/>
                <w:sz w:val="18"/>
                <w:szCs w:val="18"/>
              </w:rPr>
            </w:pPr>
            <w:r>
              <w:rPr>
                <w:rFonts w:ascii="宋体" w:hAnsi="宋体" w:cs="宋体" w:eastAsia="宋体" w:hint="default"/>
                <w:sz w:val="18"/>
                <w:szCs w:val="18"/>
              </w:rPr>
              <w:t>深圳市贝尔加数据信息 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45,392,803.40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24,603,500.00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20,789,303.40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3,309,105.34</w:t>
            </w:r>
            <w:r>
              <w:rPr>
                <w:rFonts w:ascii="Times New Roman"/>
                <w:sz w:val="18"/>
              </w:rPr>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首都医科大学附属北京 友谊医院</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5,722,859.20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811,902.00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4,910,957.20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1,513,882.26</w:t>
            </w:r>
            <w:r>
              <w:rPr>
                <w:rFonts w:ascii="Times New Roman"/>
                <w:sz w:val="18"/>
              </w:rPr>
            </w:r>
          </w:p>
        </w:tc>
      </w:tr>
      <w:tr>
        <w:trPr>
          <w:trHeight w:val="164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49"/>
              <w:jc w:val="left"/>
              <w:rPr>
                <w:rFonts w:ascii="宋体" w:hAnsi="宋体" w:cs="宋体" w:eastAsia="宋体" w:hint="default"/>
                <w:sz w:val="18"/>
                <w:szCs w:val="18"/>
              </w:rPr>
            </w:pPr>
            <w:r>
              <w:rPr>
                <w:rFonts w:ascii="宋体" w:hAnsi="宋体" w:cs="宋体" w:eastAsia="宋体" w:hint="default"/>
                <w:sz w:val="18"/>
                <w:szCs w:val="18"/>
              </w:rPr>
              <w:t>江苏中烟工业有限责任 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3,211,273.06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1,898,936.26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998,100.00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年以上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314,236.80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383,131.16</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中国动物疫病预防控制 中心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3,197,510.00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2,930,310.00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267,200.00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42,663.10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103,124,445.66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8,808,781.86</w:t>
            </w:r>
            <w:r>
              <w:rPr>
                <w:rFonts w:ascii="Times New Roman"/>
                <w:sz w:val="18"/>
              </w:rPr>
            </w:r>
          </w:p>
        </w:tc>
      </w:tr>
    </w:tbl>
    <w:p>
      <w:pPr>
        <w:pStyle w:val="BodyText"/>
        <w:spacing w:line="240" w:lineRule="auto" w:before="51"/>
        <w:ind w:left="512" w:right="986"/>
        <w:jc w:val="left"/>
      </w:pPr>
      <w:r>
        <w:rPr/>
        <w:t>（</w:t>
      </w:r>
      <w:r>
        <w:rPr>
          <w:rFonts w:ascii="宋体" w:hAnsi="宋体" w:cs="宋体" w:eastAsia="宋体" w:hint="default"/>
        </w:rPr>
        <w:t>6</w:t>
      </w:r>
      <w:r>
        <w:rPr/>
        <w:t>）</w:t>
      </w:r>
      <w:r>
        <w:rPr>
          <w:spacing w:val="-61"/>
        </w:rPr>
        <w:t> </w:t>
      </w:r>
      <w:r>
        <w:rPr/>
        <w:t>涉及政府补助的应收款项</w:t>
      </w:r>
    </w:p>
    <w:p>
      <w:pPr>
        <w:pStyle w:val="BodyText"/>
        <w:spacing w:line="240" w:lineRule="auto" w:before="11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left="512" w:right="6704"/>
        <w:jc w:val="left"/>
      </w:pPr>
      <w:r>
        <w:rPr/>
        <w:t>（</w:t>
      </w:r>
      <w:r>
        <w:rPr>
          <w:rFonts w:ascii="Times New Roman" w:hAnsi="Times New Roman" w:cs="Times New Roman" w:eastAsia="Times New Roman" w:hint="default"/>
        </w:rPr>
        <w:t>7</w:t>
      </w:r>
      <w:r>
        <w:rPr/>
        <w:t>）因金融资产转移而终止确认的其他应收款 无</w:t>
      </w:r>
    </w:p>
    <w:p>
      <w:pPr>
        <w:pStyle w:val="BodyText"/>
        <w:spacing w:line="338" w:lineRule="auto" w:before="41"/>
        <w:ind w:left="512" w:right="5984"/>
        <w:jc w:val="left"/>
      </w:pPr>
      <w:r>
        <w:rPr/>
        <w:t>（</w:t>
      </w:r>
      <w:r>
        <w:rPr>
          <w:rFonts w:ascii="Times New Roman" w:hAnsi="Times New Roman" w:cs="Times New Roman" w:eastAsia="Times New Roman" w:hint="default"/>
        </w:rPr>
        <w:t>8</w:t>
      </w:r>
      <w:r>
        <w:rPr/>
        <w:t>）转移其他应收款且继续涉入形成的资产、负债金额 无</w:t>
      </w:r>
    </w:p>
    <w:p>
      <w:pPr>
        <w:spacing w:line="240" w:lineRule="auto" w:before="5"/>
        <w:rPr>
          <w:rFonts w:ascii="宋体" w:hAnsi="宋体" w:cs="宋体" w:eastAsia="宋体" w:hint="default"/>
          <w:sz w:val="21"/>
          <w:szCs w:val="21"/>
        </w:rPr>
      </w:pPr>
    </w:p>
    <w:p>
      <w:pPr>
        <w:pStyle w:val="Heading4"/>
        <w:spacing w:line="240" w:lineRule="auto"/>
        <w:ind w:right="986"/>
        <w:jc w:val="left"/>
        <w:rPr>
          <w:b w:val="0"/>
          <w:bCs w:val="0"/>
        </w:rPr>
      </w:pPr>
      <w:bookmarkStart w:name="7、存货" w:id="221"/>
      <w:bookmarkEnd w:id="221"/>
      <w:r>
        <w:rPr>
          <w:b w:val="0"/>
          <w:bCs w:val="0"/>
        </w:rPr>
      </w: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4"/>
        <w:jc w:val="left"/>
      </w:pPr>
      <w:r>
        <w:rPr/>
        <w:t>公司是否需要遵守房地产行业的披露要求 否</w:t>
      </w:r>
    </w:p>
    <w:p>
      <w:pPr>
        <w:pStyle w:val="Heading5"/>
        <w:spacing w:line="240" w:lineRule="auto" w:before="110"/>
        <w:ind w:right="986"/>
        <w:jc w:val="left"/>
        <w:rPr>
          <w:rFonts w:ascii="宋体" w:hAnsi="宋体" w:cs="宋体" w:eastAsia="宋体" w:hint="default"/>
          <w:b w:val="0"/>
          <w:bCs w:val="0"/>
        </w:rPr>
      </w:pP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8" w:footer="977"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60,539,083.96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5,909,415.09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54,629,668.87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47,717,598.52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4,211,011.19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43,506,587.33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3,968,350,024.28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3,968,350,024.28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3,265,336,618.86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3,265,336,618.86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552,149,735.71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9,692,163.21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542,457,572.50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282,741,053.45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5,485,448.72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277,255,604.73</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11,351,214.17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11,351,214.17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31,123,868.11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31,123,868.11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4,768,268.74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4,768,268.74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4,166,191.94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4,166,191.94</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54,963,821.16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54,963,821.16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48,906,621.40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48,906,621.40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4,652,122,148.02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15,601,578.30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4,636,520,569.72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3,679,991,952.28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9,696,459.91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3,670,295,492.37</w:t>
            </w:r>
          </w:p>
        </w:tc>
      </w:tr>
    </w:tbl>
    <w:p>
      <w:pPr>
        <w:pStyle w:val="BodyText"/>
        <w:spacing w:line="340" w:lineRule="auto" w:before="51"/>
        <w:ind w:right="247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2753"/>
        <w:jc w:val="left"/>
      </w:pPr>
      <w:r>
        <w:rPr/>
        <w:t>公司需遵守《深圳证券交易所行业信息披露指引第</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pStyle w:val="Heading5"/>
        <w:spacing w:line="240" w:lineRule="auto" w:before="123"/>
        <w:ind w:right="986"/>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4,211,011.19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1,723,932.61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25,528.71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5,909,415.09</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5,485,448.72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4,242,382.28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35,667.79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9,692,163.21</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9,696,459.91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5,966,314.89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61,196.50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15,601,578.30</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4"/>
          <w:szCs w:val="14"/>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8、持有待售资产" w:id="222"/>
      <w:bookmarkEnd w:id="22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9、一年内到期的非流动资产" w:id="223"/>
      <w:bookmarkEnd w:id="22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10、其他流动资产" w:id="224"/>
      <w:bookmarkEnd w:id="22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after="0" w:line="240" w:lineRule="auto"/>
        <w:jc w:val="right"/>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120,597.22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229,541.39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86,897,875.43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87,207,246.68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55,122,957.30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5,787,054.27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839,602.48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839,602.46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142,981,032.43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94,063,444.80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1、可供出售金融资产" w:id="225"/>
      <w:bookmarkEnd w:id="22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b w:val="0"/>
          <w:bCs w:val="0"/>
        </w:rPr>
      </w:pPr>
      <w:r>
        <w:rPr>
          <w:rFonts w:ascii="宋体" w:hAnsi="宋体" w:cs="宋体" w:eastAsia="宋体" w:hint="default"/>
        </w:rPr>
        <w:t>1.</w:t>
      </w:r>
      <w:r>
        <w:rPr/>
        <w:t>可供出售金融资产情况</w:t>
      </w:r>
      <w:r>
        <w:rPr>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664,576,883.39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 w:right="0"/>
              <w:jc w:val="center"/>
              <w:rPr>
                <w:rFonts w:ascii="Times New Roman" w:hAnsi="Times New Roman" w:cs="Times New Roman" w:eastAsia="Times New Roman" w:hint="default"/>
                <w:sz w:val="18"/>
                <w:szCs w:val="18"/>
              </w:rPr>
            </w:pPr>
            <w:r>
              <w:rPr>
                <w:rFonts w:ascii="Times New Roman"/>
                <w:sz w:val="18"/>
              </w:rPr>
              <w:t>13,012,773.38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 w:right="0"/>
              <w:jc w:val="center"/>
              <w:rPr>
                <w:rFonts w:ascii="Times New Roman" w:hAnsi="Times New Roman" w:cs="Times New Roman" w:eastAsia="Times New Roman" w:hint="default"/>
                <w:sz w:val="18"/>
                <w:szCs w:val="18"/>
              </w:rPr>
            </w:pPr>
            <w:r>
              <w:rPr>
                <w:rFonts w:ascii="Times New Roman"/>
                <w:sz w:val="18"/>
              </w:rPr>
              <w:t>651,564,110.01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664,728,602.43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13,152,503.25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651,576,099.18</w:t>
            </w:r>
            <w:r>
              <w:rPr>
                <w:rFonts w:ascii="Times New Roman"/>
                <w:sz w:val="18"/>
              </w:rPr>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1,719.04</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664,576,883.39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 w:right="0"/>
              <w:jc w:val="center"/>
              <w:rPr>
                <w:rFonts w:ascii="Times New Roman" w:hAnsi="Times New Roman" w:cs="Times New Roman" w:eastAsia="Times New Roman" w:hint="default"/>
                <w:sz w:val="18"/>
                <w:szCs w:val="18"/>
              </w:rPr>
            </w:pPr>
            <w:r>
              <w:rPr>
                <w:rFonts w:ascii="Times New Roman"/>
                <w:sz w:val="18"/>
              </w:rPr>
              <w:t>13,012,773.38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 w:right="0"/>
              <w:jc w:val="center"/>
              <w:rPr>
                <w:rFonts w:ascii="Times New Roman" w:hAnsi="Times New Roman" w:cs="Times New Roman" w:eastAsia="Times New Roman" w:hint="default"/>
                <w:sz w:val="18"/>
                <w:szCs w:val="18"/>
              </w:rPr>
            </w:pPr>
            <w:r>
              <w:rPr>
                <w:rFonts w:ascii="Times New Roman"/>
                <w:sz w:val="18"/>
              </w:rPr>
              <w:t>651,564,110.01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664,726,883.39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13,152,503.25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651,574,380.14</w:t>
            </w:r>
            <w:r>
              <w:rPr>
                <w:rFonts w:ascii="Times New Roman"/>
                <w:sz w:val="18"/>
              </w:rPr>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664,576,883.39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13,012,773.38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651,564,110.01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664,728,602.43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13,152,503.25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651,576,099.18</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期末按公允价值计量的可供出售金融资产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3.</w:t>
      </w:r>
      <w:r>
        <w:rPr/>
        <w:t>期末按成本计量的可供出售金融资产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139,729.87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139,729.87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9,867,000.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9,867,000.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3,145,773.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3,145,773.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19.76%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4" w:right="108"/>
              <w:jc w:val="left"/>
              <w:rPr>
                <w:rFonts w:ascii="宋体" w:hAnsi="宋体" w:cs="宋体" w:eastAsia="宋体" w:hint="default"/>
                <w:sz w:val="18"/>
                <w:szCs w:val="18"/>
              </w:rPr>
            </w:pPr>
            <w:r>
              <w:rPr>
                <w:rFonts w:ascii="宋体" w:hAnsi="宋体" w:cs="宋体" w:eastAsia="宋体" w:hint="default"/>
                <w:sz w:val="18"/>
                <w:szCs w:val="18"/>
              </w:rPr>
              <w:t>北京首创 金融资产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交易信息 服务股份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海南银行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天津南大 通用数据 技术股份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东华软件 澳洲公司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506,142.74</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506,142.74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味道网</w:t>
            </w:r>
          </w:p>
          <w:p>
            <w:pPr>
              <w:pStyle w:val="TableParagraph"/>
              <w:spacing w:line="316" w:lineRule="auto" w:before="76"/>
              <w:ind w:left="24" w:right="108"/>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北京中关 村银行股 份有限公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东华光普 大数据技 术有限公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13,870,000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东华星联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314,606.74</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314,606.74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衡水银行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长治银行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75,019,133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75,019,133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664,726,88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3.39</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664,576,88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13,152,503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139,729.87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13,012,773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4.</w:t>
      </w:r>
      <w:r>
        <w:rPr/>
        <w:t>报告期内可供出售金融资产减值的变动情况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4"/>
          <w:szCs w:val="14"/>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5.</w:t>
      </w:r>
      <w:r>
        <w:rPr/>
        <w:t>可供出售权益工具期末公允价值严重下跌或非暂时性下跌但未计提减值准备的相关说明</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8" w:footer="977" w:top="1060" w:bottom="1160" w:left="980" w:right="0"/>
        </w:sectPr>
      </w:pPr>
    </w:p>
    <w:p>
      <w:pPr>
        <w:spacing w:line="240" w:lineRule="auto" w:before="8"/>
        <w:rPr>
          <w:rFonts w:ascii="宋体" w:hAnsi="宋体" w:cs="宋体" w:eastAsia="宋体" w:hint="default"/>
          <w:b/>
          <w:bCs/>
          <w:sz w:val="24"/>
          <w:szCs w:val="24"/>
        </w:rPr>
      </w:pPr>
    </w:p>
    <w:p>
      <w:pPr>
        <w:pStyle w:val="Heading4"/>
        <w:spacing w:line="240" w:lineRule="auto" w:before="36"/>
        <w:ind w:right="986"/>
        <w:jc w:val="left"/>
        <w:rPr>
          <w:b w:val="0"/>
          <w:bCs w:val="0"/>
        </w:rPr>
      </w:pPr>
      <w:bookmarkStart w:name="12、持有至到期投资" w:id="226"/>
      <w:bookmarkEnd w:id="226"/>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13、长期应收款" w:id="227"/>
      <w:bookmarkEnd w:id="227"/>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1274"/>
        <w:gridCol w:w="1133"/>
        <w:gridCol w:w="970"/>
        <w:gridCol w:w="1166"/>
        <w:gridCol w:w="1166"/>
        <w:gridCol w:w="1164"/>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560" w:type="dxa"/>
            <w:vMerge/>
            <w:tcBorders>
              <w:left w:val="single" w:sz="4" w:space="0" w:color="000000"/>
              <w:bottom w:val="single" w:sz="4" w:space="0" w:color="000000"/>
              <w:right w:val="single" w:sz="4" w:space="0" w:color="000000"/>
            </w:tcBorders>
            <w:shd w:val="clear" w:color="auto" w:fill="D4D4D4"/>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79,515,602.19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795,156.02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78,720,446.17</w:t>
            </w:r>
          </w:p>
        </w:tc>
        <w:tc>
          <w:tcPr>
            <w:tcW w:w="9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79,515,602.19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795,156.02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78,720,446.17</w:t>
            </w:r>
          </w:p>
        </w:tc>
        <w:tc>
          <w:tcPr>
            <w:tcW w:w="9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Heading5"/>
        <w:spacing w:line="439" w:lineRule="auto"/>
        <w:ind w:right="6135"/>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rPr>
        <w:t> </w:t>
      </w:r>
      <w:r>
        <w:rPr>
          <w:rFonts w:ascii="宋体" w:hAnsi="宋体" w:cs="宋体" w:eastAsia="宋体" w:hint="default"/>
        </w:rPr>
        <w:t>3.</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15"/>
          <w:szCs w:val="15"/>
        </w:rPr>
      </w:pPr>
    </w:p>
    <w:p>
      <w:pPr>
        <w:pStyle w:val="Heading4"/>
        <w:spacing w:line="240" w:lineRule="auto"/>
        <w:ind w:right="986"/>
        <w:jc w:val="left"/>
        <w:rPr>
          <w:b w:val="0"/>
          <w:bCs w:val="0"/>
        </w:rPr>
      </w:pPr>
      <w:bookmarkStart w:name="14、长期股权投资" w:id="228"/>
      <w:bookmarkEnd w:id="22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852"/>
        <w:gridCol w:w="492"/>
        <w:gridCol w:w="924"/>
        <w:gridCol w:w="708"/>
        <w:gridCol w:w="763"/>
        <w:gridCol w:w="797"/>
        <w:gridCol w:w="708"/>
        <w:gridCol w:w="888"/>
        <w:gridCol w:w="1097"/>
        <w:gridCol w:w="499"/>
      </w:tblGrid>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994"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62"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5" w:right="96"/>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10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vMerge/>
            <w:tcBorders>
              <w:left w:val="single" w:sz="4" w:space="0" w:color="000000"/>
              <w:bottom w:val="single" w:sz="4" w:space="0" w:color="000000"/>
              <w:right w:val="single" w:sz="4" w:space="0" w:color="000000"/>
            </w:tcBorders>
            <w:shd w:val="clear" w:color="auto" w:fill="D4D4D4"/>
          </w:tcPr>
          <w:p>
            <w:pPr/>
          </w:p>
        </w:tc>
        <w:tc>
          <w:tcPr>
            <w:tcW w:w="49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瑞客东华转 化医学研究 中心有限公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1,679.40</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1,679.40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北京卓讯科 信技术有限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9,981,215.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02</w:t>
            </w:r>
          </w:p>
        </w:tc>
        <w:tc>
          <w:tcPr>
            <w:tcW w:w="85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213,361.39</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10,194,576.41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北京中能博 泰科技有限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72,794,43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2.00</w:t>
            </w: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-13,996,22</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3.59</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60,298,208.41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北京东软慧 聚信息技术 股份有限公</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-10,209,73</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6.09</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22,827,683.91</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852"/>
        <w:gridCol w:w="492"/>
        <w:gridCol w:w="924"/>
        <w:gridCol w:w="708"/>
        <w:gridCol w:w="763"/>
        <w:gridCol w:w="797"/>
        <w:gridCol w:w="708"/>
        <w:gridCol w:w="888"/>
        <w:gridCol w:w="1097"/>
        <w:gridCol w:w="499"/>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深圳市贝尔 加数据信息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2,285,125.8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127,285,125.8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136,481,2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15.02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98,794,43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2.00</w:t>
            </w: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-21,705,79</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3.05</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7,037,420.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220,607,273.9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136,481,2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15.02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98,794,43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2.00</w:t>
            </w:r>
          </w:p>
        </w:tc>
        <w:tc>
          <w:tcPr>
            <w:tcW w:w="4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-21,705,79</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3.05</w:t>
            </w:r>
          </w:p>
        </w:tc>
        <w:tc>
          <w:tcPr>
            <w:tcW w:w="7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7,037,420.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220,607,273.9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5、投资性房地产" w:id="229"/>
      <w:bookmarkEnd w:id="22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采用成本计量模式的投资性房地产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4"/>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5,584,249.07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5,584,249.07</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538,718.04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538,718.04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5,045,531.03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5,045,531.03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5,584,249.07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5,584,249.07</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5,757,183.93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5,757,183.93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采用公允价值计量模式的投资性房地产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3.</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16、固定资产" w:id="230"/>
      <w:bookmarkEnd w:id="23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4"/>
        <w:gridCol w:w="3187"/>
        <w:gridCol w:w="3187"/>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277,851,299.56</w:t>
            </w:r>
            <w:r>
              <w:rPr>
                <w:rFonts w:ascii="Times New Roman"/>
                <w:sz w:val="18"/>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306,577,145.99</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277,851,299.56</w:t>
            </w:r>
            <w:r>
              <w:rPr>
                <w:rFonts w:ascii="Times New Roman"/>
                <w:sz w:val="18"/>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306,577,145.99</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156,525,716.36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41,786,767.73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22,167,695.43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644,274,664.72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864,754,844.24</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30,716,155.58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1,214,816.90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2,272,790.80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49,199,327.06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83,403,090.34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30,716,155.58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1,214,816.90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2,272,790.80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49,199,327.06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83,403,090.34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368,495.00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2,361,016.23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14,070,944.23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368,495.00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2,026,602.82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2,395,097.82</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）处置股权转出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334,413.41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334,413.41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11,341,433.00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175,900,438.94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43,001,584.63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24,071,991.23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691,112,975.55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934,086,990.35</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56,173,515.43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6,382,556.68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13,680,388.86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481,941,237.29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558,177,698.26</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8,624,175.24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4,659,923.62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2,560,711.71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89,742,734.43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105,587,545.00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8,624,175.24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4,659,923.62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2,560,711.71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89,742,734.43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105,587,545.00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5,045,531.03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350,070.00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2,133,951.43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7,529,552.46</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350,070.00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1,941,317.67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2,291,387.67</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）处置股权转出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192,633.76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192,633.76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5,045,531.03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5,045,531.03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59,752,159.64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11,042,480.30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15,891,030.57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569,550,020.29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656,235,690.80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116,148,279.30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31,959,104.33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8,180,960.66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121,562,955.26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277,851,299.56</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100,352,200.93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35,404,211.05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8,487,306.57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162,333,427.43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306,577,145.99</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8" w:footer="977"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47,404,450.24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产权证正在办理中</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6.</w:t>
      </w:r>
      <w:r>
        <w:rPr/>
        <w:t>固定资产清理</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17、在建工程" w:id="231"/>
      <w:bookmarkEnd w:id="23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4"/>
        <w:gridCol w:w="3859"/>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25,799,394.13</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10,300,218.23</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25,799,394.13</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10,300,218.23</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22,655,187.27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22,655,187.27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10,300,218.23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Times New Roman" w:hAnsi="Times New Roman" w:cs="Times New Roman" w:eastAsia="Times New Roman" w:hint="default"/>
                <w:sz w:val="18"/>
                <w:szCs w:val="18"/>
              </w:rPr>
            </w:pPr>
            <w:r>
              <w:rPr>
                <w:rFonts w:ascii="Times New Roman"/>
                <w:sz w:val="18"/>
              </w:rPr>
              <w:t>10,300,218.23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金云产业园项目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3,144,206.86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3,144,206.86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25,799,394.13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25,799,394.13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10,300,218.23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Times New Roman" w:hAnsi="Times New Roman" w:cs="Times New Roman" w:eastAsia="Times New Roman" w:hint="default"/>
                <w:sz w:val="18"/>
                <w:szCs w:val="18"/>
              </w:rPr>
            </w:pPr>
            <w:r>
              <w:rPr>
                <w:rFonts w:ascii="Times New Roman"/>
                <w:sz w:val="18"/>
              </w:rPr>
              <w:t>10,300,218.23</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泰安东 华软件 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10,300,2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12,354,9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22,655,1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金云产 业园项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27,425,0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370,250,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10,300,2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15,499,1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25,799,3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spacing w:line="427" w:lineRule="auto" w:before="44"/>
        <w:ind w:left="512" w:right="5894"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本期计提在建工程减值准备情况</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日，公司无在建工程减值准备的情况。 </w:t>
      </w:r>
      <w:r>
        <w:rPr>
          <w:rFonts w:ascii="宋体" w:hAnsi="宋体" w:cs="宋体" w:eastAsia="宋体" w:hint="default"/>
          <w:b/>
          <w:bCs/>
          <w:sz w:val="18"/>
          <w:szCs w:val="18"/>
        </w:rPr>
        <w:t>4.</w:t>
      </w:r>
      <w:r>
        <w:rPr>
          <w:rFonts w:ascii="宋体" w:hAnsi="宋体" w:cs="宋体" w:eastAsia="宋体" w:hint="default"/>
          <w:b/>
          <w:bCs/>
          <w:sz w:val="18"/>
          <w:szCs w:val="18"/>
        </w:rPr>
        <w:t>工程物资</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27"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18、生产性生物资产" w:id="232"/>
      <w:bookmarkEnd w:id="232"/>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19、油气资产" w:id="233"/>
      <w:bookmarkEnd w:id="233"/>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0、无形资产" w:id="234"/>
      <w:bookmarkEnd w:id="234"/>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34" w:right="8678"/>
        <w:jc w:val="center"/>
        <w:rPr>
          <w:rFonts w:ascii="宋体" w:hAnsi="宋体" w:cs="宋体" w:eastAsia="宋体" w:hint="default"/>
          <w:b w:val="0"/>
          <w:bCs w:val="0"/>
        </w:rPr>
      </w:pP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3,508,276.67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28,814,475.60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346,299,280.87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378,623,033.14</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15,734,211.05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11,653,032.42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53,137,243.47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11,653,032.42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37,403,032.42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15,734,211.05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15,734,211.05</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3,286,538.41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3,286,538.41</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）处置股权转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3,286,538.41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3,286,538.41</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29,258,276.67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44,548,686.65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354,665,774.88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428,473,738.20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762,667.70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7,849,447.56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217,178,413.40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225,791,528.66</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585,399.56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6,232,316.28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64,866,051.05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71,683,766.89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585,399.56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6,232,316.28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64,866,051.05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71,683,766.89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1,154,469.35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1,154,469.35</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）处置股权转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1,154,469.35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1,154,469.35</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1,348,067.26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14,081,763.84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280,889,995.10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296,320,826.20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27,910,209.41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30,466,922.81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73,775,779.78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132,152,912.00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2,745,608.97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20,965,028.04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129,120,867.47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152,831,504.48</w:t>
            </w:r>
            <w:r>
              <w:rPr>
                <w:rFonts w:ascii="Times New Roman"/>
                <w:sz w:val="18"/>
              </w:rPr>
            </w:r>
          </w:p>
        </w:tc>
      </w:tr>
    </w:tbl>
    <w:p>
      <w:pPr>
        <w:pStyle w:val="BodyText"/>
        <w:spacing w:line="240" w:lineRule="auto" w:before="51"/>
        <w:ind w:right="986"/>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24.26%</w:t>
      </w:r>
      <w:r>
        <w:rPr/>
        <w:t>。</w:t>
      </w:r>
    </w:p>
    <w:p>
      <w:pPr>
        <w:spacing w:line="240" w:lineRule="auto" w:before="13"/>
        <w:rPr>
          <w:rFonts w:ascii="宋体" w:hAnsi="宋体" w:cs="宋体" w:eastAsia="宋体" w:hint="default"/>
          <w:sz w:val="13"/>
          <w:szCs w:val="13"/>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21、开发支出" w:id="235"/>
      <w:bookmarkEnd w:id="235"/>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4"/>
        <w:gridCol w:w="1277"/>
        <w:gridCol w:w="1205"/>
        <w:gridCol w:w="1488"/>
        <w:gridCol w:w="1699"/>
        <w:gridCol w:w="1063"/>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shd w:val="clear" w:color="auto" w:fill="D4D4D4"/>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海南云教育平台建 设项目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15,172,990.87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15,172,990.87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智慧社区综合营销 平台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9,579,267.21</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6,154,943.84</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15,734,211.05</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24,752,258.08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6,154,943.84</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15,734,211.05</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15,172,990.87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2、商誉" w:id="236"/>
      <w:bookmarkEnd w:id="236"/>
      <w:r>
        <w:rPr>
          <w:b w:val="0"/>
          <w:bCs w:val="0"/>
        </w:rPr>
      </w:r>
      <w:r>
        <w:rPr>
          <w:rFonts w:ascii="Times New Roman" w:hAnsi="Times New Roman" w:cs="Times New Roman" w:eastAsia="Times New Roman" w:hint="default"/>
        </w:rPr>
        <w:t>22</w:t>
      </w:r>
      <w:r>
        <w:rPr/>
        <w:t>、商誉</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6"/>
        <w:gridCol w:w="2268"/>
        <w:gridCol w:w="1560"/>
        <w:gridCol w:w="1399"/>
        <w:gridCol w:w="1366"/>
      </w:tblGrid>
      <w:tr>
        <w:trPr>
          <w:trHeight w:val="206" w:hRule="exact"/>
        </w:trPr>
        <w:tc>
          <w:tcPr>
            <w:tcW w:w="2976" w:type="dxa"/>
            <w:tcBorders>
              <w:top w:val="single" w:sz="4" w:space="0" w:color="000000"/>
              <w:left w:val="single" w:sz="4" w:space="0" w:color="000000"/>
              <w:bottom w:val="nil" w:sz="6" w:space="0" w:color="auto"/>
              <w:right w:val="single" w:sz="4" w:space="0" w:color="000000"/>
            </w:tcBorders>
            <w:shd w:val="clear" w:color="auto" w:fill="D4D4D4"/>
          </w:tcPr>
          <w:p>
            <w:pPr/>
          </w:p>
        </w:tc>
        <w:tc>
          <w:tcPr>
            <w:tcW w:w="22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97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2268"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4D4D4"/>
          </w:tcPr>
          <w:p>
            <w:pPr/>
          </w:p>
        </w:tc>
        <w:tc>
          <w:tcPr>
            <w:tcW w:w="1399"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right w:val="single" w:sz="4" w:space="0" w:color="000000"/>
            </w:tcBorders>
            <w:shd w:val="clear" w:color="auto" w:fill="D4D4D4"/>
          </w:tcPr>
          <w:p>
            <w:pPr/>
          </w:p>
        </w:tc>
      </w:tr>
      <w:tr>
        <w:trPr>
          <w:trHeight w:val="196" w:hRule="exact"/>
        </w:trPr>
        <w:tc>
          <w:tcPr>
            <w:tcW w:w="2976" w:type="dxa"/>
            <w:vMerge/>
            <w:tcBorders>
              <w:left w:val="single" w:sz="4" w:space="0" w:color="000000"/>
              <w:bottom w:val="nil" w:sz="6" w:space="0" w:color="auto"/>
              <w:right w:val="single" w:sz="4" w:space="0" w:color="000000"/>
            </w:tcBorders>
            <w:shd w:val="clear" w:color="auto" w:fill="D4D4D4"/>
          </w:tcPr>
          <w:p>
            <w:pPr/>
          </w:p>
        </w:tc>
        <w:tc>
          <w:tcPr>
            <w:tcW w:w="2268" w:type="dxa"/>
            <w:vMerge/>
            <w:tcBorders>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99"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vMerge/>
            <w:tcBorders>
              <w:left w:val="single" w:sz="4" w:space="0" w:color="000000"/>
              <w:right w:val="single" w:sz="4" w:space="0" w:color="000000"/>
            </w:tcBorders>
            <w:shd w:val="clear" w:color="auto" w:fill="D4D4D4"/>
          </w:tcPr>
          <w:p>
            <w:pPr/>
          </w:p>
        </w:tc>
      </w:tr>
      <w:tr>
        <w:trPr>
          <w:trHeight w:val="206" w:hRule="exact"/>
        </w:trPr>
        <w:tc>
          <w:tcPr>
            <w:tcW w:w="2976" w:type="dxa"/>
            <w:tcBorders>
              <w:top w:val="nil" w:sz="6" w:space="0" w:color="auto"/>
              <w:left w:val="single" w:sz="4" w:space="0" w:color="000000"/>
              <w:bottom w:val="single" w:sz="4" w:space="0" w:color="000000"/>
              <w:right w:val="single" w:sz="4" w:space="0" w:color="000000"/>
            </w:tcBorders>
            <w:shd w:val="clear" w:color="auto" w:fill="D4D4D4"/>
          </w:tcPr>
          <w:p>
            <w:pPr/>
          </w:p>
        </w:tc>
        <w:tc>
          <w:tcPr>
            <w:tcW w:w="2268"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ADADA"/>
          </w:tcPr>
          <w:p>
            <w:pPr/>
          </w:p>
        </w:tc>
        <w:tc>
          <w:tcPr>
            <w:tcW w:w="1399" w:type="dxa"/>
            <w:vMerge/>
            <w:tcBorders>
              <w:left w:val="single" w:sz="4" w:space="0" w:color="000000"/>
              <w:bottom w:val="single" w:sz="4" w:space="0" w:color="000000"/>
              <w:right w:val="single" w:sz="4" w:space="0" w:color="000000"/>
            </w:tcBorders>
            <w:shd w:val="clear" w:color="auto" w:fill="DADADA"/>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247,618,632.50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247,618,632.50</w:t>
            </w:r>
            <w:r>
              <w:rPr>
                <w:rFonts w:ascii="Times New Roman"/>
                <w:sz w:val="18"/>
              </w:rPr>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225,266,979.44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225,266,979.44</w:t>
            </w:r>
            <w:r>
              <w:rPr>
                <w:rFonts w:ascii="Times New Roman"/>
                <w:sz w:val="18"/>
              </w:rPr>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1,942,851.06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1,942,851.06</w:t>
            </w:r>
            <w:r>
              <w:rPr>
                <w:rFonts w:ascii="Times New Roman"/>
                <w:sz w:val="18"/>
              </w:rPr>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469,339,595.86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469,339,595.86</w:t>
            </w:r>
            <w:r>
              <w:rPr>
                <w:rFonts w:ascii="Times New Roman"/>
                <w:sz w:val="18"/>
              </w:rPr>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565,135,229.20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565,135,229.20</w:t>
            </w:r>
            <w:r>
              <w:rPr>
                <w:rFonts w:ascii="Times New Roman"/>
                <w:sz w:val="18"/>
              </w:rPr>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151,607,495.56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151,607,495.56</w:t>
            </w:r>
            <w:r>
              <w:rPr>
                <w:rFonts w:ascii="Times New Roman"/>
                <w:sz w:val="18"/>
              </w:rPr>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广东东华发思特软件有限公司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2,448,272.58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2,448,272.58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6"/>
        <w:gridCol w:w="2268"/>
        <w:gridCol w:w="1560"/>
        <w:gridCol w:w="1399"/>
        <w:gridCol w:w="1366"/>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微掌文科技（北京）有限公司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1,607,926.45</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1,607,926.45</w:t>
            </w:r>
            <w:r>
              <w:rPr>
                <w:rFonts w:ascii="Times New Roman"/>
                <w:sz w:val="18"/>
              </w:rPr>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9" w:right="0"/>
              <w:jc w:val="left"/>
              <w:rPr>
                <w:rFonts w:ascii="Times New Roman" w:hAnsi="Times New Roman" w:cs="Times New Roman" w:eastAsia="Times New Roman" w:hint="default"/>
                <w:sz w:val="18"/>
                <w:szCs w:val="18"/>
              </w:rPr>
            </w:pPr>
            <w:r>
              <w:rPr>
                <w:rFonts w:ascii="Times New Roman"/>
                <w:sz w:val="18"/>
              </w:rPr>
              <w:t>1,663,359,056.20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1,607,926.45</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1,664,966,982.65</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0"/>
        <w:gridCol w:w="2268"/>
        <w:gridCol w:w="1558"/>
        <w:gridCol w:w="1258"/>
        <w:gridCol w:w="1366"/>
      </w:tblGrid>
      <w:tr>
        <w:trPr>
          <w:trHeight w:val="206" w:hRule="exact"/>
        </w:trPr>
        <w:tc>
          <w:tcPr>
            <w:tcW w:w="3120" w:type="dxa"/>
            <w:tcBorders>
              <w:top w:val="single" w:sz="4" w:space="0" w:color="000000"/>
              <w:left w:val="single" w:sz="4" w:space="0" w:color="000000"/>
              <w:bottom w:val="nil" w:sz="6" w:space="0" w:color="auto"/>
              <w:right w:val="single" w:sz="4" w:space="0" w:color="000000"/>
            </w:tcBorders>
            <w:shd w:val="clear" w:color="auto" w:fill="D4D4D4"/>
          </w:tcPr>
          <w:p>
            <w:pPr/>
          </w:p>
        </w:tc>
        <w:tc>
          <w:tcPr>
            <w:tcW w:w="22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312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2268" w:type="dxa"/>
            <w:vMerge/>
            <w:tcBorders>
              <w:left w:val="single" w:sz="4" w:space="0" w:color="000000"/>
              <w:right w:val="single" w:sz="4" w:space="0" w:color="000000"/>
            </w:tcBorders>
            <w:shd w:val="clear" w:color="auto" w:fill="D4D4D4"/>
          </w:tcPr>
          <w:p>
            <w:pPr/>
          </w:p>
        </w:tc>
        <w:tc>
          <w:tcPr>
            <w:tcW w:w="1558" w:type="dxa"/>
            <w:vMerge/>
            <w:tcBorders>
              <w:left w:val="single" w:sz="4" w:space="0" w:color="000000"/>
              <w:bottom w:val="single" w:sz="4" w:space="0" w:color="000000"/>
              <w:right w:val="single" w:sz="4" w:space="0" w:color="000000"/>
            </w:tcBorders>
            <w:shd w:val="clear" w:color="auto" w:fill="D4D4D4"/>
          </w:tcPr>
          <w:p>
            <w:pPr/>
          </w:p>
        </w:tc>
        <w:tc>
          <w:tcPr>
            <w:tcW w:w="125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right w:val="single" w:sz="4" w:space="0" w:color="000000"/>
            </w:tcBorders>
            <w:shd w:val="clear" w:color="auto" w:fill="D4D4D4"/>
          </w:tcPr>
          <w:p>
            <w:pPr/>
          </w:p>
        </w:tc>
      </w:tr>
      <w:tr>
        <w:trPr>
          <w:trHeight w:val="197" w:hRule="exact"/>
        </w:trPr>
        <w:tc>
          <w:tcPr>
            <w:tcW w:w="3120" w:type="dxa"/>
            <w:vMerge/>
            <w:tcBorders>
              <w:left w:val="single" w:sz="4" w:space="0" w:color="000000"/>
              <w:bottom w:val="nil" w:sz="6" w:space="0" w:color="auto"/>
              <w:right w:val="single" w:sz="4" w:space="0" w:color="000000"/>
            </w:tcBorders>
            <w:shd w:val="clear" w:color="auto" w:fill="D4D4D4"/>
          </w:tcPr>
          <w:p>
            <w:pPr/>
          </w:p>
        </w:tc>
        <w:tc>
          <w:tcPr>
            <w:tcW w:w="2268" w:type="dxa"/>
            <w:vMerge/>
            <w:tcBorders>
              <w:left w:val="single" w:sz="4" w:space="0" w:color="000000"/>
              <w:right w:val="single" w:sz="4" w:space="0" w:color="000000"/>
            </w:tcBorders>
            <w:shd w:val="clear" w:color="auto" w:fill="D4D4D4"/>
          </w:tcPr>
          <w:p>
            <w:pPr/>
          </w:p>
        </w:tc>
        <w:tc>
          <w:tcPr>
            <w:tcW w:w="1558"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58"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vMerge/>
            <w:tcBorders>
              <w:left w:val="single" w:sz="4" w:space="0" w:color="000000"/>
              <w:right w:val="single" w:sz="4" w:space="0" w:color="000000"/>
            </w:tcBorders>
            <w:shd w:val="clear" w:color="auto" w:fill="D4D4D4"/>
          </w:tcPr>
          <w:p>
            <w:pPr/>
          </w:p>
        </w:tc>
      </w:tr>
      <w:tr>
        <w:trPr>
          <w:trHeight w:val="206" w:hRule="exact"/>
        </w:trPr>
        <w:tc>
          <w:tcPr>
            <w:tcW w:w="3120" w:type="dxa"/>
            <w:tcBorders>
              <w:top w:val="nil" w:sz="6" w:space="0" w:color="auto"/>
              <w:left w:val="single" w:sz="4" w:space="0" w:color="000000"/>
              <w:bottom w:val="single" w:sz="4" w:space="0" w:color="000000"/>
              <w:right w:val="single" w:sz="4" w:space="0" w:color="000000"/>
            </w:tcBorders>
            <w:shd w:val="clear" w:color="auto" w:fill="D4D4D4"/>
          </w:tcPr>
          <w:p>
            <w:pPr/>
          </w:p>
        </w:tc>
        <w:tc>
          <w:tcPr>
            <w:tcW w:w="2268" w:type="dxa"/>
            <w:vMerge/>
            <w:tcBorders>
              <w:left w:val="single" w:sz="4" w:space="0" w:color="000000"/>
              <w:bottom w:val="single" w:sz="4" w:space="0" w:color="000000"/>
              <w:right w:val="single" w:sz="4" w:space="0" w:color="000000"/>
            </w:tcBorders>
            <w:shd w:val="clear" w:color="auto" w:fill="D4D4D4"/>
          </w:tcPr>
          <w:p>
            <w:pPr/>
          </w:p>
        </w:tc>
        <w:tc>
          <w:tcPr>
            <w:tcW w:w="1558" w:type="dxa"/>
            <w:vMerge/>
            <w:tcBorders>
              <w:left w:val="single" w:sz="4" w:space="0" w:color="000000"/>
              <w:bottom w:val="single" w:sz="4" w:space="0" w:color="000000"/>
              <w:right w:val="single" w:sz="4" w:space="0" w:color="000000"/>
            </w:tcBorders>
            <w:shd w:val="clear" w:color="auto" w:fill="DADADA"/>
          </w:tcPr>
          <w:p>
            <w:pPr/>
          </w:p>
        </w:tc>
        <w:tc>
          <w:tcPr>
            <w:tcW w:w="1258" w:type="dxa"/>
            <w:vMerge/>
            <w:tcBorders>
              <w:left w:val="single" w:sz="4" w:space="0" w:color="000000"/>
              <w:bottom w:val="single" w:sz="4" w:space="0" w:color="000000"/>
              <w:right w:val="single" w:sz="4" w:space="0" w:color="000000"/>
            </w:tcBorders>
            <w:shd w:val="clear" w:color="auto" w:fill="DADADA"/>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73,621,036.39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73,621,036.39</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208,407,726.53</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53,768,078.63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262,175,805.16</w:t>
            </w:r>
            <w:r>
              <w:rPr>
                <w:rFonts w:ascii="Times New Roman"/>
                <w:sz w:val="18"/>
              </w:rPr>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254,318,218.40</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157,897,205.60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412,215,424.00</w:t>
            </w:r>
            <w:r>
              <w:rPr>
                <w:rFonts w:ascii="Times New Roman"/>
                <w:sz w:val="18"/>
              </w:rPr>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121,012,386.29</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14,541,914.01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135,554,300.30</w:t>
            </w:r>
            <w:r>
              <w:rPr>
                <w:rFonts w:ascii="Times New Roman"/>
                <w:sz w:val="18"/>
              </w:rPr>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657,359,367.61</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226,207,198.24</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883,566,565.85</w:t>
            </w:r>
            <w:r>
              <w:rPr>
                <w:rFonts w:ascii="Times New Roman"/>
                <w:sz w:val="18"/>
              </w:rPr>
            </w:r>
          </w:p>
        </w:tc>
      </w:tr>
    </w:tbl>
    <w:p>
      <w:pPr>
        <w:pStyle w:val="BodyText"/>
        <w:spacing w:line="360" w:lineRule="auto" w:before="51"/>
        <w:ind w:left="512" w:right="1034" w:hanging="360"/>
        <w:jc w:val="left"/>
      </w:pPr>
      <w:r>
        <w:rPr/>
        <w:t>商誉所在资产组或资产组组合的相关信息 公司将与商誉相关的固定资产、无形资产等长期资产，以及经营性流动资产和负债确认为资产组。该资产组与购买日、</w:t>
      </w:r>
    </w:p>
    <w:p>
      <w:pPr>
        <w:pStyle w:val="BodyText"/>
        <w:spacing w:line="222" w:lineRule="exact"/>
        <w:ind w:right="986"/>
        <w:jc w:val="left"/>
        <w:rPr>
          <w:rFonts w:ascii="宋体" w:hAnsi="宋体" w:cs="宋体" w:eastAsia="宋体" w:hint="default"/>
        </w:rPr>
      </w:pPr>
      <w:r>
        <w:rPr/>
        <w:t>以前年度商誉减值测试时所确认的资产组组合一致。</w:t>
      </w:r>
      <w:r>
        <w:rPr>
          <w:rFonts w:ascii="宋体" w:hAnsi="宋体" w:cs="宋体" w:eastAsia="宋体" w:hint="default"/>
        </w:rPr>
        <w:t> </w:t>
      </w:r>
    </w:p>
    <w:p>
      <w:pPr>
        <w:pStyle w:val="BodyText"/>
        <w:spacing w:line="316" w:lineRule="auto" w:before="115"/>
        <w:ind w:right="986"/>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55" w:lineRule="auto" w:before="81"/>
        <w:ind w:left="467" w:right="1079"/>
        <w:jc w:val="left"/>
      </w:pPr>
      <w:r>
        <w:rPr/>
        <w:t>（</w:t>
      </w:r>
      <w:r>
        <w:rPr>
          <w:rFonts w:ascii="Times New Roman" w:hAnsi="Times New Roman" w:cs="Times New Roman" w:eastAsia="Times New Roman" w:hint="default"/>
        </w:rPr>
        <w:t>1</w:t>
      </w:r>
      <w:r>
        <w:rPr/>
        <w:t>）测试过程 公司期末对包含商誉的资产组进行了减值测试，将资产组账面价值与可收回金额进行比较，以确定资产组（包括商誉）</w:t>
      </w:r>
    </w:p>
    <w:p>
      <w:pPr>
        <w:pStyle w:val="BodyText"/>
        <w:spacing w:line="316" w:lineRule="auto"/>
        <w:ind w:right="986"/>
        <w:jc w:val="left"/>
        <w:rPr>
          <w:rFonts w:ascii="宋体" w:hAnsi="宋体" w:cs="宋体" w:eastAsia="宋体" w:hint="default"/>
        </w:rPr>
      </w:pPr>
      <w:r>
        <w:rPr>
          <w:spacing w:val="-2"/>
        </w:rPr>
        <w:t>是否发生了减值，可收回金额按照预计未来现金流量现值计算。测试结果表明包含分摊的商誉的资产组的可收回金额低于账</w:t>
      </w:r>
      <w:r>
        <w:rPr>
          <w:spacing w:val="-64"/>
        </w:rPr>
        <w:t> </w:t>
      </w:r>
      <w:r>
        <w:rPr>
          <w:spacing w:val="-64"/>
        </w:rPr>
      </w:r>
      <w:r>
        <w:rPr/>
        <w:t>面价值的，确认相应的减值损失。</w:t>
      </w:r>
      <w:r>
        <w:rPr>
          <w:rFonts w:ascii="宋体" w:hAnsi="宋体" w:cs="宋体" w:eastAsia="宋体" w:hint="default"/>
        </w:rPr>
        <w:t> </w:t>
      </w:r>
    </w:p>
    <w:p>
      <w:pPr>
        <w:pStyle w:val="BodyText"/>
        <w:spacing w:line="240" w:lineRule="auto" w:before="79"/>
        <w:ind w:left="467" w:right="986"/>
        <w:jc w:val="left"/>
      </w:pPr>
      <w:r>
        <w:rPr/>
        <w:t>（</w:t>
      </w:r>
      <w:r>
        <w:rPr>
          <w:rFonts w:ascii="Times New Roman" w:hAnsi="Times New Roman" w:cs="Times New Roman" w:eastAsia="Times New Roman" w:hint="default"/>
        </w:rPr>
        <w:t>2</w:t>
      </w:r>
      <w:r>
        <w:rPr/>
        <w:t>）关键参数</w:t>
      </w:r>
    </w:p>
    <w:p>
      <w:pPr>
        <w:spacing w:line="240" w:lineRule="auto" w:before="6"/>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418"/>
        <w:gridCol w:w="1037"/>
        <w:gridCol w:w="1464"/>
        <w:gridCol w:w="1452"/>
        <w:gridCol w:w="1399"/>
        <w:gridCol w:w="1274"/>
        <w:gridCol w:w="1572"/>
      </w:tblGrid>
      <w:tr>
        <w:trPr>
          <w:trHeight w:val="416" w:hRule="exact"/>
        </w:trPr>
        <w:tc>
          <w:tcPr>
            <w:tcW w:w="1418"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26" w:type="dxa"/>
            <w:gridSpan w:val="5"/>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关键参数</w:t>
            </w:r>
          </w:p>
        </w:tc>
        <w:tc>
          <w:tcPr>
            <w:tcW w:w="1572"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7"/>
              <w:ind w:left="420" w:right="0"/>
              <w:jc w:val="left"/>
              <w:rPr>
                <w:rFonts w:ascii="宋体" w:hAnsi="宋体" w:cs="宋体" w:eastAsia="宋体" w:hint="default"/>
                <w:sz w:val="18"/>
                <w:szCs w:val="18"/>
              </w:rPr>
            </w:pPr>
            <w:r>
              <w:rPr>
                <w:rFonts w:ascii="宋体" w:hAnsi="宋体" w:cs="宋体" w:eastAsia="宋体" w:hint="default"/>
                <w:sz w:val="18"/>
                <w:szCs w:val="18"/>
              </w:rPr>
              <w:t>确定依据</w:t>
            </w:r>
          </w:p>
        </w:tc>
      </w:tr>
      <w:tr>
        <w:trPr>
          <w:trHeight w:val="353" w:hRule="exact"/>
        </w:trPr>
        <w:tc>
          <w:tcPr>
            <w:tcW w:w="1418" w:type="dxa"/>
            <w:vMerge/>
            <w:tcBorders>
              <w:left w:val="single" w:sz="4" w:space="0" w:color="000000"/>
              <w:bottom w:val="single" w:sz="4" w:space="0" w:color="000000"/>
              <w:right w:val="single" w:sz="4" w:space="0" w:color="000000"/>
            </w:tcBorders>
            <w:shd w:val="clear" w:color="auto" w:fill="DADADA"/>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146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145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139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万兴新锐</w:t>
            </w:r>
          </w:p>
        </w:tc>
        <w:tc>
          <w:tcPr>
            <w:tcW w:w="12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1572" w:type="dxa"/>
            <w:vMerge/>
            <w:tcBorders>
              <w:left w:val="single" w:sz="4" w:space="0" w:color="000000"/>
              <w:bottom w:val="single" w:sz="4" w:space="0" w:color="000000"/>
              <w:right w:val="single" w:sz="4" w:space="0" w:color="000000"/>
            </w:tcBorders>
            <w:shd w:val="clear" w:color="auto" w:fill="DADADA"/>
          </w:tcPr>
          <w:p>
            <w:pPr/>
          </w:p>
        </w:tc>
      </w:tr>
      <w:tr>
        <w:trPr>
          <w:trHeight w:val="4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预测收入增长率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5%-7%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14%-15%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3%-5%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8"/>
                <w:sz w:val="18"/>
                <w:szCs w:val="18"/>
              </w:rPr>
              <w:t>参考历史增长率、行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业增长率</w:t>
            </w:r>
          </w:p>
        </w:tc>
      </w:tr>
      <w:tr>
        <w:trPr>
          <w:trHeight w:val="42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z w:val="18"/>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z w:val="18"/>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z w:val="18"/>
              </w:rPr>
              <w:t>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
              <w:jc w:val="right"/>
              <w:rPr>
                <w:rFonts w:ascii="Times New Roman" w:hAnsi="Times New Roman" w:cs="Times New Roman" w:eastAsia="Times New Roman" w:hint="default"/>
                <w:sz w:val="18"/>
                <w:szCs w:val="18"/>
              </w:rPr>
            </w:pPr>
            <w:r>
              <w:rPr>
                <w:rFonts w:ascii="Times New Roman"/>
                <w:sz w:val="18"/>
              </w:rPr>
              <w:t>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hAnsi="Times New Roman"/>
                <w:sz w:val="18"/>
              </w:rPr>
              <w:t>¬</w:t>
            </w:r>
          </w:p>
        </w:tc>
      </w:tr>
      <w:tr>
        <w:trPr>
          <w:trHeight w:val="7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35%-36%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73%-74%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22%-23%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45%-46%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18%-19%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3"/>
              <w:ind w:left="4" w:right="-14"/>
              <w:jc w:val="left"/>
              <w:rPr>
                <w:rFonts w:ascii="宋体" w:hAnsi="宋体" w:cs="宋体" w:eastAsia="宋体" w:hint="default"/>
                <w:sz w:val="18"/>
                <w:szCs w:val="18"/>
              </w:rPr>
            </w:pPr>
            <w:r>
              <w:rPr>
                <w:rFonts w:ascii="宋体" w:hAnsi="宋体" w:cs="宋体" w:eastAsia="宋体" w:hint="default"/>
                <w:spacing w:val="13"/>
                <w:sz w:val="18"/>
                <w:szCs w:val="18"/>
              </w:rPr>
              <w:t>参考历史毛利率水</w:t>
            </w:r>
            <w:r>
              <w:rPr>
                <w:rFonts w:ascii="宋体" w:hAnsi="宋体" w:cs="宋体" w:eastAsia="宋体" w:hint="default"/>
                <w:spacing w:val="-85"/>
                <w:sz w:val="18"/>
                <w:szCs w:val="18"/>
              </w:rPr>
              <w:t> </w:t>
            </w:r>
            <w:r>
              <w:rPr>
                <w:rFonts w:ascii="宋体" w:hAnsi="宋体" w:cs="宋体" w:eastAsia="宋体" w:hint="default"/>
                <w:sz w:val="18"/>
                <w:szCs w:val="18"/>
              </w:rPr>
              <w:t>平</w:t>
            </w:r>
          </w:p>
        </w:tc>
      </w:tr>
      <w:tr>
        <w:trPr>
          <w:trHeight w:val="10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税前折现率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11.24%</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10.73%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11.31%</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11.32%</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10.87%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3"/>
              <w:ind w:left="4" w:right="-20"/>
              <w:jc w:val="both"/>
              <w:rPr>
                <w:rFonts w:ascii="宋体" w:hAnsi="宋体" w:cs="宋体" w:eastAsia="宋体" w:hint="default"/>
                <w:sz w:val="18"/>
                <w:szCs w:val="18"/>
              </w:rPr>
            </w:pPr>
            <w:r>
              <w:rPr>
                <w:rFonts w:ascii="宋体" w:hAnsi="宋体" w:cs="宋体" w:eastAsia="宋体" w:hint="default"/>
                <w:spacing w:val="13"/>
                <w:sz w:val="18"/>
                <w:szCs w:val="18"/>
              </w:rPr>
              <w:t>按加权平均资本成</w:t>
            </w:r>
            <w:r>
              <w:rPr>
                <w:rFonts w:ascii="宋体" w:hAnsi="宋体" w:cs="宋体" w:eastAsia="宋体" w:hint="default"/>
                <w:spacing w:val="-85"/>
                <w:sz w:val="18"/>
                <w:szCs w:val="18"/>
              </w:rPr>
              <w:t> </w:t>
            </w:r>
            <w:r>
              <w:rPr>
                <w:rFonts w:ascii="宋体" w:hAnsi="宋体" w:cs="宋体" w:eastAsia="宋体" w:hint="default"/>
                <w:sz w:val="18"/>
                <w:szCs w:val="18"/>
              </w:rPr>
              <w:t>本 </w:t>
            </w:r>
            <w:r>
              <w:rPr>
                <w:rFonts w:ascii="Times New Roman" w:hAnsi="Times New Roman" w:cs="Times New Roman" w:eastAsia="Times New Roman" w:hint="default"/>
                <w:spacing w:val="-7"/>
                <w:sz w:val="18"/>
                <w:szCs w:val="18"/>
              </w:rPr>
              <w:t>WACC</w:t>
            </w:r>
            <w:r>
              <w:rPr>
                <w:rFonts w:ascii="Times New Roman" w:hAnsi="Times New Roman" w:cs="Times New Roman" w:eastAsia="Times New Roman" w:hint="default"/>
                <w:sz w:val="18"/>
                <w:szCs w:val="18"/>
              </w:rPr>
              <w:t> </w:t>
            </w:r>
            <w:r>
              <w:rPr>
                <w:rFonts w:ascii="宋体" w:hAnsi="宋体" w:cs="宋体" w:eastAsia="宋体" w:hint="default"/>
                <w:spacing w:val="17"/>
                <w:sz w:val="18"/>
                <w:szCs w:val="18"/>
              </w:rPr>
              <w:t>计算得</w:t>
            </w:r>
            <w:r>
              <w:rPr>
                <w:rFonts w:ascii="宋体" w:hAnsi="宋体" w:cs="宋体" w:eastAsia="宋体" w:hint="default"/>
                <w:spacing w:val="-64"/>
                <w:sz w:val="18"/>
                <w:szCs w:val="18"/>
              </w:rPr>
              <w:t> </w:t>
            </w:r>
            <w:r>
              <w:rPr>
                <w:rFonts w:ascii="宋体" w:hAnsi="宋体" w:cs="宋体" w:eastAsia="宋体" w:hint="default"/>
                <w:sz w:val="18"/>
                <w:szCs w:val="18"/>
              </w:rPr>
              <w:t>出</w:t>
            </w:r>
          </w:p>
        </w:tc>
      </w:tr>
    </w:tbl>
    <w:p>
      <w:pPr>
        <w:pStyle w:val="BodyText"/>
        <w:spacing w:line="240" w:lineRule="auto" w:before="10"/>
        <w:ind w:right="986"/>
        <w:jc w:val="left"/>
      </w:pPr>
      <w:r>
        <w:rPr/>
        <w:t>注：上表预测增长率为一般情况，个别年份因业务实际情况，预测增长率超出上述范围。</w:t>
      </w:r>
    </w:p>
    <w:p>
      <w:pPr>
        <w:pStyle w:val="BodyText"/>
        <w:spacing w:line="340" w:lineRule="auto" w:before="136"/>
        <w:ind w:left="512" w:right="986" w:hanging="46"/>
        <w:jc w:val="left"/>
      </w:pPr>
      <w:r>
        <w:rPr/>
        <w:t>（</w:t>
      </w:r>
      <w:r>
        <w:rPr>
          <w:rFonts w:ascii="Times New Roman" w:hAnsi="Times New Roman" w:cs="Times New Roman" w:eastAsia="Times New Roman" w:hint="default"/>
        </w:rPr>
        <w:t>3</w:t>
      </w:r>
      <w:r>
        <w:rPr/>
        <w:t>）商誉减值损失的确认方法 </w:t>
      </w:r>
      <w:r>
        <w:rPr>
          <w:spacing w:val="-2"/>
        </w:rPr>
        <w:t>基于公司管理层对未来发展趋势的判断和经营规划，在未来预测能够实现的前提下，对包含商誉的资产组账面价值与预</w:t>
      </w:r>
    </w:p>
    <w:p>
      <w:pPr>
        <w:pStyle w:val="BodyText"/>
        <w:spacing w:line="360" w:lineRule="auto"/>
        <w:ind w:right="4994"/>
        <w:jc w:val="left"/>
      </w:pPr>
      <w:r>
        <w:rPr/>
        <w:t>计未来现金流量现值进行比较后确认商誉是否发生减值。</w:t>
      </w:r>
      <w:r>
        <w:rPr>
          <w:rFonts w:ascii="宋体" w:hAnsi="宋体" w:cs="宋体" w:eastAsia="宋体" w:hint="default"/>
        </w:rPr>
        <w:t> </w:t>
      </w:r>
      <w:r>
        <w:rPr/>
        <w:t>商誉减值测试的影响</w:t>
      </w:r>
    </w:p>
    <w:p>
      <w:pPr>
        <w:spacing w:after="0" w:line="360" w:lineRule="auto"/>
        <w:jc w:val="left"/>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14"/>
        <w:jc w:val="both"/>
        <w:rPr>
          <w:rFonts w:ascii="宋体" w:hAnsi="宋体" w:cs="宋体" w:eastAsia="宋体" w:hint="default"/>
        </w:rPr>
      </w:pPr>
      <w:r>
        <w:rPr>
          <w:spacing w:val="-1"/>
        </w:rPr>
        <w:t>公司聘请评估机构对北京联银通科技有限公司、北京威锐达测控系统有限公司、深圳市至高通信技术发展有限公司、北</w:t>
      </w:r>
      <w:r>
        <w:rPr/>
        <w:t> </w:t>
      </w:r>
      <w:r>
        <w:rPr>
          <w:spacing w:val="-2"/>
        </w:rPr>
        <w:t>京东华万兴软件有限公司进行了商誉减值测试。公司对北京神州新桥科技有限公司、广东东华发思特软件有限公司、微掌文</w:t>
      </w:r>
      <w:r>
        <w:rPr>
          <w:spacing w:val="-63"/>
        </w:rPr>
        <w:t> </w:t>
      </w:r>
      <w:r>
        <w:rPr>
          <w:spacing w:val="-63"/>
        </w:rPr>
      </w:r>
      <w:r>
        <w:rPr>
          <w:spacing w:val="-2"/>
        </w:rPr>
        <w:t>科技（北京）有限公司、北京东华信息技术有限公司自行进行了商誉减值测试。经过商誉减值测试后，公司本期对北京威锐</w:t>
      </w:r>
      <w:r>
        <w:rPr>
          <w:spacing w:val="-65"/>
        </w:rPr>
        <w:t> </w:t>
      </w:r>
      <w:r>
        <w:rPr>
          <w:spacing w:val="-65"/>
        </w:rPr>
      </w:r>
      <w:r>
        <w:rPr>
          <w:spacing w:val="-3"/>
        </w:rPr>
        <w:t>达测控系统有限公司、深圳市至高通信技术发展有限公司、北京东华万兴软件有限公司分别计提商誉减值准备</w:t>
      </w:r>
      <w:r>
        <w:rPr>
          <w:rFonts w:ascii="宋体" w:hAnsi="宋体" w:cs="宋体" w:eastAsia="宋体" w:hint="default"/>
          <w:spacing w:val="-3"/>
        </w:rPr>
        <w:t>53,768,078.63</w:t>
      </w:r>
      <w:r>
        <w:rPr>
          <w:rFonts w:ascii="宋体" w:hAnsi="宋体" w:cs="宋体" w:eastAsia="宋体" w:hint="default"/>
          <w:spacing w:val="-83"/>
        </w:rPr>
        <w:t> </w:t>
      </w:r>
      <w:r>
        <w:rPr>
          <w:rFonts w:ascii="宋体" w:hAnsi="宋体" w:cs="宋体" w:eastAsia="宋体" w:hint="default"/>
          <w:spacing w:val="-83"/>
        </w:rPr>
      </w:r>
      <w:r>
        <w:rPr/>
        <w:t>元、</w:t>
      </w:r>
      <w:r>
        <w:rPr>
          <w:rFonts w:ascii="宋体" w:hAnsi="宋体" w:cs="宋体" w:eastAsia="宋体" w:hint="default"/>
        </w:rPr>
        <w:t>157,897,205.60</w:t>
      </w:r>
      <w:r>
        <w:rPr/>
        <w:t>元、</w:t>
      </w:r>
      <w:r>
        <w:rPr>
          <w:rFonts w:ascii="宋体" w:hAnsi="宋体" w:cs="宋体" w:eastAsia="宋体" w:hint="default"/>
        </w:rPr>
        <w:t>14,541,914.01</w:t>
      </w:r>
      <w:r>
        <w:rPr/>
        <w:t>元。具体情况为：</w:t>
      </w:r>
      <w:r>
        <w:rPr>
          <w:rFonts w:ascii="宋体" w:hAnsi="宋体" w:cs="宋体" w:eastAsia="宋体" w:hint="default"/>
        </w:rPr>
        <w:t> </w:t>
      </w:r>
    </w:p>
    <w:tbl>
      <w:tblPr>
        <w:tblW w:w="0" w:type="auto"/>
        <w:jc w:val="left"/>
        <w:tblInd w:w="148" w:type="dxa"/>
        <w:tblLayout w:type="fixed"/>
        <w:tblCellMar>
          <w:top w:w="0" w:type="dxa"/>
          <w:left w:w="0" w:type="dxa"/>
          <w:bottom w:w="0" w:type="dxa"/>
          <w:right w:w="0" w:type="dxa"/>
        </w:tblCellMar>
        <w:tblLook w:val="01E0"/>
      </w:tblPr>
      <w:tblGrid>
        <w:gridCol w:w="1637"/>
        <w:gridCol w:w="1522"/>
        <w:gridCol w:w="1678"/>
        <w:gridCol w:w="1793"/>
        <w:gridCol w:w="1495"/>
        <w:gridCol w:w="1476"/>
      </w:tblGrid>
      <w:tr>
        <w:trPr>
          <w:trHeight w:val="422" w:hRule="exact"/>
        </w:trPr>
        <w:tc>
          <w:tcPr>
            <w:tcW w:w="163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487"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167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威锐达</w:t>
            </w:r>
          </w:p>
        </w:tc>
        <w:tc>
          <w:tcPr>
            <w:tcW w:w="179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530"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14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383" w:right="0"/>
              <w:jc w:val="left"/>
              <w:rPr>
                <w:rFonts w:ascii="宋体" w:hAnsi="宋体" w:cs="宋体" w:eastAsia="宋体" w:hint="default"/>
                <w:sz w:val="18"/>
                <w:szCs w:val="18"/>
              </w:rPr>
            </w:pPr>
            <w:r>
              <w:rPr>
                <w:rFonts w:ascii="宋体" w:hAnsi="宋体" w:cs="宋体" w:eastAsia="宋体" w:hint="default"/>
                <w:sz w:val="18"/>
                <w:szCs w:val="18"/>
              </w:rPr>
              <w:t>万兴新锐</w:t>
            </w:r>
          </w:p>
        </w:tc>
        <w:tc>
          <w:tcPr>
            <w:tcW w:w="147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374" w:right="0"/>
              <w:jc w:val="left"/>
              <w:rPr>
                <w:rFonts w:ascii="宋体" w:hAnsi="宋体" w:cs="宋体" w:eastAsia="宋体" w:hint="default"/>
                <w:sz w:val="18"/>
                <w:szCs w:val="18"/>
              </w:rPr>
            </w:pPr>
            <w:r>
              <w:rPr>
                <w:rFonts w:ascii="宋体" w:hAnsi="宋体" w:cs="宋体" w:eastAsia="宋体" w:hint="default"/>
                <w:sz w:val="18"/>
                <w:szCs w:val="18"/>
              </w:rPr>
              <w:t>神州新桥</w:t>
            </w:r>
          </w:p>
        </w:tc>
      </w:tr>
      <w:tr>
        <w:trPr>
          <w:trHeight w:val="42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247,618,632.50</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469,339,595.86</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565,135,229.20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151,607,495.56</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225,266,979.44</w:t>
            </w:r>
            <w:r>
              <w:rPr>
                <w:rFonts w:ascii="Times New Roman"/>
                <w:sz w:val="18"/>
              </w:rPr>
            </w:r>
          </w:p>
        </w:tc>
      </w:tr>
      <w:tr>
        <w:trPr>
          <w:trHeight w:val="104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27"/>
              <w:jc w:val="both"/>
              <w:rPr>
                <w:rFonts w:ascii="宋体" w:hAnsi="宋体" w:cs="宋体" w:eastAsia="宋体" w:hint="default"/>
                <w:sz w:val="18"/>
                <w:szCs w:val="18"/>
              </w:rPr>
            </w:pPr>
            <w:r>
              <w:rPr>
                <w:rFonts w:ascii="宋体" w:hAnsi="宋体" w:cs="宋体" w:eastAsia="宋体" w:hint="default"/>
                <w:spacing w:val="17"/>
                <w:sz w:val="18"/>
                <w:szCs w:val="18"/>
              </w:rPr>
              <w:t>未确认</w:t>
            </w:r>
            <w:r>
              <w:rPr>
                <w:rFonts w:ascii="宋体" w:hAnsi="宋体" w:cs="宋体" w:eastAsia="宋体" w:hint="default"/>
                <w:spacing w:val="-66"/>
                <w:sz w:val="18"/>
                <w:szCs w:val="18"/>
              </w:rPr>
              <w:t> </w:t>
            </w:r>
            <w:r>
              <w:rPr>
                <w:rFonts w:ascii="宋体" w:hAnsi="宋体" w:cs="宋体" w:eastAsia="宋体" w:hint="default"/>
                <w:spacing w:val="13"/>
                <w:sz w:val="18"/>
                <w:szCs w:val="18"/>
              </w:rPr>
              <w:t>归属</w:t>
            </w:r>
            <w:r>
              <w:rPr>
                <w:rFonts w:ascii="宋体" w:hAnsi="宋体" w:cs="宋体" w:eastAsia="宋体" w:hint="default"/>
                <w:spacing w:val="-66"/>
                <w:sz w:val="18"/>
                <w:szCs w:val="18"/>
              </w:rPr>
              <w:t> </w:t>
            </w:r>
            <w:r>
              <w:rPr>
                <w:rFonts w:ascii="宋体" w:hAnsi="宋体" w:cs="宋体" w:eastAsia="宋体" w:hint="default"/>
                <w:spacing w:val="17"/>
                <w:sz w:val="18"/>
                <w:szCs w:val="18"/>
              </w:rPr>
              <w:t>于少数</w:t>
            </w:r>
            <w:r>
              <w:rPr>
                <w:rFonts w:ascii="宋体" w:hAnsi="宋体" w:cs="宋体" w:eastAsia="宋体" w:hint="default"/>
                <w:spacing w:val="-64"/>
                <w:sz w:val="18"/>
                <w:szCs w:val="18"/>
              </w:rPr>
              <w:t> </w:t>
            </w:r>
            <w:r>
              <w:rPr>
                <w:rFonts w:ascii="宋体" w:hAnsi="宋体" w:cs="宋体" w:eastAsia="宋体" w:hint="default"/>
                <w:spacing w:val="17"/>
                <w:sz w:val="18"/>
                <w:szCs w:val="18"/>
              </w:rPr>
              <w:t>股东权</w:t>
            </w:r>
            <w:r>
              <w:rPr>
                <w:rFonts w:ascii="宋体" w:hAnsi="宋体" w:cs="宋体" w:eastAsia="宋体" w:hint="default"/>
                <w:spacing w:val="-66"/>
                <w:sz w:val="18"/>
                <w:szCs w:val="18"/>
              </w:rPr>
              <w:t> </w:t>
            </w:r>
            <w:r>
              <w:rPr>
                <w:rFonts w:ascii="宋体" w:hAnsi="宋体" w:cs="宋体" w:eastAsia="宋体" w:hint="default"/>
                <w:spacing w:val="13"/>
                <w:sz w:val="18"/>
                <w:szCs w:val="18"/>
              </w:rPr>
              <w:t>益的</w:t>
            </w:r>
            <w:r>
              <w:rPr>
                <w:rFonts w:ascii="宋体" w:hAnsi="宋体" w:cs="宋体" w:eastAsia="宋体" w:hint="default"/>
                <w:spacing w:val="-66"/>
                <w:sz w:val="18"/>
                <w:szCs w:val="18"/>
              </w:rPr>
              <w:t> </w:t>
            </w:r>
            <w:r>
              <w:rPr>
                <w:rFonts w:ascii="宋体" w:hAnsi="宋体" w:cs="宋体" w:eastAsia="宋体" w:hint="default"/>
                <w:spacing w:val="17"/>
                <w:sz w:val="18"/>
                <w:szCs w:val="18"/>
              </w:rPr>
              <w:t>商誉金</w:t>
            </w:r>
            <w:r>
              <w:rPr>
                <w:rFonts w:ascii="宋体" w:hAnsi="宋体" w:cs="宋体" w:eastAsia="宋体" w:hint="default"/>
                <w:spacing w:val="-64"/>
                <w:sz w:val="18"/>
                <w:szCs w:val="18"/>
              </w:rPr>
              <w:t> </w:t>
            </w:r>
            <w:r>
              <w:rPr>
                <w:rFonts w:ascii="宋体" w:hAnsi="宋体" w:cs="宋体" w:eastAsia="宋体" w:hint="default"/>
                <w:sz w:val="18"/>
                <w:szCs w:val="18"/>
              </w:rPr>
              <w:t>额②</w:t>
            </w:r>
          </w:p>
        </w:tc>
        <w:tc>
          <w:tcPr>
            <w:tcW w:w="152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145,662,103.58</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7" w:right="-27"/>
              <w:jc w:val="both"/>
              <w:rPr>
                <w:rFonts w:ascii="宋体" w:hAnsi="宋体" w:cs="宋体" w:eastAsia="宋体" w:hint="default"/>
                <w:sz w:val="18"/>
                <w:szCs w:val="18"/>
              </w:rPr>
            </w:pPr>
            <w:r>
              <w:rPr>
                <w:rFonts w:ascii="宋体" w:hAnsi="宋体" w:cs="宋体" w:eastAsia="宋体" w:hint="default"/>
                <w:spacing w:val="17"/>
                <w:sz w:val="18"/>
                <w:szCs w:val="18"/>
              </w:rPr>
              <w:t>包含未</w:t>
            </w:r>
            <w:r>
              <w:rPr>
                <w:rFonts w:ascii="宋体" w:hAnsi="宋体" w:cs="宋体" w:eastAsia="宋体" w:hint="default"/>
                <w:spacing w:val="-66"/>
                <w:sz w:val="18"/>
                <w:szCs w:val="18"/>
              </w:rPr>
              <w:t> </w:t>
            </w:r>
            <w:r>
              <w:rPr>
                <w:rFonts w:ascii="宋体" w:hAnsi="宋体" w:cs="宋体" w:eastAsia="宋体" w:hint="default"/>
                <w:spacing w:val="13"/>
                <w:sz w:val="18"/>
                <w:szCs w:val="18"/>
              </w:rPr>
              <w:t>确认</w:t>
            </w:r>
            <w:r>
              <w:rPr>
                <w:rFonts w:ascii="宋体" w:hAnsi="宋体" w:cs="宋体" w:eastAsia="宋体" w:hint="default"/>
                <w:spacing w:val="-66"/>
                <w:sz w:val="18"/>
                <w:szCs w:val="18"/>
              </w:rPr>
              <w:t> </w:t>
            </w:r>
            <w:r>
              <w:rPr>
                <w:rFonts w:ascii="宋体" w:hAnsi="宋体" w:cs="宋体" w:eastAsia="宋体" w:hint="default"/>
                <w:spacing w:val="17"/>
                <w:sz w:val="18"/>
                <w:szCs w:val="18"/>
              </w:rPr>
              <w:t>归属于</w:t>
            </w:r>
            <w:r>
              <w:rPr>
                <w:rFonts w:ascii="宋体" w:hAnsi="宋体" w:cs="宋体" w:eastAsia="宋体" w:hint="default"/>
                <w:spacing w:val="-64"/>
                <w:sz w:val="18"/>
                <w:szCs w:val="18"/>
              </w:rPr>
              <w:t> </w:t>
            </w:r>
            <w:r>
              <w:rPr>
                <w:rFonts w:ascii="宋体" w:hAnsi="宋体" w:cs="宋体" w:eastAsia="宋体" w:hint="default"/>
                <w:spacing w:val="17"/>
                <w:sz w:val="18"/>
                <w:szCs w:val="18"/>
              </w:rPr>
              <w:t>少数股</w:t>
            </w:r>
            <w:r>
              <w:rPr>
                <w:rFonts w:ascii="宋体" w:hAnsi="宋体" w:cs="宋体" w:eastAsia="宋体" w:hint="default"/>
                <w:spacing w:val="-66"/>
                <w:sz w:val="18"/>
                <w:szCs w:val="18"/>
              </w:rPr>
              <w:t> </w:t>
            </w:r>
            <w:r>
              <w:rPr>
                <w:rFonts w:ascii="宋体" w:hAnsi="宋体" w:cs="宋体" w:eastAsia="宋体" w:hint="default"/>
                <w:spacing w:val="13"/>
                <w:sz w:val="18"/>
                <w:szCs w:val="18"/>
              </w:rPr>
              <w:t>东权</w:t>
            </w:r>
            <w:r>
              <w:rPr>
                <w:rFonts w:ascii="宋体" w:hAnsi="宋体" w:cs="宋体" w:eastAsia="宋体" w:hint="default"/>
                <w:spacing w:val="-66"/>
                <w:sz w:val="18"/>
                <w:szCs w:val="18"/>
              </w:rPr>
              <w:t> </w:t>
            </w:r>
            <w:r>
              <w:rPr>
                <w:rFonts w:ascii="宋体" w:hAnsi="宋体" w:cs="宋体" w:eastAsia="宋体" w:hint="default"/>
                <w:spacing w:val="17"/>
                <w:sz w:val="18"/>
                <w:szCs w:val="18"/>
              </w:rPr>
              <w:t>益的商</w:t>
            </w:r>
            <w:r>
              <w:rPr>
                <w:rFonts w:ascii="宋体" w:hAnsi="宋体" w:cs="宋体" w:eastAsia="宋体" w:hint="default"/>
                <w:spacing w:val="-64"/>
                <w:sz w:val="18"/>
                <w:szCs w:val="18"/>
              </w:rPr>
              <w:t> </w:t>
            </w:r>
            <w:r>
              <w:rPr>
                <w:rFonts w:ascii="宋体" w:hAnsi="宋体" w:cs="宋体" w:eastAsia="宋体" w:hint="default"/>
                <w:sz w:val="18"/>
                <w:szCs w:val="18"/>
              </w:rPr>
              <w:t>誉余额③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247,618,632.50</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469,339,595.86</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565,135,229.20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297,269,599.14</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225,266,979.44</w:t>
            </w:r>
            <w:r>
              <w:rPr>
                <w:rFonts w:ascii="Times New Roman"/>
                <w:sz w:val="18"/>
              </w:rPr>
            </w:r>
          </w:p>
        </w:tc>
      </w:tr>
      <w:tr>
        <w:trPr>
          <w:trHeight w:val="73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27"/>
              <w:jc w:val="left"/>
              <w:rPr>
                <w:rFonts w:ascii="宋体" w:hAnsi="宋体" w:cs="宋体" w:eastAsia="宋体" w:hint="default"/>
                <w:sz w:val="18"/>
                <w:szCs w:val="18"/>
              </w:rPr>
            </w:pPr>
            <w:r>
              <w:rPr>
                <w:rFonts w:ascii="宋体" w:hAnsi="宋体" w:cs="宋体" w:eastAsia="宋体" w:hint="default"/>
                <w:spacing w:val="17"/>
                <w:sz w:val="18"/>
                <w:szCs w:val="18"/>
              </w:rPr>
              <w:t>资产组</w:t>
            </w:r>
            <w:r>
              <w:rPr>
                <w:rFonts w:ascii="宋体" w:hAnsi="宋体" w:cs="宋体" w:eastAsia="宋体" w:hint="default"/>
                <w:spacing w:val="-65"/>
                <w:sz w:val="18"/>
                <w:szCs w:val="18"/>
              </w:rPr>
              <w:t> </w:t>
            </w:r>
            <w:r>
              <w:rPr>
                <w:rFonts w:ascii="宋体" w:hAnsi="宋体" w:cs="宋体" w:eastAsia="宋体" w:hint="default"/>
                <w:spacing w:val="13"/>
                <w:sz w:val="18"/>
                <w:szCs w:val="18"/>
              </w:rPr>
              <w:t>的账</w:t>
            </w:r>
            <w:r>
              <w:rPr>
                <w:rFonts w:ascii="宋体" w:hAnsi="宋体" w:cs="宋体" w:eastAsia="宋体" w:hint="default"/>
                <w:spacing w:val="-65"/>
                <w:sz w:val="18"/>
                <w:szCs w:val="18"/>
              </w:rPr>
              <w:t> </w:t>
            </w:r>
            <w:r>
              <w:rPr>
                <w:rFonts w:ascii="宋体" w:hAnsi="宋体" w:cs="宋体" w:eastAsia="宋体" w:hint="default"/>
                <w:spacing w:val="17"/>
                <w:sz w:val="18"/>
                <w:szCs w:val="18"/>
              </w:rPr>
              <w:t>面价值</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243,709,292.87</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157,436,209.30</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266,980,194.80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1,823,146.54</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894,027,178.67</w:t>
            </w:r>
            <w:r>
              <w:rPr>
                <w:rFonts w:ascii="Times New Roman"/>
                <w:sz w:val="18"/>
              </w:rPr>
            </w:r>
          </w:p>
        </w:tc>
      </w:tr>
      <w:tr>
        <w:trPr>
          <w:trHeight w:val="104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27"/>
              <w:jc w:val="left"/>
              <w:rPr>
                <w:rFonts w:ascii="宋体" w:hAnsi="宋体" w:cs="宋体" w:eastAsia="宋体" w:hint="default"/>
                <w:sz w:val="18"/>
                <w:szCs w:val="18"/>
              </w:rPr>
            </w:pPr>
            <w:r>
              <w:rPr>
                <w:rFonts w:ascii="宋体" w:hAnsi="宋体" w:cs="宋体" w:eastAsia="宋体" w:hint="default"/>
                <w:spacing w:val="17"/>
                <w:sz w:val="18"/>
                <w:szCs w:val="18"/>
              </w:rPr>
              <w:t>包含整</w:t>
            </w:r>
            <w:r>
              <w:rPr>
                <w:rFonts w:ascii="宋体" w:hAnsi="宋体" w:cs="宋体" w:eastAsia="宋体" w:hint="default"/>
                <w:spacing w:val="-66"/>
                <w:sz w:val="18"/>
                <w:szCs w:val="18"/>
              </w:rPr>
              <w:t> </w:t>
            </w:r>
            <w:r>
              <w:rPr>
                <w:rFonts w:ascii="宋体" w:hAnsi="宋体" w:cs="宋体" w:eastAsia="宋体" w:hint="default"/>
                <w:spacing w:val="13"/>
                <w:sz w:val="18"/>
                <w:szCs w:val="18"/>
              </w:rPr>
              <w:t>体商</w:t>
            </w:r>
            <w:r>
              <w:rPr>
                <w:rFonts w:ascii="宋体" w:hAnsi="宋体" w:cs="宋体" w:eastAsia="宋体" w:hint="default"/>
                <w:spacing w:val="-66"/>
                <w:sz w:val="18"/>
                <w:szCs w:val="18"/>
              </w:rPr>
              <w:t> </w:t>
            </w:r>
            <w:r>
              <w:rPr>
                <w:rFonts w:ascii="宋体" w:hAnsi="宋体" w:cs="宋体" w:eastAsia="宋体" w:hint="default"/>
                <w:spacing w:val="17"/>
                <w:sz w:val="18"/>
                <w:szCs w:val="18"/>
              </w:rPr>
              <w:t>誉的资</w:t>
            </w:r>
            <w:r>
              <w:rPr>
                <w:rFonts w:ascii="宋体" w:hAnsi="宋体" w:cs="宋体" w:eastAsia="宋体" w:hint="default"/>
                <w:spacing w:val="-64"/>
                <w:sz w:val="18"/>
                <w:szCs w:val="18"/>
              </w:rPr>
              <w:t> </w:t>
            </w:r>
            <w:r>
              <w:rPr>
                <w:rFonts w:ascii="宋体" w:hAnsi="宋体" w:cs="宋体" w:eastAsia="宋体" w:hint="default"/>
                <w:spacing w:val="7"/>
                <w:sz w:val="18"/>
                <w:szCs w:val="18"/>
              </w:rPr>
              <w:t>产组账面价值⑤</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④</w:t>
            </w:r>
          </w:p>
          <w:p>
            <w:pPr>
              <w:pStyle w:val="TableParagraph"/>
              <w:spacing w:line="248" w:lineRule="exact"/>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491,327,925.37</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626,775,805.16</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832,115,424.00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299,092,745.68</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2"/>
                <w:sz w:val="18"/>
              </w:rPr>
              <w:t>1,119,294,158.11</w:t>
            </w:r>
          </w:p>
        </w:tc>
      </w:tr>
      <w:tr>
        <w:trPr>
          <w:trHeight w:val="104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7" w:right="-27"/>
              <w:jc w:val="both"/>
              <w:rPr>
                <w:rFonts w:ascii="宋体" w:hAnsi="宋体" w:cs="宋体" w:eastAsia="宋体" w:hint="default"/>
                <w:sz w:val="18"/>
                <w:szCs w:val="18"/>
              </w:rPr>
            </w:pPr>
            <w:r>
              <w:rPr>
                <w:rFonts w:ascii="宋体" w:hAnsi="宋体" w:cs="宋体" w:eastAsia="宋体" w:hint="default"/>
                <w:spacing w:val="17"/>
                <w:sz w:val="18"/>
                <w:szCs w:val="18"/>
              </w:rPr>
              <w:t>资产组</w:t>
            </w:r>
            <w:r>
              <w:rPr>
                <w:rFonts w:ascii="宋体" w:hAnsi="宋体" w:cs="宋体" w:eastAsia="宋体" w:hint="default"/>
                <w:spacing w:val="-66"/>
                <w:sz w:val="18"/>
                <w:szCs w:val="18"/>
              </w:rPr>
              <w:t> </w:t>
            </w:r>
            <w:r>
              <w:rPr>
                <w:rFonts w:ascii="宋体" w:hAnsi="宋体" w:cs="宋体" w:eastAsia="宋体" w:hint="default"/>
                <w:spacing w:val="13"/>
                <w:sz w:val="18"/>
                <w:szCs w:val="18"/>
              </w:rPr>
              <w:t>预计</w:t>
            </w:r>
            <w:r>
              <w:rPr>
                <w:rFonts w:ascii="宋体" w:hAnsi="宋体" w:cs="宋体" w:eastAsia="宋体" w:hint="default"/>
                <w:spacing w:val="-66"/>
                <w:sz w:val="18"/>
                <w:szCs w:val="18"/>
              </w:rPr>
              <w:t> </w:t>
            </w:r>
            <w:r>
              <w:rPr>
                <w:rFonts w:ascii="宋体" w:hAnsi="宋体" w:cs="宋体" w:eastAsia="宋体" w:hint="default"/>
                <w:spacing w:val="17"/>
                <w:sz w:val="18"/>
                <w:szCs w:val="18"/>
              </w:rPr>
              <w:t>未来现</w:t>
            </w:r>
            <w:r>
              <w:rPr>
                <w:rFonts w:ascii="宋体" w:hAnsi="宋体" w:cs="宋体" w:eastAsia="宋体" w:hint="default"/>
                <w:spacing w:val="-64"/>
                <w:sz w:val="18"/>
                <w:szCs w:val="18"/>
              </w:rPr>
              <w:t> </w:t>
            </w:r>
            <w:r>
              <w:rPr>
                <w:rFonts w:ascii="宋体" w:hAnsi="宋体" w:cs="宋体" w:eastAsia="宋体" w:hint="default"/>
                <w:spacing w:val="14"/>
                <w:sz w:val="18"/>
                <w:szCs w:val="18"/>
              </w:rPr>
              <w:t>金流量的现值</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可收 </w:t>
            </w:r>
            <w:r>
              <w:rPr>
                <w:rFonts w:ascii="宋体" w:hAnsi="宋体" w:cs="宋体" w:eastAsia="宋体" w:hint="default"/>
                <w:sz w:val="18"/>
                <w:szCs w:val="18"/>
              </w:rPr>
              <w:t>回金额</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553,800,000.00</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364,600,000.00</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419,900,000.00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33,300,000.00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1,194,800,000.00</w:t>
            </w:r>
          </w:p>
        </w:tc>
      </w:tr>
      <w:tr>
        <w:trPr>
          <w:trHeight w:val="73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商誉减值损失（大于</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时）⑦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152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262,175,805.16</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412,215,424.00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265,792,745.68</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27"/>
              <w:jc w:val="left"/>
              <w:rPr>
                <w:rFonts w:ascii="宋体" w:hAnsi="宋体" w:cs="宋体" w:eastAsia="宋体" w:hint="default"/>
                <w:sz w:val="18"/>
                <w:szCs w:val="18"/>
              </w:rPr>
            </w:pPr>
            <w:r>
              <w:rPr>
                <w:rFonts w:ascii="宋体" w:hAnsi="宋体" w:cs="宋体" w:eastAsia="宋体" w:hint="default"/>
                <w:spacing w:val="17"/>
                <w:sz w:val="18"/>
                <w:szCs w:val="18"/>
              </w:rPr>
              <w:t>归属于</w:t>
            </w:r>
            <w:r>
              <w:rPr>
                <w:rFonts w:ascii="宋体" w:hAnsi="宋体" w:cs="宋体" w:eastAsia="宋体" w:hint="default"/>
                <w:spacing w:val="-66"/>
                <w:sz w:val="18"/>
                <w:szCs w:val="18"/>
              </w:rPr>
              <w:t> </w:t>
            </w:r>
            <w:r>
              <w:rPr>
                <w:rFonts w:ascii="宋体" w:hAnsi="宋体" w:cs="宋体" w:eastAsia="宋体" w:hint="default"/>
                <w:spacing w:val="13"/>
                <w:sz w:val="18"/>
                <w:szCs w:val="18"/>
              </w:rPr>
              <w:t>母公</w:t>
            </w:r>
            <w:r>
              <w:rPr>
                <w:rFonts w:ascii="宋体" w:hAnsi="宋体" w:cs="宋体" w:eastAsia="宋体" w:hint="default"/>
                <w:spacing w:val="-66"/>
                <w:sz w:val="18"/>
                <w:szCs w:val="18"/>
              </w:rPr>
              <w:t> </w:t>
            </w:r>
            <w:r>
              <w:rPr>
                <w:rFonts w:ascii="宋体" w:hAnsi="宋体" w:cs="宋体" w:eastAsia="宋体" w:hint="default"/>
                <w:spacing w:val="17"/>
                <w:sz w:val="18"/>
                <w:szCs w:val="18"/>
              </w:rPr>
              <w:t>司的商</w:t>
            </w:r>
            <w:r>
              <w:rPr>
                <w:rFonts w:ascii="宋体" w:hAnsi="宋体" w:cs="宋体" w:eastAsia="宋体" w:hint="default"/>
                <w:spacing w:val="-64"/>
                <w:sz w:val="18"/>
                <w:szCs w:val="18"/>
              </w:rPr>
              <w:t> </w:t>
            </w:r>
            <w:r>
              <w:rPr>
                <w:rFonts w:ascii="宋体" w:hAnsi="宋体" w:cs="宋体" w:eastAsia="宋体" w:hint="default"/>
                <w:sz w:val="18"/>
                <w:szCs w:val="18"/>
              </w:rPr>
              <w:t>誉减值损失⑧</w:t>
            </w:r>
          </w:p>
        </w:tc>
        <w:tc>
          <w:tcPr>
            <w:tcW w:w="152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262,175,805.16</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412,215,424.00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135,554,300.30</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3"/>
              <w:ind w:left="7" w:right="-27"/>
              <w:jc w:val="left"/>
              <w:rPr>
                <w:rFonts w:ascii="宋体" w:hAnsi="宋体" w:cs="宋体" w:eastAsia="宋体" w:hint="default"/>
                <w:sz w:val="18"/>
                <w:szCs w:val="18"/>
              </w:rPr>
            </w:pPr>
            <w:r>
              <w:rPr>
                <w:rFonts w:ascii="宋体" w:hAnsi="宋体" w:cs="宋体" w:eastAsia="宋体" w:hint="default"/>
                <w:spacing w:val="17"/>
                <w:sz w:val="18"/>
                <w:szCs w:val="18"/>
              </w:rPr>
              <w:t>以前年</w:t>
            </w:r>
            <w:r>
              <w:rPr>
                <w:rFonts w:ascii="宋体" w:hAnsi="宋体" w:cs="宋体" w:eastAsia="宋体" w:hint="default"/>
                <w:spacing w:val="-66"/>
                <w:sz w:val="18"/>
                <w:szCs w:val="18"/>
              </w:rPr>
              <w:t> </w:t>
            </w:r>
            <w:r>
              <w:rPr>
                <w:rFonts w:ascii="宋体" w:hAnsi="宋体" w:cs="宋体" w:eastAsia="宋体" w:hint="default"/>
                <w:spacing w:val="13"/>
                <w:sz w:val="18"/>
                <w:szCs w:val="18"/>
              </w:rPr>
              <w:t>度已</w:t>
            </w:r>
            <w:r>
              <w:rPr>
                <w:rFonts w:ascii="宋体" w:hAnsi="宋体" w:cs="宋体" w:eastAsia="宋体" w:hint="default"/>
                <w:spacing w:val="-66"/>
                <w:sz w:val="18"/>
                <w:szCs w:val="18"/>
              </w:rPr>
              <w:t> </w:t>
            </w:r>
            <w:r>
              <w:rPr>
                <w:rFonts w:ascii="宋体" w:hAnsi="宋体" w:cs="宋体" w:eastAsia="宋体" w:hint="default"/>
                <w:spacing w:val="17"/>
                <w:sz w:val="18"/>
                <w:szCs w:val="18"/>
              </w:rPr>
              <w:t>计提商</w:t>
            </w:r>
            <w:r>
              <w:rPr>
                <w:rFonts w:ascii="宋体" w:hAnsi="宋体" w:cs="宋体" w:eastAsia="宋体" w:hint="default"/>
                <w:spacing w:val="-64"/>
                <w:sz w:val="18"/>
                <w:szCs w:val="18"/>
              </w:rPr>
              <w:t> </w:t>
            </w:r>
            <w:r>
              <w:rPr>
                <w:rFonts w:ascii="宋体" w:hAnsi="宋体" w:cs="宋体" w:eastAsia="宋体" w:hint="default"/>
                <w:sz w:val="18"/>
                <w:szCs w:val="18"/>
              </w:rPr>
              <w:t>誉减值损失⑨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73,621,036.39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208,407,726.53</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254,318,218.40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121,012,386.29</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3"/>
              <w:ind w:left="7" w:right="-27"/>
              <w:jc w:val="left"/>
              <w:rPr>
                <w:rFonts w:ascii="宋体" w:hAnsi="宋体" w:cs="宋体" w:eastAsia="宋体" w:hint="default"/>
                <w:sz w:val="18"/>
                <w:szCs w:val="18"/>
              </w:rPr>
            </w:pPr>
            <w:r>
              <w:rPr>
                <w:rFonts w:ascii="宋体" w:hAnsi="宋体" w:cs="宋体" w:eastAsia="宋体" w:hint="default"/>
                <w:spacing w:val="17"/>
                <w:sz w:val="18"/>
                <w:szCs w:val="18"/>
              </w:rPr>
              <w:t>本期应</w:t>
            </w:r>
            <w:r>
              <w:rPr>
                <w:rFonts w:ascii="宋体" w:hAnsi="宋体" w:cs="宋体" w:eastAsia="宋体" w:hint="default"/>
                <w:spacing w:val="-66"/>
                <w:sz w:val="18"/>
                <w:szCs w:val="18"/>
              </w:rPr>
              <w:t> </w:t>
            </w:r>
            <w:r>
              <w:rPr>
                <w:rFonts w:ascii="宋体" w:hAnsi="宋体" w:cs="宋体" w:eastAsia="宋体" w:hint="default"/>
                <w:spacing w:val="13"/>
                <w:sz w:val="18"/>
                <w:szCs w:val="18"/>
              </w:rPr>
              <w:t>计提</w:t>
            </w:r>
            <w:r>
              <w:rPr>
                <w:rFonts w:ascii="宋体" w:hAnsi="宋体" w:cs="宋体" w:eastAsia="宋体" w:hint="default"/>
                <w:spacing w:val="-66"/>
                <w:sz w:val="18"/>
                <w:szCs w:val="18"/>
              </w:rPr>
              <w:t> </w:t>
            </w:r>
            <w:r>
              <w:rPr>
                <w:rFonts w:ascii="宋体" w:hAnsi="宋体" w:cs="宋体" w:eastAsia="宋体" w:hint="default"/>
                <w:spacing w:val="17"/>
                <w:sz w:val="18"/>
                <w:szCs w:val="18"/>
              </w:rPr>
              <w:t>商誉减</w:t>
            </w:r>
            <w:r>
              <w:rPr>
                <w:rFonts w:ascii="宋体" w:hAnsi="宋体" w:cs="宋体" w:eastAsia="宋体" w:hint="default"/>
                <w:spacing w:val="-64"/>
                <w:sz w:val="18"/>
                <w:szCs w:val="18"/>
              </w:rPr>
              <w:t> </w:t>
            </w:r>
            <w:r>
              <w:rPr>
                <w:rFonts w:ascii="宋体" w:hAnsi="宋体" w:cs="宋体" w:eastAsia="宋体" w:hint="default"/>
                <w:sz w:val="18"/>
                <w:szCs w:val="18"/>
              </w:rPr>
              <w:t>值损失⑩</w:t>
            </w:r>
          </w:p>
        </w:tc>
        <w:tc>
          <w:tcPr>
            <w:tcW w:w="152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53,768,078.63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157,897,205.60</w:t>
            </w:r>
            <w:r>
              <w:rPr>
                <w:rFonts w:ascii="Times New Roman"/>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14,541,914.01</w:t>
            </w: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6"/>
        <w:ind w:right="986"/>
        <w:jc w:val="left"/>
        <w:rPr>
          <w:b w:val="0"/>
          <w:bCs w:val="0"/>
        </w:rPr>
      </w:pPr>
      <w:bookmarkStart w:name="23、长期待摊费用" w:id="237"/>
      <w:bookmarkEnd w:id="23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4,007,873.47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2,177,130.51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2,391,384.55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121,621.66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3,671,997.77</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4,007,873.47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2,177,130.51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2,391,384.55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121,621.66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3,671,997.77</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4、递延所得税资产/递延所得税负债" w:id="238"/>
      <w:bookmarkEnd w:id="238"/>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8" w:footer="977"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559,054,069.26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61,307,909.08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408,785,489.46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44,093,835.39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16,145,230.04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3,027,707.36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9,736,051.66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1,547,466.00</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10,998,038.92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1,662,093.13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23,559,140.29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3,479,181.07</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586,197,338.22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65,997,709.57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442,080,681.41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49,120,482.46</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12,991,661.34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1,948,749.20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27,887,904.03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4,183,185.62</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1,531.14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153.11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收购少数股东股权形成 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1,358.13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1,358.13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135.81</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12,993,019.47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1,948,885.01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27,890,793.30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4,183,474.54</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65,997,709.57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49,120,482.46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1,948,885.01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4,183,474.54</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20,545,973.22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12,396,549.42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539,943,559.83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434,356,443.16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560,489,533.05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446,752,992.58</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1" w:right="0"/>
              <w:jc w:val="left"/>
              <w:rPr>
                <w:rFonts w:ascii="Times New Roman" w:hAnsi="Times New Roman" w:cs="Times New Roman" w:eastAsia="Times New Roman" w:hint="default"/>
                <w:sz w:val="18"/>
                <w:szCs w:val="18"/>
              </w:rPr>
            </w:pPr>
            <w:r>
              <w:rPr>
                <w:rFonts w:ascii="Times New Roman"/>
                <w:sz w:val="18"/>
              </w:rPr>
              <w:t>30,508,309.97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4" w:right="0"/>
              <w:jc w:val="left"/>
              <w:rPr>
                <w:rFonts w:ascii="Times New Roman" w:hAnsi="Times New Roman" w:cs="Times New Roman" w:eastAsia="Times New Roman" w:hint="default"/>
                <w:sz w:val="18"/>
                <w:szCs w:val="18"/>
              </w:rPr>
            </w:pPr>
            <w:r>
              <w:rPr>
                <w:rFonts w:ascii="Times New Roman"/>
                <w:sz w:val="18"/>
              </w:rPr>
              <w:t>30,898,697.92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80,155,192.01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84,332,376.55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127,251,513.59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154,386,708.00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116,796,907.07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134,226,220.65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185,231,637.19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539,943,559.83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403,844,003.12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5、其他非流动资产" w:id="239"/>
      <w:bookmarkEnd w:id="239"/>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25,099,800.00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6、短期借款" w:id="240"/>
      <w:bookmarkEnd w:id="240"/>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7,011,590.32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440,947,968.86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524,665,363.09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保证及质押借款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769,301,201.91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400,095,690.03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短期贸易融资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346,011,106.71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1,845,260,277.48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931,772,643.44</w:t>
            </w:r>
            <w:r>
              <w:rPr>
                <w:rFonts w:ascii="Times New Roman"/>
                <w:sz w:val="18"/>
              </w:rPr>
            </w:r>
          </w:p>
        </w:tc>
      </w:tr>
    </w:tbl>
    <w:p>
      <w:pPr>
        <w:pStyle w:val="BodyText"/>
        <w:spacing w:line="240" w:lineRule="auto" w:before="51"/>
        <w:ind w:right="0"/>
        <w:jc w:val="both"/>
      </w:pPr>
      <w:r>
        <w:rPr/>
        <w:t>短期借款分类的说明：</w:t>
      </w:r>
    </w:p>
    <w:p>
      <w:pPr>
        <w:spacing w:line="240" w:lineRule="auto" w:before="0"/>
        <w:rPr>
          <w:rFonts w:ascii="宋体" w:hAnsi="宋体" w:cs="宋体" w:eastAsia="宋体" w:hint="default"/>
          <w:sz w:val="15"/>
          <w:szCs w:val="15"/>
        </w:rPr>
      </w:pPr>
    </w:p>
    <w:p>
      <w:pPr>
        <w:pStyle w:val="BodyText"/>
        <w:spacing w:line="316" w:lineRule="auto"/>
        <w:ind w:left="153" w:right="1132" w:hanging="1"/>
        <w:jc w:val="both"/>
        <w:rPr>
          <w:rFonts w:ascii="宋体" w:hAnsi="宋体" w:cs="宋体" w:eastAsia="宋体" w:hint="default"/>
        </w:rPr>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日，公司与海南银行签订的《质押合同》（编号“</w:t>
      </w:r>
      <w:r>
        <w:rPr>
          <w:rFonts w:ascii="宋体" w:hAnsi="宋体" w:cs="宋体" w:eastAsia="宋体" w:hint="default"/>
          <w:spacing w:val="-2"/>
        </w:rPr>
        <w:t>A[</w:t>
      </w:r>
      <w:r>
        <w:rPr>
          <w:spacing w:val="-2"/>
        </w:rPr>
        <w:t>海银机构质</w:t>
      </w:r>
      <w:r>
        <w:rPr>
          <w:rFonts w:ascii="宋体" w:hAnsi="宋体" w:cs="宋体" w:eastAsia="宋体" w:hint="default"/>
          <w:spacing w:val="-2"/>
        </w:rPr>
        <w:t>]</w:t>
      </w:r>
      <w:r>
        <w:rPr>
          <w:spacing w:val="-2"/>
        </w:rPr>
        <w:t>字</w:t>
      </w:r>
      <w:r>
        <w:rPr>
          <w:rFonts w:ascii="宋体" w:hAnsi="宋体" w:cs="宋体" w:eastAsia="宋体" w:hint="default"/>
          <w:spacing w:val="-2"/>
        </w:rPr>
        <w:t>[2018]</w:t>
      </w:r>
      <w:r>
        <w:rPr>
          <w:spacing w:val="-2"/>
        </w:rPr>
        <w:t>年</w:t>
      </w:r>
      <w:r>
        <w:rPr>
          <w:rFonts w:ascii="宋体" w:hAnsi="宋体" w:cs="宋体" w:eastAsia="宋体" w:hint="default"/>
          <w:spacing w:val="-2"/>
        </w:rPr>
        <w:t>[001]</w:t>
      </w:r>
      <w:r>
        <w:rPr>
          <w:spacing w:val="-2"/>
        </w:rPr>
        <w:t>号”），为公司与该行</w:t>
      </w:r>
      <w:r>
        <w:rPr>
          <w:spacing w:val="-58"/>
        </w:rPr>
        <w:t> </w:t>
      </w:r>
      <w:r>
        <w:rPr>
          <w:spacing w:val="-58"/>
        </w:rPr>
      </w:r>
      <w:r>
        <w:rPr/>
        <w:t>签订的编号为</w:t>
      </w:r>
      <w:r>
        <w:rPr>
          <w:rFonts w:ascii="宋体" w:hAnsi="宋体" w:cs="宋体" w:eastAsia="宋体" w:hint="default"/>
        </w:rPr>
        <w:t>A[</w:t>
      </w:r>
      <w:r>
        <w:rPr/>
        <w:t>海银机构流</w:t>
      </w:r>
      <w:r>
        <w:rPr>
          <w:rFonts w:ascii="宋体" w:hAnsi="宋体" w:cs="宋体" w:eastAsia="宋体" w:hint="default"/>
        </w:rPr>
        <w:t>]</w:t>
      </w:r>
      <w:r>
        <w:rPr/>
        <w:t>字</w:t>
      </w:r>
      <w:r>
        <w:rPr>
          <w:rFonts w:ascii="宋体" w:hAnsi="宋体" w:cs="宋体" w:eastAsia="宋体" w:hint="default"/>
        </w:rPr>
        <w:t>[2018]</w:t>
      </w:r>
      <w:r>
        <w:rPr/>
        <w:t>年</w:t>
      </w:r>
      <w:r>
        <w:rPr>
          <w:rFonts w:ascii="宋体" w:hAnsi="宋体" w:cs="宋体" w:eastAsia="宋体" w:hint="default"/>
        </w:rPr>
        <w:t>[001]</w:t>
      </w:r>
      <w:r>
        <w:rPr/>
        <w:t>号的《流动资金借款合同》提供质押借款，质押物为公司的</w:t>
      </w:r>
      <w:r>
        <w:rPr>
          <w:rFonts w:ascii="宋体" w:hAnsi="宋体" w:cs="宋体" w:eastAsia="宋体" w:hint="default"/>
        </w:rPr>
        <w:t>3</w:t>
      </w:r>
      <w:r>
        <w:rPr/>
        <w:t>亿元定期存单。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日，公司在该合同项下的借款金额为</w:t>
      </w:r>
      <w:r>
        <w:rPr>
          <w:rFonts w:ascii="宋体" w:hAnsi="宋体" w:cs="宋体" w:eastAsia="宋体" w:hint="default"/>
        </w:rPr>
        <w:t>285,000,000.00</w:t>
      </w:r>
      <w:r>
        <w:rPr/>
        <w:t>元。</w:t>
      </w:r>
      <w:r>
        <w:rPr>
          <w:rFonts w:ascii="宋体" w:hAnsi="宋体" w:cs="宋体" w:eastAsia="宋体" w:hint="default"/>
        </w:rPr>
        <w:t> </w:t>
      </w:r>
    </w:p>
    <w:p>
      <w:pPr>
        <w:pStyle w:val="BodyText"/>
        <w:spacing w:line="316" w:lineRule="auto" w:before="139"/>
        <w:ind w:left="153" w:right="1129" w:hanging="1"/>
        <w:jc w:val="both"/>
        <w:rPr>
          <w:rFonts w:ascii="宋体" w:hAnsi="宋体" w:cs="宋体" w:eastAsia="宋体" w:hint="default"/>
        </w:rPr>
      </w:pPr>
      <w:r>
        <w:rPr>
          <w:spacing w:val="8"/>
        </w:rPr>
        <w:t>（</w:t>
      </w:r>
      <w:r>
        <w:rPr>
          <w:rFonts w:ascii="宋体" w:hAnsi="宋体" w:cs="宋体" w:eastAsia="宋体" w:hint="default"/>
          <w:spacing w:val="8"/>
        </w:rPr>
        <w:t>2</w:t>
      </w:r>
      <w:r>
        <w:rPr>
          <w:spacing w:val="8"/>
        </w:rPr>
        <w:t>）截至</w:t>
      </w:r>
      <w:r>
        <w:rPr>
          <w:rFonts w:ascii="宋体" w:hAnsi="宋体" w:cs="宋体" w:eastAsia="宋体" w:hint="default"/>
          <w:spacing w:val="8"/>
        </w:rPr>
        <w:t>2018</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日，公司所属子公司</w:t>
      </w:r>
      <w:r>
        <w:rPr>
          <w:rFonts w:ascii="宋体" w:hAnsi="宋体" w:cs="宋体" w:eastAsia="宋体" w:hint="default"/>
          <w:spacing w:val="8"/>
        </w:rPr>
        <w:t>—</w:t>
      </w:r>
      <w:r>
        <w:rPr>
          <w:spacing w:val="8"/>
        </w:rPr>
        <w:t>北京神州新桥科技有限公司借款余额</w:t>
      </w:r>
      <w:r>
        <w:rPr>
          <w:rFonts w:ascii="宋体" w:hAnsi="宋体" w:cs="宋体" w:eastAsia="宋体" w:hint="default"/>
          <w:spacing w:val="8"/>
        </w:rPr>
        <w:t>440,947,968.86</w:t>
      </w:r>
      <w:r>
        <w:rPr>
          <w:spacing w:val="8"/>
        </w:rPr>
        <w:t>元，信用证余额</w:t>
      </w:r>
      <w:r>
        <w:rPr>
          <w:spacing w:val="-52"/>
        </w:rPr>
        <w:t> </w:t>
      </w:r>
      <w:r>
        <w:rPr>
          <w:spacing w:val="-52"/>
        </w:rPr>
      </w:r>
      <w:r>
        <w:rPr>
          <w:rFonts w:ascii="宋体" w:hAnsi="宋体" w:cs="宋体" w:eastAsia="宋体" w:hint="default"/>
        </w:rPr>
        <w:t>107,140,724.55</w:t>
      </w:r>
      <w:r>
        <w:rPr/>
        <w:t>元，由本公司提供连带责任保证。公司所属子公司</w:t>
      </w:r>
      <w:r>
        <w:rPr>
          <w:rFonts w:ascii="宋体" w:hAnsi="宋体" w:cs="宋体" w:eastAsia="宋体" w:hint="default"/>
        </w:rPr>
        <w:t>—</w:t>
      </w:r>
      <w:r>
        <w:rPr/>
        <w:t>北京东华合创科技有限公司信用证余额</w:t>
      </w:r>
      <w:r>
        <w:rPr>
          <w:rFonts w:ascii="宋体" w:hAnsi="宋体" w:cs="宋体" w:eastAsia="宋体" w:hint="default"/>
        </w:rPr>
        <w:t>26,388,000.00</w:t>
      </w:r>
      <w:r>
        <w:rPr>
          <w:rFonts w:ascii="宋体" w:hAnsi="宋体" w:cs="宋体" w:eastAsia="宋体" w:hint="default"/>
          <w:spacing w:val="1"/>
        </w:rPr>
        <w:t> </w:t>
      </w:r>
      <w:r>
        <w:rPr/>
        <w:t>元，由本公司提供连带责任保证。</w:t>
      </w:r>
      <w:r>
        <w:rPr>
          <w:rFonts w:ascii="宋体" w:hAnsi="宋体" w:cs="宋体" w:eastAsia="宋体" w:hint="default"/>
        </w:rPr>
        <w:t> </w:t>
      </w:r>
    </w:p>
    <w:p>
      <w:pPr>
        <w:pStyle w:val="BodyText"/>
        <w:spacing w:line="316" w:lineRule="auto" w:before="139"/>
        <w:ind w:left="153" w:right="1033" w:hanging="1"/>
        <w:jc w:val="left"/>
      </w:pPr>
      <w:r>
        <w:rPr/>
        <w:t>（</w:t>
      </w: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06</w:t>
      </w:r>
      <w:r>
        <w:rPr/>
        <w:t>月</w:t>
      </w:r>
      <w:r>
        <w:rPr>
          <w:rFonts w:ascii="宋体" w:hAnsi="宋体" w:cs="宋体" w:eastAsia="宋体" w:hint="default"/>
        </w:rPr>
        <w:t>26</w:t>
      </w:r>
      <w:r>
        <w:rPr/>
        <w:t>日，公司所属子公司</w:t>
      </w:r>
      <w:r>
        <w:rPr>
          <w:rFonts w:ascii="宋体" w:hAnsi="宋体" w:cs="宋体" w:eastAsia="宋体" w:hint="default"/>
        </w:rPr>
        <w:t>—</w:t>
      </w:r>
      <w:r>
        <w:rPr/>
        <w:t>东华互联宜家数据服务有限公司与北京银行天津承德道支行签订编号“</w:t>
      </w:r>
      <w:r>
        <w:rPr>
          <w:rFonts w:ascii="宋体" w:hAnsi="宋体" w:cs="宋体" w:eastAsia="宋体" w:hint="default"/>
        </w:rPr>
        <w:t>0489586</w:t>
      </w:r>
      <w:r>
        <w:rPr/>
        <w:t>” 的《综合授信合同》，最高授信额度为人民币伍佰万元整，由北京中关村科技融资担保有限公司提供最高额连带责任保证。 同时，东华互联宜家数据服务有限公司与北京中关村科技融资担保有限公司为该授信合同另行签订编号“</w:t>
      </w:r>
      <w:r>
        <w:rPr>
          <w:rFonts w:ascii="宋体" w:hAnsi="宋体" w:cs="宋体" w:eastAsia="宋体" w:hint="default"/>
        </w:rPr>
        <w:t>2018</w:t>
      </w:r>
      <w:r>
        <w:rPr/>
        <w:t>年</w:t>
      </w:r>
      <w:r>
        <w:rPr>
          <w:rFonts w:ascii="宋体" w:hAnsi="宋体" w:cs="宋体" w:eastAsia="宋体" w:hint="default"/>
        </w:rPr>
        <w:t>WT0646</w:t>
      </w:r>
      <w:r>
        <w:rPr/>
        <w:t>号” </w:t>
      </w:r>
      <w:r>
        <w:rPr>
          <w:spacing w:val="-2"/>
        </w:rPr>
        <w:t>的最高额委托保证合同，由东华互联宜家数据服务有限公司股东陈震、东华互联宜家数据服务有限公司分别与北京中关村科</w:t>
      </w:r>
      <w:r>
        <w:rPr>
          <w:spacing w:val="-65"/>
        </w:rPr>
        <w:t> </w:t>
      </w:r>
      <w:r>
        <w:rPr>
          <w:spacing w:val="-65"/>
        </w:rPr>
      </w:r>
      <w:r>
        <w:rPr>
          <w:spacing w:val="-2"/>
        </w:rPr>
        <w:t>技融资担保有限公司签订编号“</w:t>
      </w:r>
      <w:r>
        <w:rPr>
          <w:rFonts w:ascii="宋体" w:hAnsi="宋体" w:cs="宋体" w:eastAsia="宋体" w:hint="default"/>
          <w:spacing w:val="-2"/>
        </w:rPr>
        <w:t>2018</w:t>
      </w:r>
      <w:r>
        <w:rPr>
          <w:spacing w:val="-2"/>
        </w:rPr>
        <w:t>年</w:t>
      </w:r>
      <w:r>
        <w:rPr>
          <w:rFonts w:ascii="宋体" w:hAnsi="宋体" w:cs="宋体" w:eastAsia="宋体" w:hint="default"/>
          <w:spacing w:val="-2"/>
        </w:rPr>
        <w:t>BZ0646</w:t>
      </w:r>
      <w:r>
        <w:rPr>
          <w:spacing w:val="-2"/>
        </w:rPr>
        <w:t>号”的《最高额反担保（保证）合同》和编号“</w:t>
      </w:r>
      <w:r>
        <w:rPr>
          <w:rFonts w:ascii="宋体" w:hAnsi="宋体" w:cs="宋体" w:eastAsia="宋体" w:hint="default"/>
          <w:spacing w:val="-2"/>
        </w:rPr>
        <w:t>2018</w:t>
      </w:r>
      <w:r>
        <w:rPr>
          <w:spacing w:val="-2"/>
        </w:rPr>
        <w:t>年</w:t>
      </w:r>
      <w:r>
        <w:rPr>
          <w:rFonts w:ascii="宋体" w:hAnsi="宋体" w:cs="宋体" w:eastAsia="宋体" w:hint="default"/>
          <w:spacing w:val="-2"/>
        </w:rPr>
        <w:t>ZYZK0646</w:t>
      </w:r>
      <w:r>
        <w:rPr>
          <w:spacing w:val="-2"/>
        </w:rPr>
        <w:t>号”的最高额</w:t>
      </w:r>
      <w:r>
        <w:rPr>
          <w:spacing w:val="-57"/>
        </w:rPr>
        <w:t> </w:t>
      </w:r>
      <w:r>
        <w:rPr>
          <w:spacing w:val="-57"/>
        </w:rPr>
      </w:r>
      <w:r>
        <w:rPr/>
        <w:t>反担保（应收账款质押）合同》，质押物为东华互联宜家数据服务有限公司与昆明广播电视网络有限责任公司的应收账款</w:t>
      </w:r>
    </w:p>
    <w:p>
      <w:pPr>
        <w:spacing w:after="0" w:line="316"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rPr>
          <w:rFonts w:ascii="宋体" w:hAnsi="宋体" w:cs="宋体" w:eastAsia="宋体" w:hint="default"/>
        </w:rPr>
      </w:pPr>
      <w:r>
        <w:rPr>
          <w:rFonts w:ascii="宋体" w:hAnsi="宋体" w:cs="宋体" w:eastAsia="宋体" w:hint="default"/>
        </w:rPr>
        <w:t>10,486,492.50</w:t>
      </w:r>
      <w:r>
        <w:rPr/>
        <w:t>元。截止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日，该合同项下借款余额</w:t>
      </w:r>
      <w:r>
        <w:rPr>
          <w:rFonts w:ascii="宋体" w:hAnsi="宋体" w:cs="宋体" w:eastAsia="宋体" w:hint="default"/>
        </w:rPr>
        <w:t>4,000,000.00</w:t>
      </w:r>
      <w:r>
        <w:rPr/>
        <w:t>元。</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p>
    <w:p>
      <w:pPr>
        <w:pStyle w:val="BodyText"/>
        <w:spacing w:line="240" w:lineRule="auto" w:before="143"/>
        <w:ind w:left="512" w:right="986"/>
        <w:jc w:val="left"/>
      </w:pPr>
      <w:bookmarkStart w:name="本期末已逾期未偿还的短期借款总额为0.00元。" w:id="241"/>
      <w:bookmarkEnd w:id="241"/>
      <w:r>
        <w:rPr/>
      </w:r>
      <w:r>
        <w:rPr/>
        <w:t>本期末已逾期未偿还的短期借款总额为</w:t>
      </w:r>
      <w:r>
        <w:rPr>
          <w:spacing w:val="-46"/>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7、以公允价值计量且其变动计入当期损益的金融负债" w:id="242"/>
      <w:bookmarkEnd w:id="242"/>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8、衍生金融负债" w:id="243"/>
      <w:bookmarkEnd w:id="243"/>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29、应付票据及应付账款" w:id="244"/>
      <w:bookmarkEnd w:id="244"/>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130,450,667.50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443,949,481.53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1,259,030,712.02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948,040,882.55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1,389,481,379.52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1,391,990,364.08</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1.</w:t>
      </w:r>
      <w:r>
        <w:rPr/>
        <w:t>应付票据分类列示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17,203,635.38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113,247,032.12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413,949,481.53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130,450,667.50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443,949,481.53</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应付账款列示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1,259,030,712.02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948,040,882.55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1,259,030,712.02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948,040,882.55</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3.</w:t>
      </w:r>
      <w:r>
        <w:rPr/>
        <w:t>账龄超过</w:t>
      </w:r>
      <w:r>
        <w:rPr>
          <w:rFonts w:ascii="宋体" w:hAnsi="宋体" w:cs="宋体" w:eastAsia="宋体" w:hint="default"/>
        </w:rPr>
        <w:t>1</w:t>
      </w:r>
      <w:r>
        <w:rPr/>
        <w:t>年的重要应付账款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北京汇金科技有限责任公司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53,310,000.00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北京安氏领信科技发展有限公司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17,730,736.00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北京易讯通信息技术股份有限公司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14,274,800.00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杭州字节信息技术有限公司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8,000,100.00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7,609,127.50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南京安氏领信科技发展有限公司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6,894,280.00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107,819,043.50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0、预收款项" w:id="245"/>
      <w:bookmarkEnd w:id="24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预收款项列示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1,226,465,240.61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858,437,966.98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1,226,465,240.61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858,437,966.98</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账龄超过</w:t>
      </w:r>
      <w:r>
        <w:rPr>
          <w:rFonts w:ascii="宋体" w:hAnsi="宋体" w:cs="宋体" w:eastAsia="宋体" w:hint="default"/>
        </w:rPr>
        <w:t>1</w:t>
      </w:r>
      <w:r>
        <w:rPr/>
        <w:t>年的重要预收款项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21,482,478.12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广西安全生产监督管理局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19,996,001.60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中华人民共和国山东海事局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7,920,523.08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山西昆明烟草有限责任公司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7,854,248.96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中国人民银行河北省石家庄分行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6,386,638.53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国家卫星气象中心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5,427,905.18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北京老年医院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3,784,469.54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72,852,265.01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3.</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1、应付职工薪酬" w:id="246"/>
      <w:bookmarkEnd w:id="24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rFonts w:ascii="宋体" w:hAnsi="宋体" w:cs="宋体" w:eastAsia="宋体" w:hint="default"/>
          <w:b w:val="0"/>
          <w:bCs w:val="0"/>
        </w:rPr>
      </w:pP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8,296,248.83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994,696,842.27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994,961,081.05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8,032,010.05</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282,634.50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86,360,179.01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86,374,699.49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268,114.02</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128,461.39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128,461.39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8,578,883.33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1,081,185,482.67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1,081,464,241.93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8,300,124.07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7,391,559.92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913,058,502.73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913,144,286.63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7,305,776.02</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4,865,217.55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4,865,217.55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103,774.93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36,040,593.62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36,065,929.47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78,439.08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93,205.11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32,205,461.61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32,231,386.45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67,280.28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3,400.91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1,204,863.16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1,204,193.16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4,070.91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7,168.91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2,630,268.85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2,630,349.87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7,087.89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43,882.39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35,312,137.98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35,125,217.66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230,802.71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757,031.59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5,420,390.39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5,760,429.74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416,992.24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8,296,248.83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994,696,842.27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994,961,081.05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8,032,010.05</w:t>
            </w:r>
            <w:r>
              <w:rPr>
                <w:rFonts w:ascii="Times New Roman"/>
                <w:sz w:val="18"/>
              </w:rPr>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271,259.26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84,220,930.54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84,234,185.46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258,004.34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w w:val="95"/>
                <w:sz w:val="18"/>
              </w:rPr>
              <w:t>11,375.24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2,139,248.47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2,140,514.03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10,109.68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282,634.50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86,360,179.01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86,374,699.49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268,114.02</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2、应交税费" w:id="247"/>
      <w:bookmarkEnd w:id="24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65,383,465.34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46,431,372.06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23,161,541.44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72,642,191.81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11,109,833.69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30,053,957.99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1,950,427.56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3,915,262.94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795,575.50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1,647,993.17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533,129.75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1,088,269.50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166,642.18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81,521.29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182,497.25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182,497.27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127,260.67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168,288.19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27,300.05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25,184.95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8,064.71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1,412.42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5,405.42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103,458,810.22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156,243,357.01</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3、其他应付款" w:id="248"/>
      <w:bookmarkEnd w:id="24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438,934,312.27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1,656,565,415.91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1,335,816,350.16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2,095,499,728.18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1,706,924,418.83</w:t>
            </w:r>
          </w:p>
        </w:tc>
      </w:tr>
    </w:tbl>
    <w:p>
      <w:pPr>
        <w:spacing w:line="240" w:lineRule="auto" w:before="8"/>
        <w:rPr>
          <w:rFonts w:ascii="宋体" w:hAnsi="宋体" w:cs="宋体" w:eastAsia="宋体" w:hint="default"/>
          <w:sz w:val="6"/>
          <w:szCs w:val="6"/>
        </w:rPr>
      </w:pPr>
    </w:p>
    <w:p>
      <w:pPr>
        <w:pStyle w:val="Heading5"/>
        <w:spacing w:line="240" w:lineRule="auto" w:before="44"/>
        <w:ind w:right="986"/>
        <w:jc w:val="left"/>
        <w:rPr>
          <w:rFonts w:ascii="宋体" w:hAnsi="宋体" w:cs="宋体" w:eastAsia="宋体" w:hint="default"/>
          <w:b w:val="0"/>
          <w:bCs w:val="0"/>
        </w:rPr>
      </w:pPr>
      <w:r>
        <w:rPr>
          <w:rFonts w:ascii="宋体" w:hAnsi="宋体" w:cs="宋体" w:eastAsia="宋体" w:hint="default"/>
        </w:rPr>
        <w:t>1.</w:t>
      </w:r>
      <w:r>
        <w:rPr/>
        <w:t>应付利息</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before="137"/>
        <w:ind w:left="575" w:right="986" w:firstLine="0"/>
        <w:jc w:val="left"/>
        <w:rPr>
          <w:rFonts w:ascii="宋体" w:hAnsi="宋体" w:cs="宋体" w:eastAsia="宋体" w:hint="default"/>
          <w:sz w:val="18"/>
          <w:szCs w:val="18"/>
        </w:rPr>
      </w:pPr>
      <w:bookmarkStart w:name="2.应付股利" w:id="249"/>
      <w:bookmarkEnd w:id="249"/>
      <w:r>
        <w:rPr/>
      </w:r>
      <w:r>
        <w:rPr>
          <w:rFonts w:ascii="Times New Roman" w:hAnsi="Times New Roman" w:cs="Times New Roman" w:eastAsia="Times New Roman" w:hint="default"/>
          <w:b/>
          <w:bCs/>
          <w:sz w:val="21"/>
          <w:szCs w:val="21"/>
        </w:rPr>
        <w:t>2.</w:t>
      </w:r>
      <w:r>
        <w:rPr>
          <w:rFonts w:ascii="宋体" w:hAnsi="宋体" w:cs="宋体" w:eastAsia="宋体" w:hint="default"/>
          <w:b/>
          <w:bCs/>
          <w:sz w:val="18"/>
          <w:szCs w:val="18"/>
        </w:rPr>
        <w:t>应付股利</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438,934,312.27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438,934,312.27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371,108,068.67</w:t>
            </w:r>
            <w:r>
              <w:rPr>
                <w:rFonts w:ascii="Times New Roman"/>
                <w:sz w:val="18"/>
              </w:rPr>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3.其他应付款" w:id="250"/>
      <w:bookmarkEnd w:id="250"/>
      <w:r>
        <w:rPr>
          <w:b w:val="0"/>
          <w:bCs w:val="0"/>
        </w:rPr>
      </w:r>
      <w:r>
        <w:rPr>
          <w:rFonts w:ascii="Times New Roman" w:hAnsi="Times New Roman" w:cs="Times New Roman" w:eastAsia="Times New Roman" w:hint="default"/>
        </w:rPr>
        <w:t>3.</w:t>
      </w:r>
      <w:r>
        <w:rPr/>
        <w:t>其他应付款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512" w:right="986"/>
        <w:jc w:val="left"/>
      </w:pPr>
      <w:r>
        <w:rPr/>
        <w:t>（</w:t>
      </w: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41,217,564.84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43,577,919.28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7,427,381.03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2,544,679.02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1,607,330,320.04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1,287,182,639.86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590,150.00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2,511,112.00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1,656,565,415.91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1,335,816,350.16</w:t>
            </w:r>
          </w:p>
        </w:tc>
      </w:tr>
    </w:tbl>
    <w:p>
      <w:pPr>
        <w:pStyle w:val="BodyText"/>
        <w:spacing w:line="240" w:lineRule="auto" w:before="51"/>
        <w:ind w:left="512" w:right="986"/>
        <w:jc w:val="left"/>
      </w:pPr>
      <w:r>
        <w:rPr/>
        <w:t>（</w:t>
      </w: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1"/>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4、持有待售负债" w:id="251"/>
      <w:bookmarkEnd w:id="251"/>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35、一年内到期的非流动负债" w:id="252"/>
      <w:bookmarkEnd w:id="252"/>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6、其他流动负债" w:id="253"/>
      <w:bookmarkEnd w:id="253"/>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7、长期借款" w:id="254"/>
      <w:bookmarkEnd w:id="254"/>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986"/>
        <w:jc w:val="left"/>
        <w:rPr>
          <w:b w:val="0"/>
          <w:bCs w:val="0"/>
        </w:rPr>
      </w:pPr>
      <w:bookmarkStart w:name="1.长期借款分类" w:id="255"/>
      <w:bookmarkEnd w:id="255"/>
      <w:r>
        <w:rPr>
          <w:b w:val="0"/>
          <w:bCs w:val="0"/>
        </w:rPr>
      </w:r>
      <w:r>
        <w:rPr>
          <w:rFonts w:ascii="Times New Roman" w:hAnsi="Times New Roman" w:cs="Times New Roman" w:eastAsia="Times New Roman" w:hint="default"/>
        </w:rPr>
        <w:t>1.</w:t>
      </w:r>
      <w:r>
        <w:rPr/>
        <w:t>长期借款分类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r>
    </w:tbl>
    <w:p>
      <w:pPr>
        <w:pStyle w:val="BodyText"/>
        <w:spacing w:line="240" w:lineRule="auto" w:before="51"/>
        <w:ind w:left="134" w:right="8952"/>
        <w:jc w:val="center"/>
      </w:pPr>
      <w:r>
        <w:rPr/>
        <w:t>长期借款分类的说明：</w:t>
      </w:r>
    </w:p>
    <w:p>
      <w:pPr>
        <w:pStyle w:val="BodyText"/>
        <w:spacing w:line="300" w:lineRule="auto" w:before="115"/>
        <w:ind w:right="1132"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日，根据公司所属子公司东华软件工程有限公司总经理吴定与马鞍山江东金融控股有限公司签订的《委托 贷款保证担保合同》（编号</w:t>
      </w:r>
      <w:r>
        <w:rPr>
          <w:rFonts w:ascii="Times New Roman" w:hAnsi="Times New Roman" w:cs="Times New Roman" w:eastAsia="Times New Roman" w:hint="default"/>
        </w:rPr>
        <w:t>“</w:t>
      </w:r>
      <w:r>
        <w:rPr/>
        <w:t>科委贷保</w:t>
      </w:r>
      <w:r>
        <w:rPr>
          <w:rFonts w:ascii="Times New Roman" w:hAnsi="Times New Roman" w:cs="Times New Roman" w:eastAsia="Times New Roman" w:hint="default"/>
        </w:rPr>
        <w:t>20163601</w:t>
      </w:r>
      <w:r>
        <w:rPr/>
        <w:t>）规定，保证人吴定为东华软件工程有限公司与中国银行股份有限公司及马</w:t>
      </w:r>
      <w:r>
        <w:rPr>
          <w:spacing w:val="-78"/>
        </w:rPr>
        <w:t> </w:t>
      </w:r>
      <w:r>
        <w:rPr>
          <w:spacing w:val="-78"/>
        </w:rPr>
      </w:r>
      <w:r>
        <w:rPr/>
        <w:t>鞍山江东金融控股有限公司签订的编号为</w:t>
      </w:r>
      <w:r>
        <w:rPr>
          <w:rFonts w:ascii="Times New Roman" w:hAnsi="Times New Roman" w:cs="Times New Roman" w:eastAsia="Times New Roman" w:hint="default"/>
        </w:rPr>
        <w:t>“2016</w:t>
      </w:r>
      <w:r>
        <w:rPr/>
        <w:t>年马中银委字</w:t>
      </w:r>
      <w:r>
        <w:rPr>
          <w:rFonts w:ascii="Times New Roman" w:hAnsi="Times New Roman" w:cs="Times New Roman" w:eastAsia="Times New Roman" w:hint="default"/>
        </w:rPr>
        <w:t>016</w:t>
      </w:r>
      <w:r>
        <w:rPr/>
        <w:t>号</w:t>
      </w:r>
      <w:r>
        <w:rPr>
          <w:rFonts w:ascii="Times New Roman" w:hAnsi="Times New Roman" w:cs="Times New Roman" w:eastAsia="Times New Roman" w:hint="default"/>
        </w:rPr>
        <w:t>”</w:t>
      </w:r>
      <w:r>
        <w:rPr/>
        <w:t>的《人民币委托贷款合同》提供连带责任保证担保，保</w:t>
      </w:r>
      <w:r>
        <w:rPr>
          <w:spacing w:val="-68"/>
        </w:rPr>
        <w:t> </w:t>
      </w:r>
      <w:r>
        <w:rPr>
          <w:spacing w:val="-68"/>
        </w:rPr>
      </w:r>
      <w:r>
        <w:rPr>
          <w:spacing w:val="-2"/>
        </w:rPr>
        <w:t>证期限为每期债务履行期限届满之日起至最后一期债务履行期限届满之二年止；截至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日，东华软件工程有限公</w:t>
      </w:r>
      <w:r>
        <w:rPr>
          <w:spacing w:val="-60"/>
        </w:rPr>
        <w:t> </w:t>
      </w:r>
      <w:r>
        <w:rPr>
          <w:spacing w:val="-60"/>
        </w:rPr>
      </w:r>
      <w:r>
        <w:rPr/>
        <w:t>司在该合同项下借款余额为人民币</w:t>
      </w:r>
      <w:r>
        <w:rPr>
          <w:rFonts w:ascii="Times New Roman" w:hAnsi="Times New Roman" w:cs="Times New Roman" w:eastAsia="Times New Roman" w:hint="default"/>
        </w:rPr>
        <w:t>4,000,000.00</w:t>
      </w:r>
      <w:r>
        <w:rPr/>
        <w:t>元，报表已重分类至一年内到期的非流动负债反映。</w:t>
      </w:r>
    </w:p>
    <w:p>
      <w:pPr>
        <w:spacing w:line="240" w:lineRule="auto" w:before="2"/>
        <w:rPr>
          <w:rFonts w:ascii="宋体" w:hAnsi="宋体" w:cs="宋体" w:eastAsia="宋体" w:hint="default"/>
          <w:sz w:val="24"/>
          <w:szCs w:val="24"/>
        </w:rPr>
      </w:pPr>
    </w:p>
    <w:p>
      <w:pPr>
        <w:pStyle w:val="Heading5"/>
        <w:spacing w:line="240" w:lineRule="auto"/>
        <w:ind w:left="134" w:right="8813"/>
        <w:jc w:val="center"/>
        <w:rPr>
          <w:b w:val="0"/>
          <w:bCs w:val="0"/>
        </w:rPr>
      </w:pPr>
      <w:bookmarkStart w:name="2.长期借款情况" w:id="256"/>
      <w:bookmarkEnd w:id="256"/>
      <w:r>
        <w:rPr>
          <w:b w:val="0"/>
          <w:bCs w:val="0"/>
        </w:rPr>
      </w:r>
      <w:r>
        <w:rPr>
          <w:rFonts w:ascii="Times New Roman" w:hAnsi="Times New Roman" w:cs="Times New Roman" w:eastAsia="Times New Roman" w:hint="default"/>
        </w:rPr>
        <w:t>2.</w:t>
      </w:r>
      <w:r>
        <w:rPr/>
        <w:t>长期借款情况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833"/>
        <w:gridCol w:w="994"/>
        <w:gridCol w:w="991"/>
        <w:gridCol w:w="569"/>
        <w:gridCol w:w="708"/>
        <w:gridCol w:w="960"/>
        <w:gridCol w:w="672"/>
        <w:gridCol w:w="504"/>
        <w:gridCol w:w="1428"/>
      </w:tblGrid>
      <w:tr>
        <w:trPr>
          <w:trHeight w:val="341" w:hRule="exact"/>
        </w:trPr>
        <w:tc>
          <w:tcPr>
            <w:tcW w:w="2833"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994"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91"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2237" w:type="dxa"/>
            <w:gridSpan w:val="3"/>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4" w:type="dxa"/>
            <w:gridSpan w:val="3"/>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2833" w:type="dxa"/>
            <w:vMerge/>
            <w:tcBorders>
              <w:left w:val="single" w:sz="4" w:space="0" w:color="000000"/>
              <w:bottom w:val="single" w:sz="4" w:space="0" w:color="000000"/>
              <w:right w:val="single" w:sz="4" w:space="0" w:color="000000"/>
            </w:tcBorders>
            <w:shd w:val="clear" w:color="auto" w:fill="DADADA"/>
          </w:tcPr>
          <w:p>
            <w:pPr/>
          </w:p>
        </w:tc>
        <w:tc>
          <w:tcPr>
            <w:tcW w:w="994" w:type="dxa"/>
            <w:vMerge/>
            <w:tcBorders>
              <w:left w:val="single" w:sz="4" w:space="0" w:color="000000"/>
              <w:bottom w:val="single" w:sz="4" w:space="0" w:color="000000"/>
              <w:right w:val="single" w:sz="4" w:space="0" w:color="000000"/>
            </w:tcBorders>
            <w:shd w:val="clear" w:color="auto" w:fill="DADADA"/>
          </w:tcPr>
          <w:p>
            <w:pPr/>
          </w:p>
        </w:tc>
        <w:tc>
          <w:tcPr>
            <w:tcW w:w="991" w:type="dxa"/>
            <w:vMerge/>
            <w:tcBorders>
              <w:left w:val="single" w:sz="4" w:space="0" w:color="000000"/>
              <w:bottom w:val="single" w:sz="4" w:space="0" w:color="000000"/>
              <w:right w:val="single" w:sz="4" w:space="0" w:color="000000"/>
            </w:tcBorders>
            <w:shd w:val="clear" w:color="auto" w:fill="DADADA"/>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7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151"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6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42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347"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4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马鞍山江东金融控股有限公司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7" w:right="0"/>
              <w:jc w:val="left"/>
              <w:rPr>
                <w:rFonts w:ascii="Times New Roman" w:hAnsi="Times New Roman" w:cs="Times New Roman" w:eastAsia="Times New Roman" w:hint="default"/>
                <w:sz w:val="18"/>
                <w:szCs w:val="18"/>
              </w:rPr>
            </w:pPr>
            <w:r>
              <w:rPr>
                <w:rFonts w:ascii="Times New Roman"/>
                <w:sz w:val="18"/>
              </w:rPr>
              <w:t>2016.09.07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7" w:right="-1"/>
              <w:jc w:val="left"/>
              <w:rPr>
                <w:rFonts w:ascii="Times New Roman" w:hAnsi="Times New Roman" w:cs="Times New Roman" w:eastAsia="Times New Roman" w:hint="default"/>
                <w:sz w:val="18"/>
                <w:szCs w:val="18"/>
              </w:rPr>
            </w:pPr>
            <w:r>
              <w:rPr>
                <w:rFonts w:ascii="Times New Roman"/>
                <w:sz w:val="18"/>
              </w:rPr>
              <w:t>2019.09.07</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Times New Roman" w:hAnsi="Times New Roman" w:cs="Times New Roman" w:eastAsia="Times New Roman" w:hint="default"/>
                <w:sz w:val="18"/>
                <w:szCs w:val="18"/>
              </w:rPr>
            </w:pPr>
            <w:r>
              <w:rPr>
                <w:rFonts w:ascii="Times New Roman"/>
                <w:sz w:val="18"/>
              </w:rPr>
              <w:t>4.75%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left"/>
              <w:rPr>
                <w:rFonts w:ascii="Times New Roman" w:hAnsi="Times New Roman" w:cs="Times New Roman" w:eastAsia="Times New Roman" w:hint="default"/>
                <w:sz w:val="18"/>
                <w:szCs w:val="18"/>
              </w:rPr>
            </w:pPr>
            <w:r>
              <w:rPr>
                <w:rFonts w:ascii="Times New Roman"/>
                <w:sz w:val="18"/>
              </w:rPr>
              <w:t>RMB</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4,000,000.00</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38、应付债券" w:id="257"/>
      <w:bookmarkEnd w:id="257"/>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9、长期应付款" w:id="258"/>
      <w:bookmarkEnd w:id="25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40、长期应付职工薪酬" w:id="259"/>
      <w:bookmarkEnd w:id="259"/>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41、预计负债" w:id="260"/>
      <w:bookmarkEnd w:id="260"/>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42、递延收益" w:id="261"/>
      <w:bookmarkEnd w:id="261"/>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71,050,860.79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24,509,103.44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60,461,757.35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71,050,860.79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24,509,103.44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60,461,757.35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6"/>
        <w:jc w:val="left"/>
      </w:pPr>
      <w:r>
        <w:rPr/>
        <w:t>涉及政府补助的项目：</w:t>
      </w:r>
    </w:p>
    <w:p>
      <w:pPr>
        <w:pStyle w:val="BodyText"/>
        <w:spacing w:line="240" w:lineRule="auto" w:before="115"/>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924"/>
        <w:gridCol w:w="1063"/>
        <w:gridCol w:w="1061"/>
        <w:gridCol w:w="1063"/>
        <w:gridCol w:w="1063"/>
        <w:gridCol w:w="1063"/>
        <w:gridCol w:w="1063"/>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基于传感网和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技术的农 产品质量追溯 系统研发及产 业化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109,401.71</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109,401.71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高速流量控制 系统产业化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39,886.04</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39,886.04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年度电子 信息产业发展 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138,181.13</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138,181.13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气象医疗行业 核心软件研发 项目资金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jc w:val="both"/>
              <w:rPr>
                <w:rFonts w:ascii="宋体" w:hAnsi="宋体" w:cs="宋体" w:eastAsia="宋体" w:hint="default"/>
                <w:sz w:val="18"/>
                <w:szCs w:val="18"/>
              </w:rPr>
            </w:pPr>
            <w:r>
              <w:rPr>
                <w:rFonts w:ascii="宋体" w:hAnsi="宋体" w:cs="宋体" w:eastAsia="宋体" w:hint="default"/>
                <w:sz w:val="18"/>
                <w:szCs w:val="18"/>
              </w:rPr>
              <w:t>云计算的数字 化医疗和区域 医疗协同系统 项目补助资金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11,710,000.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11,710,000.0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工信部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 子发展基金款</w:t>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ITSS</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375,398.86</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375,398.86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61"/>
              <w:jc w:val="left"/>
              <w:rPr>
                <w:rFonts w:ascii="宋体" w:hAnsi="宋体" w:cs="宋体" w:eastAsia="宋体" w:hint="default"/>
                <w:sz w:val="18"/>
                <w:szCs w:val="18"/>
              </w:rPr>
            </w:pPr>
            <w:r>
              <w:rPr>
                <w:rFonts w:ascii="宋体" w:hAnsi="宋体" w:cs="宋体" w:eastAsia="宋体" w:hint="default"/>
                <w:sz w:val="18"/>
                <w:szCs w:val="18"/>
              </w:rPr>
              <w:t>云计算流量分 析控制北京市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183,666.67</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924"/>
        <w:gridCol w:w="1063"/>
        <w:gridCol w:w="1061"/>
        <w:gridCol w:w="1063"/>
        <w:gridCol w:w="1063"/>
        <w:gridCol w:w="1063"/>
        <w:gridCol w:w="1063"/>
      </w:tblGrid>
      <w:tr>
        <w:trPr>
          <w:trHeight w:val="98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工程实验室创 新能力建设项 目</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新一代互联网 上网行为管理 系统产业化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805,170.94</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794,415.95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10,754.99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年核高基 国家科技重大 专项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186,340.00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186,340.00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基于医学知识 库电子病历系 统研发及临床 应用</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 电子病历</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51,860.00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51,860.00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信息技术服务 能力提升</w:t>
            </w:r>
            <w:r>
              <w:rPr>
                <w:rFonts w:ascii="Times New Roman" w:hAnsi="Times New Roman" w:cs="Times New Roman" w:eastAsia="Times New Roman" w:hint="default"/>
                <w:sz w:val="18"/>
                <w:szCs w:val="18"/>
              </w:rPr>
              <w:t>-</w:t>
            </w:r>
            <w:r>
              <w:rPr>
                <w:rFonts w:ascii="宋体" w:hAnsi="宋体" w:cs="宋体" w:eastAsia="宋体" w:hint="default"/>
                <w:sz w:val="18"/>
                <w:szCs w:val="18"/>
              </w:rPr>
              <w:t>银行 安全可靠业务 系统研发及应 用示范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3,530,456.12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469,543.88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海淀联合重大 攻关项目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281,196.58</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71,196.58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中小商业银行 一体化服务平 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1,902,000.00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1,902,000.00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数字化医疗区 域协同应用示 范（</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计划华 西医院）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75,555.56</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5"/>
              <w:jc w:val="right"/>
              <w:rPr>
                <w:rFonts w:ascii="Times New Roman" w:hAnsi="Times New Roman" w:cs="Times New Roman" w:eastAsia="Times New Roman" w:hint="default"/>
                <w:sz w:val="18"/>
                <w:szCs w:val="18"/>
              </w:rPr>
            </w:pPr>
            <w:r>
              <w:rPr>
                <w:rFonts w:ascii="Times New Roman"/>
                <w:spacing w:val="-1"/>
                <w:sz w:val="18"/>
              </w:rPr>
              <w:t>34,871.80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40,683.76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863 </w:t>
            </w:r>
            <w:r>
              <w:rPr>
                <w:rFonts w:ascii="宋体" w:hAnsi="宋体" w:cs="宋体" w:eastAsia="宋体" w:hint="default"/>
                <w:sz w:val="18"/>
                <w:szCs w:val="18"/>
              </w:rPr>
              <w:t>计划数字化 医疗医院流程 研究及应用示 范（</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计划协 和医院）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136,301.01</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87,580.00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48,721.01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基于安全可靠 软硬件的系统 集成开发工具</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IDE)</w:t>
            </w:r>
            <w:r>
              <w:rPr>
                <w:rFonts w:ascii="宋体" w:hAnsi="宋体" w:cs="宋体" w:eastAsia="宋体" w:hint="default"/>
                <w:sz w:val="18"/>
                <w:szCs w:val="18"/>
              </w:rPr>
              <w:t>研发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超大规模数据 智能分析平台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2,897,709.4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2,097,709.40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61"/>
              <w:jc w:val="left"/>
              <w:rPr>
                <w:rFonts w:ascii="宋体" w:hAnsi="宋体" w:cs="宋体" w:eastAsia="宋体" w:hint="default"/>
                <w:sz w:val="18"/>
                <w:szCs w:val="18"/>
              </w:rPr>
            </w:pPr>
            <w:r>
              <w:rPr>
                <w:rFonts w:ascii="宋体" w:hAnsi="宋体" w:cs="宋体" w:eastAsia="宋体" w:hint="default"/>
                <w:sz w:val="18"/>
                <w:szCs w:val="18"/>
              </w:rPr>
              <w:t>电力装备智能 运维平台关键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2,603,612.10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896,387.90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924"/>
        <w:gridCol w:w="1063"/>
        <w:gridCol w:w="1061"/>
        <w:gridCol w:w="1063"/>
        <w:gridCol w:w="1063"/>
        <w:gridCol w:w="1063"/>
        <w:gridCol w:w="1063"/>
      </w:tblGrid>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1"/>
              <w:jc w:val="left"/>
              <w:rPr>
                <w:rFonts w:ascii="宋体" w:hAnsi="宋体" w:cs="宋体" w:eastAsia="宋体" w:hint="default"/>
                <w:sz w:val="18"/>
                <w:szCs w:val="18"/>
              </w:rPr>
            </w:pPr>
            <w:r>
              <w:rPr>
                <w:rFonts w:ascii="宋体" w:hAnsi="宋体" w:cs="宋体" w:eastAsia="宋体" w:hint="default"/>
                <w:sz w:val="18"/>
                <w:szCs w:val="18"/>
              </w:rPr>
              <w:t>技术研究及应 用示范</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基于大数据的 健康服务平台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925,240.17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7,054,759.83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新华舆情网络 预警系统及配 套智能移动终 端产业化项目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218,415.11</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-1,181,584.89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1,400,000.00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基于移动互联 网的新一代银 行卡手持移动 金融终端应用 示范项目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577,777.79</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577,777.79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自主标准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900M</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高频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FRID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物联 网智能终端及 关键技术研发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49,999.99</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5"/>
              <w:jc w:val="right"/>
              <w:rPr>
                <w:rFonts w:ascii="Times New Roman" w:hAnsi="Times New Roman" w:cs="Times New Roman" w:eastAsia="Times New Roman" w:hint="default"/>
                <w:sz w:val="18"/>
                <w:szCs w:val="18"/>
              </w:rPr>
            </w:pPr>
            <w:r>
              <w:rPr>
                <w:rFonts w:ascii="Times New Roman"/>
                <w:spacing w:val="-1"/>
                <w:sz w:val="18"/>
              </w:rPr>
              <w:t>49,999.99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高清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VR </w:t>
            </w:r>
            <w:r>
              <w:rPr>
                <w:rFonts w:ascii="宋体" w:hAnsi="宋体" w:cs="宋体" w:eastAsia="宋体" w:hint="default"/>
                <w:sz w:val="18"/>
                <w:szCs w:val="18"/>
              </w:rPr>
              <w:t>摄 像机及关键技 术研发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3,460,000.00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未来产业发展 </w:t>
            </w:r>
            <w:r>
              <w:rPr>
                <w:rFonts w:ascii="宋体" w:hAnsi="宋体" w:cs="宋体" w:eastAsia="宋体" w:hint="default"/>
                <w:spacing w:val="-6"/>
                <w:sz w:val="18"/>
                <w:szCs w:val="18"/>
              </w:rPr>
              <w:t>专项资金（军民</w:t>
            </w:r>
            <w:r>
              <w:rPr>
                <w:rFonts w:ascii="宋体" w:hAnsi="宋体" w:cs="宋体" w:eastAsia="宋体" w:hint="default"/>
                <w:sz w:val="18"/>
                <w:szCs w:val="18"/>
              </w:rPr>
              <w:t> </w:t>
            </w:r>
            <w:r>
              <w:rPr>
                <w:rFonts w:ascii="宋体" w:hAnsi="宋体" w:cs="宋体" w:eastAsia="宋体" w:hint="default"/>
                <w:spacing w:val="-6"/>
                <w:sz w:val="18"/>
                <w:szCs w:val="18"/>
              </w:rPr>
              <w:t>融合项）扶持计</w:t>
            </w:r>
            <w:r>
              <w:rPr>
                <w:rFonts w:ascii="宋体" w:hAnsi="宋体" w:cs="宋体" w:eastAsia="宋体" w:hint="default"/>
                <w:sz w:val="18"/>
                <w:szCs w:val="18"/>
              </w:rPr>
              <w:t> 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年市未来 产业发展专项 </w:t>
            </w:r>
            <w:r>
              <w:rPr>
                <w:rFonts w:ascii="宋体" w:hAnsi="宋体" w:cs="宋体" w:eastAsia="宋体" w:hint="default"/>
                <w:spacing w:val="-6"/>
                <w:sz w:val="18"/>
                <w:szCs w:val="18"/>
              </w:rPr>
              <w:t>资金（军民融合</w:t>
            </w:r>
            <w:r>
              <w:rPr>
                <w:rFonts w:ascii="宋体" w:hAnsi="宋体" w:cs="宋体" w:eastAsia="宋体" w:hint="default"/>
                <w:sz w:val="18"/>
                <w:szCs w:val="18"/>
              </w:rPr>
              <w:t> </w:t>
            </w:r>
            <w:r>
              <w:rPr>
                <w:rFonts w:ascii="宋体" w:hAnsi="宋体" w:cs="宋体" w:eastAsia="宋体" w:hint="default"/>
                <w:spacing w:val="-6"/>
                <w:sz w:val="18"/>
                <w:szCs w:val="18"/>
              </w:rPr>
              <w:t>专项）扶持计划</w:t>
            </w:r>
            <w:r>
              <w:rPr>
                <w:rFonts w:ascii="宋体" w:hAnsi="宋体" w:cs="宋体" w:eastAsia="宋体" w:hint="default"/>
                <w:sz w:val="18"/>
                <w:szCs w:val="18"/>
              </w:rPr>
              <w:t> 第二批项目资 助计划</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济宁仙营街道 政府扶持资金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年省企业 发展专项资金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71,050,860.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24,309,103.4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60,461,757.3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43、其他非流动负债" w:id="262"/>
      <w:bookmarkEnd w:id="262"/>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44、股本" w:id="263"/>
      <w:bookmarkEnd w:id="263"/>
      <w:r>
        <w:rPr>
          <w:b w:val="0"/>
          <w:bCs w:val="0"/>
        </w:rPr>
      </w:r>
      <w:r>
        <w:rPr>
          <w:rFonts w:ascii="Times New Roman" w:hAnsi="Times New Roman" w:cs="Times New Roman" w:eastAsia="Times New Roman" w:hint="default"/>
        </w:rPr>
        <w:t>44</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3,139,787,560.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-24,305,185.00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-24,305,185.00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3,115,482,375.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986"/>
        <w:jc w:val="left"/>
      </w:pPr>
      <w:r>
        <w:rPr/>
        <w:t>其他说明：</w:t>
      </w:r>
    </w:p>
    <w:p>
      <w:pPr>
        <w:pStyle w:val="BodyText"/>
        <w:spacing w:line="300" w:lineRule="auto" w:before="115"/>
        <w:ind w:right="1121" w:firstLine="419"/>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日，深圳市至高通信技术发展有限公司因未完成业绩承诺，公司以人民币</w:t>
      </w:r>
      <w:r>
        <w:rPr>
          <w:rFonts w:ascii="Times New Roman" w:hAnsi="Times New Roman" w:cs="Times New Roman" w:eastAsia="Times New Roman" w:hint="default"/>
          <w:spacing w:val="-1"/>
        </w:rPr>
        <w:t>1</w:t>
      </w:r>
      <w:r>
        <w:rPr>
          <w:spacing w:val="-1"/>
        </w:rPr>
        <w:t>元回购并注销章云芳等</w:t>
      </w:r>
      <w:r>
        <w:rPr>
          <w:rFonts w:ascii="Times New Roman" w:hAnsi="Times New Roman" w:cs="Times New Roman" w:eastAsia="Times New Roman" w:hint="default"/>
          <w:spacing w:val="-1"/>
        </w:rPr>
        <w:t>4</w:t>
      </w:r>
      <w:r>
        <w:rPr>
          <w:spacing w:val="-1"/>
        </w:rPr>
        <w:t>人应补</w:t>
      </w:r>
      <w:r>
        <w:rPr/>
        <w:t> 偿的股份数量</w:t>
      </w:r>
      <w:r>
        <w:rPr>
          <w:rFonts w:ascii="Times New Roman" w:hAnsi="Times New Roman" w:cs="Times New Roman" w:eastAsia="Times New Roman" w:hint="default"/>
        </w:rPr>
        <w:t>24,305,185</w:t>
      </w:r>
      <w:r>
        <w:rPr/>
        <w:t>股，公司的股本变更为人民币</w:t>
      </w:r>
      <w:r>
        <w:rPr>
          <w:rFonts w:ascii="Times New Roman" w:hAnsi="Times New Roman" w:cs="Times New Roman" w:eastAsia="Times New Roman" w:hint="default"/>
        </w:rPr>
        <w:t>3,115,482,375</w:t>
      </w:r>
      <w:r>
        <w:rPr/>
        <w:t>股。</w:t>
      </w:r>
    </w:p>
    <w:p>
      <w:pPr>
        <w:spacing w:line="240" w:lineRule="auto" w:before="2"/>
        <w:rPr>
          <w:rFonts w:ascii="宋体" w:hAnsi="宋体" w:cs="宋体" w:eastAsia="宋体" w:hint="default"/>
          <w:sz w:val="22"/>
          <w:szCs w:val="22"/>
        </w:rPr>
      </w:pPr>
    </w:p>
    <w:p>
      <w:pPr>
        <w:pStyle w:val="Heading4"/>
        <w:spacing w:line="240" w:lineRule="auto"/>
        <w:ind w:right="986"/>
        <w:jc w:val="left"/>
        <w:rPr>
          <w:b w:val="0"/>
          <w:bCs w:val="0"/>
        </w:rPr>
      </w:pPr>
      <w:bookmarkStart w:name="45、其他权益工具" w:id="264"/>
      <w:bookmarkEnd w:id="264"/>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46、资本公积" w:id="265"/>
      <w:bookmarkEnd w:id="265"/>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2,338,632,107.57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188,408,241.03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2,150,223,866.54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3,958,790.32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3,958,790.32</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2,342,590,897.89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188,408,241.03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2,154,182,656.86</w:t>
            </w:r>
          </w:p>
        </w:tc>
      </w:tr>
    </w:tbl>
    <w:p>
      <w:pPr>
        <w:pStyle w:val="BodyText"/>
        <w:spacing w:line="240" w:lineRule="auto" w:before="51"/>
        <w:ind w:right="986"/>
        <w:jc w:val="left"/>
      </w:pPr>
      <w:r>
        <w:rPr/>
        <w:t>其他说明，包括本期增减变动情况、变动原因说明：</w:t>
      </w:r>
    </w:p>
    <w:p>
      <w:pPr>
        <w:pStyle w:val="BodyText"/>
        <w:spacing w:line="300" w:lineRule="auto" w:before="115"/>
        <w:ind w:right="986" w:firstLine="288"/>
        <w:jc w:val="left"/>
      </w:pPr>
      <w:r>
        <w:rPr>
          <w:spacing w:val="-2"/>
        </w:rPr>
        <w:t>资本公积</w:t>
      </w:r>
      <w:r>
        <w:rPr>
          <w:rFonts w:ascii="Times New Roman" w:hAnsi="Times New Roman" w:cs="Times New Roman" w:eastAsia="Times New Roman" w:hint="default"/>
          <w:spacing w:val="-2"/>
        </w:rPr>
        <w:t>-</w:t>
      </w:r>
      <w:r>
        <w:rPr>
          <w:spacing w:val="-2"/>
        </w:rPr>
        <w:t>股本溢价减少的原因：因子公司少数股东减资，本公司持股比例变动，导致本公司应享子公司净资产份额的变</w:t>
      </w:r>
      <w:r>
        <w:rPr/>
        <w:t> 动冲减资本公积</w:t>
      </w:r>
      <w:r>
        <w:rPr>
          <w:rFonts w:ascii="Times New Roman" w:hAnsi="Times New Roman" w:cs="Times New Roman" w:eastAsia="Times New Roman" w:hint="default"/>
        </w:rPr>
        <w:t>1,744,420.23</w:t>
      </w:r>
      <w:r>
        <w:rPr/>
        <w:t>元；公司以人民币</w:t>
      </w:r>
      <w:r>
        <w:rPr>
          <w:rFonts w:ascii="Times New Roman" w:hAnsi="Times New Roman" w:cs="Times New Roman" w:eastAsia="Times New Roman" w:hint="default"/>
        </w:rPr>
        <w:t>1</w:t>
      </w:r>
      <w:r>
        <w:rPr/>
        <w:t>元回购注销股份，导致资本公积减少</w:t>
      </w:r>
      <w:r>
        <w:rPr>
          <w:rFonts w:ascii="Times New Roman" w:hAnsi="Times New Roman" w:cs="Times New Roman" w:eastAsia="Times New Roman" w:hint="default"/>
        </w:rPr>
        <w:t>186,663,820.80</w:t>
      </w:r>
      <w:r>
        <w:rPr/>
        <w:t>元。</w:t>
      </w:r>
    </w:p>
    <w:p>
      <w:pPr>
        <w:spacing w:line="240" w:lineRule="auto" w:before="2"/>
        <w:rPr>
          <w:rFonts w:ascii="宋体" w:hAnsi="宋体" w:cs="宋体" w:eastAsia="宋体" w:hint="default"/>
          <w:sz w:val="22"/>
          <w:szCs w:val="22"/>
        </w:rPr>
      </w:pPr>
    </w:p>
    <w:p>
      <w:pPr>
        <w:pStyle w:val="Heading4"/>
        <w:spacing w:line="240" w:lineRule="auto"/>
        <w:ind w:right="986"/>
        <w:jc w:val="left"/>
        <w:rPr>
          <w:b w:val="0"/>
          <w:bCs w:val="0"/>
        </w:rPr>
      </w:pPr>
      <w:bookmarkStart w:name="47、库存股" w:id="266"/>
      <w:bookmarkEnd w:id="266"/>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48、其他综合收益" w:id="267"/>
      <w:bookmarkEnd w:id="267"/>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10"/>
        <w:gridCol w:w="1068"/>
        <w:gridCol w:w="936"/>
        <w:gridCol w:w="1152"/>
        <w:gridCol w:w="934"/>
        <w:gridCol w:w="936"/>
        <w:gridCol w:w="811"/>
        <w:gridCol w:w="922"/>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10"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3" w:right="36"/>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922"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-2,598.39</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369,883.67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-153.11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370,036.78</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367,438.39</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可供出售金融资产公允价值</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1,378.02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-1,531.13</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-153.11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-1,378.02</w:t>
            </w:r>
            <w:r>
              <w:rPr>
                <w:rFonts w:ascii="Times New Roman"/>
                <w:sz w:val="18"/>
              </w:rPr>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10"/>
        <w:gridCol w:w="1068"/>
        <w:gridCol w:w="936"/>
        <w:gridCol w:w="1152"/>
        <w:gridCol w:w="934"/>
        <w:gridCol w:w="936"/>
        <w:gridCol w:w="811"/>
        <w:gridCol w:w="922"/>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-3,976.41</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371,414.80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371,414.80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367,438.39</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-2,598.39</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369,883.67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-153.11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370,036.78</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367,438.39</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9、专项储备" w:id="268"/>
      <w:bookmarkEnd w:id="268"/>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50、盈余公积" w:id="269"/>
      <w:bookmarkEnd w:id="269"/>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562,504,022.49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60,069,266.90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622,573,289.39</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562,504,022.49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60,069,266.90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622,573,289.39</w:t>
            </w:r>
            <w:r>
              <w:rPr>
                <w:rFonts w:ascii="Times New Roman"/>
                <w:sz w:val="18"/>
              </w:rPr>
            </w:r>
          </w:p>
        </w:tc>
      </w:tr>
    </w:tbl>
    <w:p>
      <w:pPr>
        <w:pStyle w:val="BodyText"/>
        <w:spacing w:line="360" w:lineRule="auto" w:before="51"/>
        <w:ind w:left="572" w:right="986" w:hanging="420"/>
        <w:jc w:val="left"/>
        <w:rPr>
          <w:rFonts w:ascii="Times New Roman" w:hAnsi="Times New Roman" w:cs="Times New Roman" w:eastAsia="Times New Roman" w:hint="default"/>
        </w:rPr>
      </w:pPr>
      <w:r>
        <w:rPr/>
        <w:t>盈余公积说明，包括本期增减变动情况、变动原因说明： 根据公司法、章程的规定，本公司按净利润的</w:t>
      </w:r>
      <w:r>
        <w:rPr>
          <w:rFonts w:ascii="Times New Roman" w:hAnsi="Times New Roman" w:cs="Times New Roman" w:eastAsia="Times New Roman" w:hint="default"/>
        </w:rPr>
        <w:t>10%</w:t>
      </w:r>
      <w:r>
        <w:rPr/>
        <w:t>提取法定盈余公积金。法定盈余公积累计额为本公司注册资本</w:t>
      </w:r>
      <w:r>
        <w:rPr>
          <w:rFonts w:ascii="Times New Roman" w:hAnsi="Times New Roman" w:cs="Times New Roman" w:eastAsia="Times New Roman" w:hint="default"/>
        </w:rPr>
        <w:t>50%</w:t>
      </w:r>
    </w:p>
    <w:p>
      <w:pPr>
        <w:pStyle w:val="BodyText"/>
        <w:spacing w:line="199" w:lineRule="exact"/>
        <w:ind w:right="986"/>
        <w:jc w:val="left"/>
      </w:pPr>
      <w:r>
        <w:rPr/>
        <w:t>以上的，可不再提取。在提取法定盈余公积金后，可提取任意盈余公积金。经批准，任意盈余公积金可用于弥补以前年度亏</w:t>
      </w:r>
    </w:p>
    <w:p>
      <w:pPr>
        <w:pStyle w:val="BodyText"/>
        <w:spacing w:line="240" w:lineRule="auto" w:before="76"/>
        <w:ind w:right="986"/>
        <w:jc w:val="left"/>
      </w:pPr>
      <w:r>
        <w:rPr/>
        <w:t>损或增加股本。</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1、未分配利润" w:id="270"/>
      <w:bookmarkEnd w:id="270"/>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2,849,927,261.22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4,075,573,765.33</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2,849,927,261.22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4,075,573,765.33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806,409,576.38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663,799,645.53</w:t>
            </w:r>
            <w:r>
              <w:rPr>
                <w:rFonts w:ascii="Times New Roman"/>
                <w:sz w:val="18"/>
              </w:rPr>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60,069,266.90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84,068,302.64</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313,843,120.10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1,805,377,847.00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3,282,424,450.60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2,849,927,261.22</w:t>
            </w:r>
          </w:p>
        </w:tc>
      </w:tr>
    </w:tbl>
    <w:p>
      <w:pPr>
        <w:pStyle w:val="BodyText"/>
        <w:spacing w:line="240" w:lineRule="auto" w:before="51"/>
        <w:ind w:right="986"/>
        <w:jc w:val="left"/>
      </w:pPr>
      <w:r>
        <w:rPr/>
        <w:t>调整期初未分配利润明细：</w:t>
      </w:r>
    </w:p>
    <w:p>
      <w:pPr>
        <w:pStyle w:val="BodyText"/>
        <w:spacing w:line="240" w:lineRule="auto" w:before="115"/>
        <w:ind w:right="986"/>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6"/>
        <w:jc w:val="left"/>
      </w:pPr>
      <w:r>
        <w:rPr/>
        <w:t>（</w:t>
      </w:r>
      <w:r>
        <w:rPr>
          <w:rFonts w:ascii="Times New Roman" w:hAnsi="Times New Roman" w:cs="Times New Roman" w:eastAsia="Times New Roman" w:hint="default"/>
        </w:rPr>
        <w:t>2</w:t>
      </w:r>
      <w:r>
        <w:rPr/>
        <w:t>）由于会计政策变更，影响期初未分配利润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86"/>
        <w:jc w:val="left"/>
      </w:pPr>
      <w:r>
        <w:rPr/>
        <w:t>（</w:t>
      </w:r>
      <w:r>
        <w:rPr>
          <w:rFonts w:ascii="Times New Roman" w:hAnsi="Times New Roman" w:cs="Times New Roman" w:eastAsia="Times New Roman" w:hint="default"/>
        </w:rPr>
        <w:t>3</w:t>
      </w:r>
      <w:r>
        <w:rPr/>
        <w:t>）由于重大会计差错更正，影响期初未分配利润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6"/>
        <w:jc w:val="left"/>
      </w:pPr>
      <w:r>
        <w:rPr/>
        <w:t>（</w:t>
      </w:r>
      <w:r>
        <w:rPr>
          <w:rFonts w:ascii="Times New Roman" w:hAnsi="Times New Roman" w:cs="Times New Roman" w:eastAsia="Times New Roman" w:hint="default"/>
        </w:rPr>
        <w:t>4</w:t>
      </w:r>
      <w:r>
        <w:rPr/>
        <w:t>）由于同一控制导致的合并范围变更，影响期初未分配利润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6"/>
        <w:jc w:val="left"/>
      </w:pPr>
      <w:r>
        <w:rPr/>
        <w:t>（</w:t>
      </w: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52、营业收入和营业成本" w:id="271"/>
      <w:bookmarkEnd w:id="271"/>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after="0" w:line="240" w:lineRule="auto"/>
        <w:jc w:val="right"/>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8,455,752,573.90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6,189,405,007.62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7,248,060,639.39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5,088,262,343.28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14,838,510.20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14,030,626.01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42,067,814.03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37,003,111.09</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8,470,591,084.10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6,203,435,633.63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7,290,128,453.42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5,125,265,454.37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3、税金及附加" w:id="272"/>
      <w:bookmarkEnd w:id="272"/>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6,554,024.94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9,369,865.25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2,871,567.11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4,267,032.01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1,605,499.11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1,292,344.88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744,459.70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741,944.45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54,854.83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83,569.77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3,532,067.60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3,037,173.21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1,826,666.82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2,860,686.96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41,542.09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49,430.10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140,691.50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防洪保安费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32,707.12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746.76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1,355.40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17,325,473.28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21,868,912.64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4、销售费用" w:id="273"/>
      <w:bookmarkEnd w:id="273"/>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147,760,446.15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141,472,899.76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47,956,433.58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45,549,301.05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37,463,916.02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35,149,169.69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20,883,880.56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19,254,363.07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118,214.65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198,640.89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6,489,967.20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5,268,717.91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5,934,511.07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6,515,182.76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26,959,591.58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35,658,552.38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293,566,960.81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289,066,827.51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55、管理费用" w:id="274"/>
      <w:bookmarkEnd w:id="274"/>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312,576,684.76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277,283,840.14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30,920,839.46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29,570,455.66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102,048,027.58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117,296,347.23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58,262,567.76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53,909,718.16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6,404,993.86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12,791,607.49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89,317,354.25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66,037,885.51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599,530,467.67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556,889,854.19</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6、研发费用" w:id="275"/>
      <w:bookmarkEnd w:id="275"/>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319,314,521.92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199,681,294.43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48,662,359.05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37,888,654.04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3,329,678.84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3,967,007.10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4,958,246.46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5,842,410.62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16,337,954.89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49,147,008.71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309,300.04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9,317,077.60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2,077,968.32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3,501,185.37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21,938,933.97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34,618,612.54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416,928,963.49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343,963,250.41</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7、财务费用" w:id="276"/>
      <w:bookmarkEnd w:id="276"/>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贷款利息支出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76,870,919.53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38,304,621.35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贴现利息支出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1,563,666.60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4,591,825.10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3,520,309.16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17,764,945.89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5,479,332.50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5,305,336.01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17,324,090.00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81,363.24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176,109.13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238,730.46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16,134,281.80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7,298,131.09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4,354,201.63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98,972,856.49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42,106,099.02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8、资产减值损失" w:id="277"/>
      <w:bookmarkEnd w:id="277"/>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154,936,070.04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129,515,882.76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5,966,314.89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7,298,298.46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9,867,000.00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226,207,198.24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447,591,606.75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387,109,583.17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594,272,787.97</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9、其他收益" w:id="278"/>
      <w:bookmarkEnd w:id="278"/>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34,058,465.11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18,965,980.21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48,384,573.67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45,562,456.09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538,480.41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723,019.73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82,981,519.19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65,251,456.03</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0、投资收益" w:id="279"/>
      <w:bookmarkEnd w:id="279"/>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-21,705,793.05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1,039,974.01</w:t>
            </w:r>
            <w:r>
              <w:rPr>
                <w:rFonts w:ascii="Times New Roman"/>
                <w:sz w:val="18"/>
              </w:rPr>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6,224,078.73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16,008,834.95</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-17,947.40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359,319,234.85</w:t>
            </w:r>
            <w:r>
              <w:rPr>
                <w:rFonts w:ascii="Times New Roman"/>
                <w:sz w:val="18"/>
              </w:rPr>
            </w:r>
          </w:p>
        </w:tc>
      </w:tr>
      <w:tr>
        <w:trPr>
          <w:trHeight w:val="71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-685,393.26</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-15,499,661.72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375,682,650.55</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1、公允价值变动收益" w:id="280"/>
      <w:bookmarkEnd w:id="280"/>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62、资产处置收益" w:id="281"/>
      <w:bookmarkEnd w:id="281"/>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建工程、生产性生物资产及无形资产而 产生的处置利得或损失小计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-417,255.11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1,834,981.83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-417,255.11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1,608,311.89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无形资产处置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226,669.94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-417,255.11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1,834,981.83</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3、营业外收入" w:id="282"/>
      <w:bookmarkEnd w:id="282"/>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7,001.46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50,890.75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7,001.46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3,201,299.39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13,550,562.00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3,201,299.39</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227,259.37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207,412.82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227,259.37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业绩补偿收入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304,660,116.25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304,660,116.25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308,095,676.47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13,808,865.57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308,095,676.47</w:t>
            </w:r>
            <w:r>
              <w:rPr>
                <w:rFonts w:ascii="Times New Roman"/>
                <w:sz w:val="18"/>
              </w:rPr>
            </w:r>
          </w:p>
        </w:tc>
      </w:tr>
    </w:tbl>
    <w:p>
      <w:pPr>
        <w:pStyle w:val="BodyText"/>
        <w:spacing w:line="240" w:lineRule="auto" w:before="51"/>
        <w:ind w:right="986"/>
        <w:jc w:val="left"/>
      </w:pPr>
      <w:r>
        <w:rPr/>
        <w:t>计入当期损益的政府补助：</w:t>
      </w:r>
    </w:p>
    <w:p>
      <w:pPr>
        <w:pStyle w:val="BodyText"/>
        <w:spacing w:line="240" w:lineRule="auto" w:before="11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852"/>
        <w:gridCol w:w="566"/>
        <w:gridCol w:w="1133"/>
        <w:gridCol w:w="1135"/>
        <w:gridCol w:w="850"/>
        <w:gridCol w:w="1274"/>
        <w:gridCol w:w="1418"/>
        <w:gridCol w:w="1063"/>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2" w:right="11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支持技术交易 奖励</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西安瞪羚企业 奖励</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608,000.00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科技进步奖励</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852"/>
        <w:gridCol w:w="566"/>
        <w:gridCol w:w="1133"/>
        <w:gridCol w:w="1135"/>
        <w:gridCol w:w="850"/>
        <w:gridCol w:w="1274"/>
        <w:gridCol w:w="1418"/>
        <w:gridCol w:w="1063"/>
      </w:tblGrid>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1"/>
              <w:jc w:val="left"/>
              <w:rPr>
                <w:rFonts w:ascii="宋体" w:hAnsi="宋体" w:cs="宋体" w:eastAsia="宋体" w:hint="default"/>
                <w:sz w:val="18"/>
                <w:szCs w:val="18"/>
              </w:rPr>
            </w:pPr>
            <w:r>
              <w:rPr>
                <w:rFonts w:ascii="宋体" w:hAnsi="宋体" w:cs="宋体" w:eastAsia="宋体" w:hint="default"/>
                <w:sz w:val="18"/>
                <w:szCs w:val="18"/>
              </w:rPr>
              <w:t>高新技术企业 奖励</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653,500.00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1,268,212.00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4" w:right="161"/>
              <w:jc w:val="left"/>
              <w:rPr>
                <w:rFonts w:ascii="宋体" w:hAnsi="宋体" w:cs="宋体" w:eastAsia="宋体" w:hint="default"/>
                <w:sz w:val="18"/>
                <w:szCs w:val="18"/>
              </w:rPr>
            </w:pPr>
            <w:r>
              <w:rPr>
                <w:rFonts w:ascii="宋体" w:hAnsi="宋体" w:cs="宋体" w:eastAsia="宋体" w:hint="default"/>
                <w:sz w:val="18"/>
                <w:szCs w:val="18"/>
              </w:rPr>
              <w:t>产业发展专项 资金补贴</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6"/>
              <w:jc w:val="right"/>
              <w:rPr>
                <w:rFonts w:ascii="Times New Roman" w:hAnsi="Times New Roman" w:cs="Times New Roman" w:eastAsia="Times New Roman" w:hint="default"/>
                <w:sz w:val="18"/>
                <w:szCs w:val="18"/>
              </w:rPr>
            </w:pPr>
            <w:r>
              <w:rPr>
                <w:rFonts w:ascii="Times New Roman"/>
                <w:sz w:val="18"/>
              </w:rPr>
              <w:t>720,900.00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6"/>
              <w:jc w:val="right"/>
              <w:rPr>
                <w:rFonts w:ascii="Times New Roman" w:hAnsi="Times New Roman" w:cs="Times New Roman" w:eastAsia="Times New Roman" w:hint="default"/>
                <w:sz w:val="18"/>
                <w:szCs w:val="18"/>
              </w:rPr>
            </w:pPr>
            <w:r>
              <w:rPr>
                <w:rFonts w:ascii="Times New Roman"/>
                <w:spacing w:val="-1"/>
                <w:sz w:val="18"/>
              </w:rPr>
              <w:t>1,020,000.00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优秀企业奖金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优惠政策补贴</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427,980.09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1,873,000.00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4" w:right="161"/>
              <w:jc w:val="left"/>
              <w:rPr>
                <w:rFonts w:ascii="宋体" w:hAnsi="宋体" w:cs="宋体" w:eastAsia="宋体" w:hint="default"/>
                <w:sz w:val="18"/>
                <w:szCs w:val="18"/>
              </w:rPr>
            </w:pPr>
            <w:r>
              <w:rPr>
                <w:rFonts w:ascii="宋体" w:hAnsi="宋体" w:cs="宋体" w:eastAsia="宋体" w:hint="default"/>
                <w:sz w:val="18"/>
                <w:szCs w:val="18"/>
              </w:rPr>
              <w:t>济宁仙营街道 政府扶持资金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100,919.30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114,750.00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技术创新奖励</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6"/>
              <w:jc w:val="right"/>
              <w:rPr>
                <w:rFonts w:ascii="Times New Roman" w:hAnsi="Times New Roman" w:cs="Times New Roman" w:eastAsia="Times New Roman" w:hint="default"/>
                <w:sz w:val="18"/>
                <w:szCs w:val="18"/>
              </w:rPr>
            </w:pPr>
            <w:r>
              <w:rPr>
                <w:rFonts w:ascii="Times New Roman"/>
                <w:spacing w:val="-1"/>
                <w:sz w:val="18"/>
              </w:rPr>
              <w:t>3,282,000.00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深圳市经济贸 易和信息化委 员会陈微波战 新第五批扶持 款</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852"/>
        <w:gridCol w:w="566"/>
        <w:gridCol w:w="1133"/>
        <w:gridCol w:w="1135"/>
        <w:gridCol w:w="850"/>
        <w:gridCol w:w="1274"/>
        <w:gridCol w:w="1418"/>
        <w:gridCol w:w="1063"/>
      </w:tblGrid>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61"/>
              <w:jc w:val="left"/>
              <w:rPr>
                <w:rFonts w:ascii="宋体" w:hAnsi="宋体" w:cs="宋体" w:eastAsia="宋体" w:hint="default"/>
                <w:sz w:val="18"/>
                <w:szCs w:val="18"/>
              </w:rPr>
            </w:pPr>
            <w:r>
              <w:rPr>
                <w:rFonts w:ascii="宋体" w:hAnsi="宋体" w:cs="宋体" w:eastAsia="宋体" w:hint="default"/>
                <w:sz w:val="18"/>
                <w:szCs w:val="18"/>
              </w:rPr>
              <w:t>工业稳增长奖 励</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3,472,500.00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4" w:right="161"/>
              <w:jc w:val="left"/>
              <w:rPr>
                <w:rFonts w:ascii="宋体" w:hAnsi="宋体" w:cs="宋体" w:eastAsia="宋体" w:hint="default"/>
                <w:sz w:val="18"/>
                <w:szCs w:val="18"/>
              </w:rPr>
            </w:pPr>
            <w:r>
              <w:rPr>
                <w:rFonts w:ascii="宋体" w:hAnsi="宋体" w:cs="宋体" w:eastAsia="宋体" w:hint="default"/>
                <w:sz w:val="18"/>
                <w:szCs w:val="18"/>
              </w:rPr>
              <w:t>国内专利资助 奖励费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6"/>
              <w:jc w:val="right"/>
              <w:rPr>
                <w:rFonts w:ascii="Times New Roman" w:hAnsi="Times New Roman" w:cs="Times New Roman" w:eastAsia="Times New Roman" w:hint="default"/>
                <w:sz w:val="18"/>
                <w:szCs w:val="18"/>
              </w:rPr>
            </w:pPr>
            <w:r>
              <w:rPr>
                <w:rFonts w:ascii="Times New Roman"/>
                <w:sz w:val="18"/>
              </w:rPr>
              <w:t>8,900.00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64、营业外支出" w:id="283"/>
      <w:bookmarkEnd w:id="283"/>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3,059,800.00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78,504.18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5,511,609.99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78,504.18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1,546,176.90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3,652,885.43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1,546,176.90</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1,147,247.62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83,861.56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1,147,247.62</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2,781,928.70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12,308,156.98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2,781,928.70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5、所得税费用" w:id="284"/>
      <w:bookmarkEnd w:id="284"/>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b w:val="0"/>
          <w:bCs w:val="0"/>
        </w:rPr>
      </w:pPr>
      <w:bookmarkStart w:name="1.所得税费用表" w:id="285"/>
      <w:bookmarkEnd w:id="285"/>
      <w:r>
        <w:rPr>
          <w:b w:val="0"/>
          <w:bCs w:val="0"/>
        </w:rPr>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47,571,148.20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113,270,478.11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-19,280,317.23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-17,600,065.45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28,290,830.97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95,670,412.66</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2.会计利润与所得税费用调整过程" w:id="286"/>
      <w:bookmarkEnd w:id="286"/>
      <w:r>
        <w:rPr>
          <w:b w:val="0"/>
          <w:bCs w:val="0"/>
        </w:rPr>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826,099,495.69</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82,609,949.57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-7,692,537.38</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-9,839,911.42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-19,351,840.07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3,325,022.31</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-5,401,810.49</w:t>
            </w:r>
            <w:r>
              <w:rPr>
                <w:rFonts w:ascii="Times New Roman"/>
                <w:sz w:val="18"/>
              </w:rPr>
            </w:r>
          </w:p>
        </w:tc>
      </w:tr>
      <w:tr>
        <w:trPr>
          <w:trHeight w:val="715"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40,703,910.51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技术开发费及残疾人工资加计扣除的影响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-78,682,671.88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计提商誉减值准备的影响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22,620,719.82</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28,290,830.97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6、其他综合收益" w:id="287"/>
      <w:bookmarkEnd w:id="287"/>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详见附注六</w:t>
      </w:r>
      <w:r>
        <w:rPr>
          <w:spacing w:val="-92"/>
        </w:rPr>
        <w:t>、</w:t>
      </w:r>
      <w:r>
        <w:rPr/>
        <w:t>（三十</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7、现金流量表项目" w:id="288"/>
      <w:bookmarkEnd w:id="288"/>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986"/>
        <w:jc w:val="left"/>
        <w:rPr>
          <w:b w:val="0"/>
          <w:bCs w:val="0"/>
        </w:rPr>
      </w:pPr>
      <w:bookmarkStart w:name="1.收到的其他与经营活动有关的现金" w:id="289"/>
      <w:bookmarkEnd w:id="289"/>
      <w:r>
        <w:rPr>
          <w:b w:val="0"/>
          <w:bCs w:val="0"/>
        </w:rPr>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17,764,945.89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5,479,332.50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24,618,154.18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46,605,909.67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144,955,781.28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148,981,498.12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296,447.02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1,124,125.46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收回受限的保证金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112,453,995.21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2,165,750.47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300,089,323.58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204,356,616.22</w:t>
            </w:r>
            <w:r>
              <w:rPr>
                <w:rFonts w:ascii="Times New Roman"/>
                <w:sz w:val="18"/>
              </w:rPr>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2.支付的其他与经营活动有关的现金" w:id="290"/>
      <w:bookmarkEnd w:id="290"/>
      <w:r>
        <w:rPr>
          <w:b w:val="0"/>
          <w:bCs w:val="0"/>
        </w:rPr>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18,132,133.60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19,188,955.20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144,942,624.90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142,548,258.19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108,715,955.86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75,287,532.75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66,896,660.29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43,603,230.15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7,298,131.09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4,354,201.63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181,350,079.24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351,055,972.62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支付受限的保证金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101,160,613.37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146,782,089.84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3,457,703.19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523,831.67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5" w:right="0"/>
              <w:jc w:val="left"/>
              <w:rPr>
                <w:rFonts w:ascii="Times New Roman" w:hAnsi="Times New Roman" w:cs="Times New Roman" w:eastAsia="Times New Roman" w:hint="default"/>
                <w:sz w:val="18"/>
                <w:szCs w:val="18"/>
              </w:rPr>
            </w:pPr>
            <w:r>
              <w:rPr>
                <w:rFonts w:ascii="Times New Roman"/>
                <w:sz w:val="18"/>
              </w:rPr>
              <w:t>631,953,901.54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783,344,072.05</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3.收到的其他与投资活动有关的现金" w:id="291"/>
      <w:bookmarkEnd w:id="291"/>
      <w:r>
        <w:rPr>
          <w:b w:val="0"/>
          <w:bCs w:val="0"/>
        </w:rPr>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93,480,713.45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子公司取得时点的现金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57,071.55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93,537,785.00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4.支付的其他与投资活动有关的现金" w:id="292"/>
      <w:bookmarkEnd w:id="292"/>
      <w:r>
        <w:rPr>
          <w:b w:val="0"/>
          <w:bCs w:val="0"/>
        </w:rPr>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子公司处置时点的现金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9,923,159.21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628,999.27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9,923,159.21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628,999.27</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5.收到的其他与筹资活动有关的现金" w:id="293"/>
      <w:bookmarkEnd w:id="293"/>
      <w:r>
        <w:rPr>
          <w:b w:val="0"/>
          <w:bCs w:val="0"/>
        </w:rPr>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1,631,990,194.78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695,066,000.00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793,200.00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1,632,783,394.78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695,066,000.00</w:t>
            </w:r>
            <w:r>
              <w:rPr>
                <w:rFonts w:ascii="Times New Roman"/>
                <w:sz w:val="18"/>
              </w:rPr>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6.支付的其他与筹资活动有关的现金" w:id="294"/>
      <w:bookmarkEnd w:id="294"/>
      <w:r>
        <w:rPr>
          <w:b w:val="0"/>
          <w:bCs w:val="0"/>
        </w:rPr>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1,327,190,194.78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314,590,000.00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退回股东减资款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3,250,000.00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用于贷款质押的定期存款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1,630,440,194.78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314,590,000.00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left="134" w:right="8433"/>
        <w:jc w:val="center"/>
        <w:rPr>
          <w:b w:val="0"/>
          <w:bCs w:val="0"/>
        </w:rPr>
      </w:pPr>
      <w:bookmarkStart w:name="68、现金流量表补充资料" w:id="295"/>
      <w:bookmarkEnd w:id="295"/>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134" w:right="8271"/>
        <w:jc w:val="center"/>
        <w:rPr>
          <w:b w:val="0"/>
          <w:bCs w:val="0"/>
        </w:rPr>
      </w:pPr>
      <w:bookmarkStart w:name="1.现金流量表补充资料" w:id="296"/>
      <w:bookmarkEnd w:id="296"/>
      <w:r>
        <w:rPr>
          <w:b w:val="0"/>
          <w:bCs w:val="0"/>
        </w:rPr>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after="0" w:line="240" w:lineRule="auto"/>
        <w:jc w:val="right"/>
        <w:sectPr>
          <w:pgSz w:w="11910" w:h="16840"/>
          <w:pgMar w:header="748" w:footer="977" w:top="1060" w:bottom="1160" w:left="980" w:right="0"/>
        </w:sectPr>
      </w:pPr>
    </w:p>
    <w:p>
      <w:pPr>
        <w:spacing w:line="240" w:lineRule="auto" w:before="4"/>
        <w:rPr>
          <w:rFonts w:ascii="宋体" w:hAnsi="宋体" w:cs="宋体" w:eastAsia="宋体" w:hint="default"/>
          <w:sz w:val="28"/>
          <w:szCs w:val="28"/>
        </w:rPr>
      </w:pPr>
      <w:r>
        <w:rPr/>
        <w:pict>
          <v:shape style="position:absolute;margin-left:190.080002pt;margin-top:324.839996pt;width:185.55pt;height:19.6pt;mso-position-horizontal-relative:page;mso-position-vertical-relative:page;z-index:-94348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080002pt;margin-top:344.879974pt;width:185.55pt;height:19.6pt;mso-position-horizontal-relative:page;mso-position-vertical-relative:page;z-index:-943456"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797,808,664.72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665,294,651.65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387,109,583.17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594,272,787.97</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106,126,263.04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119,600,447.22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71,683,766.89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70,107,294.28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2,391,384.55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2,897,651.64</w:t>
            </w:r>
            <w:r>
              <w:rPr>
                <w:rFonts w:ascii="Times New Roman"/>
                <w:sz w:val="18"/>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417,255.11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-1,834,981.83</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71,502.72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5,460,719.24</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81,462,744.63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38,304,621.35</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15,499,661.72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-375,682,650.55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8"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-17,045,880.82</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-15,365,629.05</w:t>
            </w:r>
          </w:p>
        </w:tc>
      </w:tr>
      <w:tr>
        <w:trPr>
          <w:trHeight w:val="401" w:hRule="exact"/>
        </w:trPr>
        <w:tc>
          <w:tcPr>
            <w:tcW w:w="332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8"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-2,234,436.41</w:t>
            </w:r>
            <w:r>
              <w:rPr>
                <w:rFonts w:ascii="Times New Roman"/>
                <w:sz w:val="18"/>
              </w:rPr>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-37,464,278.15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-991,303,070.60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-682,624,581.87</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-817,563,335.17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-985,511,375.37</w:t>
            </w:r>
            <w:r>
              <w:rPr>
                <w:rFonts w:ascii="Times New Roman"/>
                <w:sz w:val="18"/>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1,022,391,452.60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770,984,884.45</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-305,354,748.51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-761,844.94</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351,460,807.64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167,677,716.04</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1,763,956,347.68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1,599,348,732.26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1,599,348,732.26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1,095,233,313.93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164,607,615.42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504,115,418.33</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2.本期支付的取得子公司的现金净额" w:id="297"/>
      <w:bookmarkEnd w:id="297"/>
      <w:r>
        <w:rPr>
          <w:b w:val="0"/>
          <w:bCs w:val="0"/>
        </w:rPr>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left="513" w:right="986"/>
        <w:jc w:val="left"/>
        <w:rPr>
          <w:b w:val="0"/>
          <w:bCs w:val="0"/>
        </w:rPr>
      </w:pPr>
      <w:bookmarkStart w:name="3.本期收到的处置子公司的现金净额" w:id="298"/>
      <w:bookmarkEnd w:id="298"/>
      <w:r>
        <w:rPr>
          <w:b w:val="0"/>
          <w:bCs w:val="0"/>
        </w:rPr>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right="986"/>
        <w:jc w:val="left"/>
        <w:rPr>
          <w:b w:val="0"/>
          <w:bCs w:val="0"/>
        </w:rPr>
      </w:pPr>
      <w:bookmarkStart w:name="4.现金和现金等价物的构成" w:id="299"/>
      <w:bookmarkEnd w:id="299"/>
      <w:r>
        <w:rPr>
          <w:b w:val="0"/>
          <w:bCs w:val="0"/>
        </w:rPr>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1,763,956,347.68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1,599,348,732.26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513,537.92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1,183,057.39</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1,752,378,202.27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1,558,849,945.64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11,064,607.49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39,315,729.23</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1,763,956,347.68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1,599,348,732.26</w:t>
            </w:r>
          </w:p>
        </w:tc>
      </w:tr>
    </w:tbl>
    <w:p>
      <w:pPr>
        <w:pStyle w:val="BodyText"/>
        <w:spacing w:line="240" w:lineRule="auto" w:before="51"/>
        <w:ind w:right="986"/>
        <w:jc w:val="left"/>
      </w:pPr>
      <w:r>
        <w:rPr/>
        <w:t>其他说明：</w:t>
      </w:r>
    </w:p>
    <w:p>
      <w:pPr>
        <w:spacing w:line="240" w:lineRule="auto" w:before="3"/>
        <w:rPr>
          <w:rFonts w:ascii="宋体" w:hAnsi="宋体" w:cs="宋体" w:eastAsia="宋体" w:hint="default"/>
          <w:sz w:val="15"/>
          <w:szCs w:val="15"/>
        </w:rPr>
      </w:pPr>
    </w:p>
    <w:p>
      <w:pPr>
        <w:pStyle w:val="BodyText"/>
        <w:spacing w:line="314" w:lineRule="auto"/>
        <w:ind w:right="986" w:firstLine="419"/>
        <w:jc w:val="left"/>
      </w:pPr>
      <w:r>
        <w:rPr/>
        <w:t>现金流量表中现金的期初、期末余额以本公司货币资金减去其他货币资金中不可以随时用于支付的银行承兑汇票保证 金、保函保证金等列示：</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635"/>
        <w:gridCol w:w="3658"/>
        <w:gridCol w:w="3276"/>
      </w:tblGrid>
      <w:tr>
        <w:trPr>
          <w:trHeight w:val="365" w:hRule="exact"/>
        </w:trPr>
        <w:tc>
          <w:tcPr>
            <w:tcW w:w="263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7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货币资金余额</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2,086,641,271.60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1,749,004,889.56</w:t>
            </w:r>
          </w:p>
        </w:tc>
      </w:tr>
      <w:tr>
        <w:trPr>
          <w:trHeight w:val="365"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减：保证金</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322,684,923.92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149,656,157.30</w:t>
            </w:r>
            <w:r>
              <w:rPr>
                <w:rFonts w:ascii="Times New Roman"/>
                <w:sz w:val="18"/>
              </w:rPr>
            </w:r>
          </w:p>
        </w:tc>
      </w:tr>
      <w:tr>
        <w:trPr>
          <w:trHeight w:val="35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现金流量中列示的现金</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1,763,956,347.68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1,599,348,732.26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9、所有者权益变动表项目注释" w:id="300"/>
      <w:bookmarkEnd w:id="300"/>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70、所有权或使用权受到限制的资产" w:id="301"/>
      <w:bookmarkEnd w:id="301"/>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322,684,923.92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见本附注六</w:t>
            </w:r>
            <w:r>
              <w:rPr>
                <w:rFonts w:ascii="宋体" w:hAnsi="宋体" w:cs="宋体" w:eastAsia="宋体" w:hint="default"/>
                <w:spacing w:val="-92"/>
                <w:sz w:val="18"/>
                <w:szCs w:val="18"/>
              </w:rPr>
              <w:t>、</w:t>
            </w:r>
            <w:r>
              <w:rPr>
                <w:rFonts w:ascii="宋体" w:hAnsi="宋体" w:cs="宋体" w:eastAsia="宋体" w:hint="default"/>
                <w:sz w:val="18"/>
                <w:szCs w:val="18"/>
              </w:rPr>
              <w:t>（一）</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4,386,435.50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见本附注六</w:t>
            </w:r>
            <w:r>
              <w:rPr>
                <w:rFonts w:ascii="宋体" w:hAnsi="宋体" w:cs="宋体" w:eastAsia="宋体" w:hint="default"/>
                <w:spacing w:val="-92"/>
                <w:sz w:val="18"/>
                <w:szCs w:val="18"/>
              </w:rPr>
              <w:t>、</w:t>
            </w:r>
            <w:r>
              <w:rPr>
                <w:rFonts w:ascii="宋体" w:hAnsi="宋体" w:cs="宋体" w:eastAsia="宋体" w:hint="default"/>
                <w:sz w:val="18"/>
                <w:szCs w:val="18"/>
              </w:rPr>
              <w:t>（十八）</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327,071,359.42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1、外币货币性项目" w:id="302"/>
      <w:bookmarkEnd w:id="302"/>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b w:val="0"/>
          <w:bCs w:val="0"/>
        </w:rPr>
      </w:pPr>
      <w:bookmarkStart w:name="1.外币货币性项目" w:id="303"/>
      <w:bookmarkEnd w:id="303"/>
      <w:r>
        <w:rPr>
          <w:b w:val="0"/>
          <w:bCs w:val="0"/>
        </w:rPr>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22,687,314.80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2,445,857.36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6.8632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16,786,408.23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40,297.55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7.8473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316,226.96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6,373,745.50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0.8762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5,584,675.81</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0.21097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3.80</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2"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720,375.34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104,962.02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720,375.34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2"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6"/>
        <w:jc w:val="left"/>
      </w:pPr>
      <w:r>
        <w:rPr/>
        <w:t>其他说明：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4"/>
        <w:gridCol w:w="2638"/>
        <w:gridCol w:w="1553"/>
        <w:gridCol w:w="2791"/>
      </w:tblGrid>
      <w:tr>
        <w:trPr>
          <w:trHeight w:val="343" w:hRule="exact"/>
        </w:trPr>
        <w:tc>
          <w:tcPr>
            <w:tcW w:w="26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77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5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79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2"/>
              <w:ind w:left="5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4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38"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32,106.05</w:t>
            </w:r>
          </w:p>
        </w:tc>
      </w:tr>
      <w:tr>
        <w:trPr>
          <w:trHeight w:val="343"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4,678.00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6.8632</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32,106.05</w:t>
            </w:r>
          </w:p>
        </w:tc>
      </w:tr>
      <w:tr>
        <w:trPr>
          <w:trHeight w:val="34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38"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113,903.73</w:t>
            </w:r>
          </w:p>
        </w:tc>
      </w:tr>
      <w:tr>
        <w:trPr>
          <w:trHeight w:val="343"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16,596.30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6.8632</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113,903.73</w:t>
            </w:r>
          </w:p>
        </w:tc>
      </w:tr>
      <w:tr>
        <w:trPr>
          <w:trHeight w:val="34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8"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15,505,433.27</w:t>
            </w:r>
          </w:p>
        </w:tc>
      </w:tr>
      <w:tr>
        <w:trPr>
          <w:trHeight w:val="343"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2,259,213.38</w:t>
            </w:r>
            <w:r>
              <w:rPr>
                <w:rFonts w:ascii="Times New Roman"/>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6.8632</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15,505,433.27</w:t>
            </w:r>
          </w:p>
        </w:tc>
      </w:tr>
      <w:tr>
        <w:trPr>
          <w:trHeight w:val="34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38"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710,420.90</w:t>
            </w:r>
          </w:p>
        </w:tc>
      </w:tr>
      <w:tr>
        <w:trPr>
          <w:trHeight w:val="343"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87,830.43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6.8632</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602,797.81</w:t>
            </w:r>
          </w:p>
        </w:tc>
      </w:tr>
      <w:tr>
        <w:trPr>
          <w:trHeight w:val="343"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122,829.37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0.8762</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107,623.09</w:t>
            </w:r>
          </w:p>
        </w:tc>
      </w:tr>
    </w:tbl>
    <w:p>
      <w:pPr>
        <w:spacing w:line="240" w:lineRule="auto" w:before="7"/>
        <w:rPr>
          <w:rFonts w:ascii="宋体" w:hAnsi="宋体" w:cs="宋体" w:eastAsia="宋体" w:hint="default"/>
          <w:sz w:val="20"/>
          <w:szCs w:val="20"/>
        </w:rPr>
      </w:pPr>
    </w:p>
    <w:p>
      <w:pPr>
        <w:pStyle w:val="Heading5"/>
        <w:spacing w:line="300" w:lineRule="auto" w:before="44"/>
        <w:ind w:left="152" w:right="986" w:firstLine="360"/>
        <w:jc w:val="left"/>
        <w:rPr>
          <w:b w:val="0"/>
          <w:bCs w:val="0"/>
        </w:rPr>
      </w:pPr>
      <w:bookmarkStart w:name="2.境外经营实体说明，包括对于重要的境外经营实体，应披露其境外主要经营地、记账本" w:id="304"/>
      <w:bookmarkEnd w:id="304"/>
      <w:r>
        <w:rPr>
          <w:b w:val="0"/>
          <w:bCs w:val="0"/>
        </w:rPr>
      </w:r>
      <w:r>
        <w:rPr>
          <w:rFonts w:ascii="Times New Roman" w:hAnsi="Times New Roman" w:cs="Times New Roman" w:eastAsia="Times New Roman" w:hint="default"/>
          <w:spacing w:val="-1"/>
          <w:w w:val="95"/>
        </w:rPr>
        <w:t>2.</w:t>
      </w:r>
      <w:r>
        <w:rPr>
          <w:spacing w:val="-1"/>
          <w:w w:val="95"/>
        </w:rPr>
        <w:t>境外经营实体说明，包括对于重要的境外经营实体，应披露其境外主要经营地、记账本位币及选择依据，记账本位币</w:t>
      </w:r>
      <w:r>
        <w:rPr>
          <w:spacing w:val="-9"/>
          <w:w w:val="95"/>
        </w:rPr>
        <w:t> </w:t>
      </w:r>
      <w:r>
        <w:rPr>
          <w:spacing w:val="-9"/>
          <w:w w:val="95"/>
        </w:rPr>
      </w:r>
      <w:r>
        <w:rPr/>
        <w:t>发生变化的还应披露原因。</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4807"/>
        <w:gridCol w:w="2782"/>
        <w:gridCol w:w="2100"/>
      </w:tblGrid>
      <w:tr>
        <w:trPr>
          <w:trHeight w:val="338" w:hRule="exact"/>
        </w:trPr>
        <w:tc>
          <w:tcPr>
            <w:tcW w:w="480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子（孙）公司名称</w:t>
            </w:r>
          </w:p>
        </w:tc>
        <w:tc>
          <w:tcPr>
            <w:tcW w:w="27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经营地</w:t>
            </w:r>
          </w:p>
        </w:tc>
        <w:tc>
          <w:tcPr>
            <w:tcW w:w="210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1" w:hRule="exact"/>
        </w:trPr>
        <w:tc>
          <w:tcPr>
            <w:tcW w:w="4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3" w:hRule="exact"/>
        </w:trPr>
        <w:tc>
          <w:tcPr>
            <w:tcW w:w="4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left"/>
              <w:rPr>
                <w:rFonts w:ascii="Times New Roman" w:hAnsi="Times New Roman" w:cs="Times New Roman" w:eastAsia="Times New Roman" w:hint="default"/>
                <w:sz w:val="18"/>
                <w:szCs w:val="18"/>
              </w:rPr>
            </w:pPr>
            <w:r>
              <w:rPr>
                <w:rFonts w:ascii="Times New Roman"/>
                <w:sz w:val="18"/>
              </w:rPr>
              <w:t>Hong Kong Sino Bridge</w:t>
            </w:r>
            <w:r>
              <w:rPr>
                <w:rFonts w:ascii="Times New Roman"/>
                <w:spacing w:val="-14"/>
                <w:sz w:val="18"/>
              </w:rPr>
              <w:t> </w:t>
            </w:r>
            <w:r>
              <w:rPr>
                <w:rFonts w:ascii="Times New Roman"/>
                <w:sz w:val="18"/>
              </w:rPr>
              <w:t>Limited</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3" w:hRule="exact"/>
        </w:trPr>
        <w:tc>
          <w:tcPr>
            <w:tcW w:w="4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SINO BRIDGE AMERICAN</w:t>
            </w:r>
            <w:r>
              <w:rPr>
                <w:rFonts w:ascii="Times New Roman"/>
                <w:spacing w:val="-9"/>
                <w:sz w:val="18"/>
              </w:rPr>
              <w:t> </w:t>
            </w:r>
            <w:r>
              <w:rPr>
                <w:rFonts w:ascii="Times New Roman"/>
                <w:sz w:val="18"/>
              </w:rPr>
              <w:t>LIMITED</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2、套期" w:id="305"/>
      <w:bookmarkEnd w:id="305"/>
      <w:r>
        <w:rPr>
          <w:b w:val="0"/>
          <w:bCs w:val="0"/>
        </w:rPr>
      </w: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73、政府补助" w:id="306"/>
      <w:bookmarkEnd w:id="306"/>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986"/>
        <w:jc w:val="left"/>
        <w:rPr>
          <w:b w:val="0"/>
          <w:bCs w:val="0"/>
        </w:rPr>
      </w:pPr>
      <w:bookmarkStart w:name="1.政府补助基本情况" w:id="307"/>
      <w:bookmarkEnd w:id="307"/>
      <w:r>
        <w:rPr>
          <w:b w:val="0"/>
          <w:bCs w:val="0"/>
        </w:rPr>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支持技术交易奖励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西安瞪羚企业奖励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608,000.00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科技进步奖励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653,500.00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产业发展专项资金补贴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720,900.00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720,900.00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优秀企业奖金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优惠政策补贴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427,980.09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427,980.09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济宁仙营街道政府扶持资金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100,919.30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100,919.30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电力装备智能运维平台关键 技术研究及应用示范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2,603,612.10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2,603,612.10</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基于大数据的健康服务平台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925,240.17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925,240.17</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信息技术服务能力提升</w:t>
            </w:r>
            <w:r>
              <w:rPr>
                <w:rFonts w:ascii="Times New Roman" w:hAnsi="Times New Roman" w:cs="Times New Roman" w:eastAsia="Times New Roman" w:hint="default"/>
                <w:sz w:val="18"/>
                <w:szCs w:val="18"/>
              </w:rPr>
              <w:t>-</w:t>
            </w:r>
            <w:r>
              <w:rPr>
                <w:rFonts w:ascii="宋体" w:hAnsi="宋体" w:cs="宋体" w:eastAsia="宋体" w:hint="default"/>
                <w:sz w:val="18"/>
                <w:szCs w:val="18"/>
              </w:rPr>
              <w:t>银行 安全可靠业务系统研发及应 用示范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3,530,456.12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3,530,456.12</w:t>
            </w:r>
            <w:r>
              <w:rPr>
                <w:rFonts w:ascii="Times New Roman"/>
                <w:sz w:val="18"/>
              </w:rPr>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高清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VR </w:t>
            </w:r>
            <w:r>
              <w:rPr>
                <w:rFonts w:ascii="宋体" w:hAnsi="宋体" w:cs="宋体" w:eastAsia="宋体" w:hint="default"/>
                <w:sz w:val="18"/>
                <w:szCs w:val="18"/>
              </w:rPr>
              <w:t>摄像机及关键技 术研发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未来产业发展专项资金（军民 融合项）扶持计划</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82,395.01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82,395.01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专业培训项目资助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202,500.00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工业增长奖励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系列移动金融一体机设计及 成果转化项目资助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2,090,000.00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2,090,000.00</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企业发展资金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73,950.00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73,950.00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年度电子信息产业发展 基金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138,181.13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138,181.13</w:t>
            </w: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基于传感网和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技术的农 产品质量追溯系统研发及产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109,401.71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109,401.71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云计算流量分析控制北京市 工程实验室创新能力建设项 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183,666.67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183,666.67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新一代互联网上网行为管理 系统产业化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794,415.95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794,415.95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中小商业银行一体化云服务 平台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1,902,000.00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1,902,000.00</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高速流量控制系统产业化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39,886.04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39,886.04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工信部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电子发展基金款</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ITSS)</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375,398.86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375,398.86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海淀联合重大攻关项目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基于医学知识库电子病历系 统研发及临床应用（</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 电子病历）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51,860.00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51,860.00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863 </w:t>
            </w:r>
            <w:r>
              <w:rPr>
                <w:rFonts w:ascii="宋体" w:hAnsi="宋体" w:cs="宋体" w:eastAsia="宋体" w:hint="default"/>
                <w:sz w:val="18"/>
                <w:szCs w:val="18"/>
              </w:rPr>
              <w:t>计划数字化医疗医院流程 研究及应用示范（</w:t>
            </w:r>
            <w:r>
              <w:rPr>
                <w:rFonts w:ascii="Times New Roman" w:hAnsi="Times New Roman" w:cs="Times New Roman" w:eastAsia="Times New Roman" w:hint="default"/>
                <w:sz w:val="18"/>
                <w:szCs w:val="18"/>
              </w:rPr>
              <w:t>862 </w:t>
            </w:r>
            <w:r>
              <w:rPr>
                <w:rFonts w:ascii="宋体" w:hAnsi="宋体" w:cs="宋体" w:eastAsia="宋体" w:hint="default"/>
                <w:sz w:val="18"/>
                <w:szCs w:val="18"/>
              </w:rPr>
              <w:t>计划协 和医院）</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87,580.00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87,580.00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年核高基国家科技重大 专项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186,340.00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186,340.00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数字化医疗区域协同应用示 范（</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计划华西）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34,871.80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34,871.80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超大规模数据智能分析平台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企业房租补贴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新华舆情网络预警系统及配 套智能移动终端产业化项目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-1,181,584.89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-1,181,584.89</w:t>
            </w:r>
            <w:r>
              <w:rPr>
                <w:rFonts w:ascii="Times New Roman"/>
                <w:sz w:val="18"/>
              </w:rPr>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自主标准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900M </w:t>
            </w:r>
            <w:r>
              <w:rPr>
                <w:rFonts w:ascii="宋体" w:hAnsi="宋体" w:cs="宋体" w:eastAsia="宋体" w:hint="default"/>
                <w:sz w:val="18"/>
                <w:szCs w:val="18"/>
              </w:rPr>
              <w:t>高频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FRID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物 联网智能终端及关键技术研 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49,999.99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49,999.99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手持移动终端</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577,777.79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577,777.79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95,616.66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95,616.66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研发补助资金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3,479,900.00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3,479,900.00</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37,259,764.50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37,259,764.50</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2.政府补助退回情况" w:id="308"/>
      <w:bookmarkEnd w:id="308"/>
      <w:r>
        <w:rPr>
          <w:b w:val="0"/>
          <w:bCs w:val="0"/>
        </w:rPr>
      </w:r>
      <w:r>
        <w:rPr>
          <w:rFonts w:ascii="Times New Roman" w:hAnsi="Times New Roman" w:cs="Times New Roman" w:eastAsia="Times New Roman" w:hint="default"/>
        </w:rPr>
        <w:t>2.</w:t>
      </w:r>
      <w:r>
        <w:rPr/>
        <w:t>政府补助退回情况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spacing w:line="487" w:lineRule="auto" w:before="36"/>
        <w:ind w:left="152" w:right="8330" w:firstLine="0"/>
        <w:jc w:val="left"/>
        <w:rPr>
          <w:rFonts w:ascii="宋体" w:hAnsi="宋体" w:cs="宋体" w:eastAsia="宋体" w:hint="default"/>
          <w:sz w:val="21"/>
          <w:szCs w:val="21"/>
        </w:rPr>
      </w:pPr>
      <w:bookmarkStart w:name="74、其他" w:id="309"/>
      <w:bookmarkEnd w:id="309"/>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10"/>
      <w:bookmarkEnd w:id="310"/>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11"/>
      <w:bookmarkEnd w:id="3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109"/>
        <w:ind w:left="512" w:right="986"/>
        <w:jc w:val="left"/>
      </w:pPr>
      <w:bookmarkStart w:name="（1）本期发生的非同一控制下企业合并" w:id="312"/>
      <w:bookmarkEnd w:id="312"/>
      <w:r>
        <w:rPr/>
      </w:r>
      <w:r>
        <w:rPr/>
        <w:t>（</w:t>
      </w:r>
      <w:r>
        <w:rPr>
          <w:rFonts w:ascii="Times New Roman" w:hAnsi="Times New Roman" w:cs="Times New Roman" w:eastAsia="Times New Roman" w:hint="default"/>
        </w:rPr>
        <w:t>1</w:t>
      </w:r>
      <w:r>
        <w:rPr/>
        <w:t>）本期发生的非同一控制下企业合并</w:t>
      </w:r>
    </w:p>
    <w:p>
      <w:pPr>
        <w:spacing w:line="240" w:lineRule="auto" w:before="2"/>
        <w:rPr>
          <w:rFonts w:ascii="宋体" w:hAnsi="宋体" w:cs="宋体" w:eastAsia="宋体" w:hint="default"/>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微掌文科技</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12"/>
                <w:sz w:val="18"/>
                <w:szCs w:val="18"/>
              </w:rPr>
              <w:t>（北京）有限</w:t>
            </w:r>
            <w:r>
              <w:rPr>
                <w:rFonts w:ascii="宋体" w:hAnsi="宋体" w:cs="宋体" w:eastAsia="宋体" w:hint="default"/>
                <w:sz w:val="18"/>
                <w:szCs w:val="18"/>
              </w:rPr>
              <w:t>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增资及支付 转让款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-505,191.74</w:t>
            </w:r>
          </w:p>
        </w:tc>
      </w:tr>
    </w:tbl>
    <w:p>
      <w:pPr>
        <w:spacing w:line="240" w:lineRule="auto" w:before="11"/>
        <w:rPr>
          <w:rFonts w:ascii="宋体" w:hAnsi="宋体" w:cs="宋体" w:eastAsia="宋体" w:hint="default"/>
          <w:sz w:val="18"/>
          <w:szCs w:val="18"/>
        </w:rPr>
      </w:pPr>
    </w:p>
    <w:p>
      <w:pPr>
        <w:pStyle w:val="BodyText"/>
        <w:spacing w:line="240" w:lineRule="auto" w:before="44"/>
        <w:ind w:left="512" w:right="986"/>
        <w:jc w:val="left"/>
      </w:pPr>
      <w:bookmarkStart w:name="（2）合并成本及商誉" w:id="313"/>
      <w:bookmarkEnd w:id="313"/>
      <w:r>
        <w:rPr/>
      </w:r>
      <w:r>
        <w:rPr/>
        <w:t>（</w:t>
      </w:r>
      <w:r>
        <w:rPr>
          <w:rFonts w:ascii="Times New Roman" w:hAnsi="Times New Roman" w:cs="Times New Roman" w:eastAsia="Times New Roman" w:hint="default"/>
        </w:rPr>
        <w:t>2</w:t>
      </w:r>
      <w:r>
        <w:rPr/>
        <w:t>）合并成本及商誉</w:t>
      </w:r>
    </w:p>
    <w:p>
      <w:pPr>
        <w:spacing w:line="240" w:lineRule="auto" w:before="9"/>
        <w:rPr>
          <w:rFonts w:ascii="宋体" w:hAnsi="宋体" w:cs="宋体" w:eastAsia="宋体" w:hint="default"/>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2"/>
        <w:gridCol w:w="4466"/>
      </w:tblGrid>
      <w:tr>
        <w:trPr>
          <w:trHeight w:val="401" w:hRule="exact"/>
        </w:trPr>
        <w:tc>
          <w:tcPr>
            <w:tcW w:w="51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6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1058" w:right="0"/>
              <w:jc w:val="left"/>
              <w:rPr>
                <w:rFonts w:ascii="宋体" w:hAnsi="宋体" w:cs="宋体" w:eastAsia="宋体" w:hint="default"/>
                <w:sz w:val="18"/>
                <w:szCs w:val="18"/>
              </w:rPr>
            </w:pPr>
            <w:r>
              <w:rPr>
                <w:rFonts w:ascii="宋体" w:hAnsi="宋体" w:cs="宋体" w:eastAsia="宋体" w:hint="default"/>
                <w:sz w:val="18"/>
                <w:szCs w:val="18"/>
              </w:rPr>
              <w:t>微掌文科技（北京）有限公司</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5,250,000.00</w:t>
            </w:r>
            <w:r>
              <w:rPr>
                <w:rFonts w:ascii="Times New Roman"/>
                <w:sz w:val="18"/>
              </w:rPr>
            </w:r>
          </w:p>
        </w:tc>
      </w:tr>
      <w:tr>
        <w:trPr>
          <w:trHeight w:val="401"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5,250,000.00</w:t>
            </w:r>
            <w:r>
              <w:rPr>
                <w:rFonts w:ascii="Times New Roman"/>
                <w:sz w:val="18"/>
              </w:rPr>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3,642,073.55</w:t>
            </w:r>
            <w:r>
              <w:rPr>
                <w:rFonts w:ascii="Times New Roman"/>
                <w:sz w:val="18"/>
              </w:rPr>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1,607,926.45</w:t>
            </w:r>
            <w:r>
              <w:rPr>
                <w:rFonts w:ascii="Times New Roman"/>
                <w:sz w:val="18"/>
              </w:rPr>
            </w:r>
          </w:p>
        </w:tc>
      </w:tr>
    </w:tbl>
    <w:p>
      <w:pPr>
        <w:spacing w:line="240" w:lineRule="auto" w:before="11"/>
        <w:rPr>
          <w:rFonts w:ascii="宋体" w:hAnsi="宋体" w:cs="宋体" w:eastAsia="宋体" w:hint="default"/>
          <w:sz w:val="18"/>
          <w:szCs w:val="18"/>
        </w:rPr>
      </w:pPr>
    </w:p>
    <w:p>
      <w:pPr>
        <w:pStyle w:val="BodyText"/>
        <w:spacing w:line="240" w:lineRule="auto" w:before="44"/>
        <w:ind w:left="512" w:right="986"/>
        <w:jc w:val="left"/>
      </w:pPr>
      <w:bookmarkStart w:name="（3）被购买方于购买日可辨认资产、负债" w:id="314"/>
      <w:bookmarkEnd w:id="314"/>
      <w:r>
        <w:rPr/>
      </w:r>
      <w:r>
        <w:rPr/>
        <w:t>（</w:t>
      </w:r>
      <w:r>
        <w:rPr>
          <w:rFonts w:ascii="Times New Roman" w:hAnsi="Times New Roman" w:cs="Times New Roman" w:eastAsia="Times New Roman" w:hint="default"/>
        </w:rPr>
        <w:t>3</w:t>
      </w:r>
      <w:r>
        <w:rPr/>
        <w:t>）被购买方于购买日可辨认资产、负债</w:t>
      </w:r>
    </w:p>
    <w:p>
      <w:pPr>
        <w:spacing w:line="240" w:lineRule="auto" w:before="9"/>
        <w:rPr>
          <w:rFonts w:ascii="宋体" w:hAnsi="宋体" w:cs="宋体" w:eastAsia="宋体" w:hint="default"/>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016" w:right="0"/>
              <w:jc w:val="left"/>
              <w:rPr>
                <w:rFonts w:ascii="宋体" w:hAnsi="宋体" w:cs="宋体" w:eastAsia="宋体" w:hint="default"/>
                <w:sz w:val="18"/>
                <w:szCs w:val="18"/>
              </w:rPr>
            </w:pPr>
            <w:r>
              <w:rPr>
                <w:rFonts w:ascii="宋体" w:hAnsi="宋体" w:cs="宋体" w:eastAsia="宋体" w:hint="default"/>
                <w:sz w:val="18"/>
                <w:szCs w:val="18"/>
              </w:rPr>
              <w:t>微掌文科技（北京）有限公司</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5,057,071.55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5,057,071.55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12,970.00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213,943.48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213,943.48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4,856,098.07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4,856,098.07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4,856,098.07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4,856,098.07</w:t>
            </w:r>
            <w:r>
              <w:rPr>
                <w:rFonts w:ascii="Times New Roman"/>
                <w:sz w:val="18"/>
              </w:rPr>
            </w:r>
          </w:p>
        </w:tc>
      </w:tr>
    </w:tbl>
    <w:p>
      <w:pPr>
        <w:pStyle w:val="BodyText"/>
        <w:spacing w:line="360" w:lineRule="auto" w:before="51"/>
        <w:ind w:right="6794"/>
        <w:jc w:val="left"/>
      </w:pPr>
      <w:r>
        <w:rPr/>
        <w:t>可辨认资产、负债公允价值的确定方法： 根据被购买方可辨认资产、负债的公允价值确定。</w:t>
      </w:r>
    </w:p>
    <w:p>
      <w:pPr>
        <w:spacing w:after="0" w:line="360" w:lineRule="auto"/>
        <w:jc w:val="left"/>
        <w:sectPr>
          <w:pgSz w:w="11910" w:h="16840"/>
          <w:pgMar w:header="748" w:footer="977"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2" w:right="986"/>
        <w:jc w:val="left"/>
      </w:pPr>
      <w:bookmarkStart w:name="（4）购买日之前持有的股权按照公允价值重新计量产生的利得或损失" w:id="315"/>
      <w:bookmarkEnd w:id="315"/>
      <w:r>
        <w:rPr/>
      </w:r>
      <w:r>
        <w:rPr/>
        <w:t>（</w:t>
      </w:r>
      <w:r>
        <w:rPr>
          <w:rFonts w:ascii="Times New Roman" w:hAnsi="Times New Roman" w:cs="Times New Roman" w:eastAsia="Times New Roman" w:hint="default"/>
        </w:rPr>
        <w:t>4</w:t>
      </w:r>
      <w:r>
        <w:rPr/>
        <w:t>）购买日之前持有的股权按照公允价值重新计量产生的利得或损失</w:t>
      </w:r>
    </w:p>
    <w:p>
      <w:pPr>
        <w:spacing w:line="240" w:lineRule="auto" w:before="3"/>
        <w:rPr>
          <w:rFonts w:ascii="宋体" w:hAnsi="宋体" w:cs="宋体" w:eastAsia="宋体" w:hint="default"/>
          <w:sz w:val="26"/>
          <w:szCs w:val="26"/>
        </w:rPr>
      </w:pPr>
    </w:p>
    <w:p>
      <w:pPr>
        <w:pStyle w:val="BodyText"/>
        <w:spacing w:line="240" w:lineRule="auto"/>
        <w:ind w:left="604" w:right="986"/>
        <w:jc w:val="left"/>
      </w:pPr>
      <w:r>
        <w:rPr/>
        <w:t>是否存在通过多次交易分步实现企业合并且在报告期内取得控制权的交易</w:t>
      </w:r>
    </w:p>
    <w:p>
      <w:pPr>
        <w:pStyle w:val="BodyText"/>
        <w:spacing w:line="240" w:lineRule="auto" w:before="115"/>
        <w:ind w:left="512"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BodyText"/>
        <w:spacing w:line="571" w:lineRule="auto"/>
        <w:ind w:left="512" w:right="2384"/>
        <w:jc w:val="left"/>
      </w:pPr>
      <w:bookmarkStart w:name="（5）购买日或合并当期期末无法合理确定合并对价或被购买方可辨认资产、负债公允价值" w:id="316"/>
      <w:bookmarkEnd w:id="316"/>
      <w:r>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 无</w:t>
      </w:r>
    </w:p>
    <w:p>
      <w:pPr>
        <w:pStyle w:val="BodyText"/>
        <w:spacing w:line="604" w:lineRule="auto" w:before="106"/>
        <w:ind w:left="512" w:right="9196"/>
        <w:jc w:val="left"/>
      </w:pPr>
      <w:bookmarkStart w:name="（7） 其他说明" w:id="317"/>
      <w:bookmarkEnd w:id="317"/>
      <w:r>
        <w:rPr/>
      </w:r>
      <w:r>
        <w:rPr/>
        <w:t>（</w:t>
      </w:r>
      <w:r>
        <w:rPr>
          <w:rFonts w:ascii="宋体" w:hAnsi="宋体" w:cs="宋体" w:eastAsia="宋体" w:hint="default"/>
        </w:rPr>
        <w:t>7</w:t>
      </w:r>
      <w:r>
        <w:rPr/>
        <w:t>）</w:t>
      </w:r>
      <w:r>
        <w:rPr>
          <w:spacing w:val="-62"/>
        </w:rPr>
        <w:t> </w:t>
      </w:r>
      <w:r>
        <w:rPr/>
        <w:t>其他说明</w:t>
      </w:r>
      <w:r>
        <w:rPr/>
        <w:t> 无</w:t>
      </w:r>
    </w:p>
    <w:p>
      <w:pPr>
        <w:pStyle w:val="Heading4"/>
        <w:spacing w:line="240" w:lineRule="auto" w:before="80"/>
        <w:ind w:right="986"/>
        <w:jc w:val="left"/>
        <w:rPr>
          <w:b w:val="0"/>
          <w:bCs w:val="0"/>
        </w:rPr>
      </w:pPr>
      <w:bookmarkStart w:name="2、同一控制下企业合并" w:id="318"/>
      <w:bookmarkEnd w:id="31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3、反向购买" w:id="319"/>
      <w:bookmarkEnd w:id="31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4、处置子公司" w:id="320"/>
      <w:bookmarkEnd w:id="32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4"/>
            <w:col w:w="210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4"/>
        <w:gridCol w:w="734"/>
        <w:gridCol w:w="734"/>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天津东 华博雅 软件股 份有限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33,037,4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股权置 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控制权 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6,233,00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6"/>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是否存在通过多次交易分步处置对子公司投资且在本期丧失控制权的情形</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5、其他原因的合并范围变动" w:id="321"/>
      <w:bookmarkEnd w:id="32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2" w:right="986" w:hanging="360"/>
        <w:jc w:val="left"/>
      </w:pPr>
      <w:r>
        <w:rPr/>
        <w:t>说明其他原因导致的合并范围变动（如，新设子公司、清算子公司等）及其相关情况： </w:t>
      </w:r>
      <w:r>
        <w:rPr>
          <w:spacing w:val="-2"/>
        </w:rPr>
        <w:t>公司本期投资设立安阳东华软件有限公司、东华智城云计算有限公司、东华至高通信技术有限公司、安徽东华智慧城市</w:t>
      </w:r>
    </w:p>
    <w:p>
      <w:pPr>
        <w:pStyle w:val="BodyText"/>
        <w:spacing w:line="222" w:lineRule="exact"/>
        <w:ind w:right="986"/>
        <w:jc w:val="left"/>
      </w:pPr>
      <w:r>
        <w:rPr/>
        <w:t>信息技术有限责任公司、陕西空港云谷科技有限公司、哈密东华软件有限公司、东华鲁信计计算机技术有限公司、北京银企</w:t>
      </w:r>
    </w:p>
    <w:p>
      <w:pPr>
        <w:pStyle w:val="BodyText"/>
        <w:spacing w:line="240" w:lineRule="auto" w:before="76"/>
        <w:ind w:right="986"/>
        <w:jc w:val="left"/>
      </w:pPr>
      <w:r>
        <w:rPr/>
        <w:t>汇科技有限公司、河南东华大数据科技有限公司等子公司。</w:t>
      </w:r>
    </w:p>
    <w:p>
      <w:pPr>
        <w:spacing w:line="240" w:lineRule="auto" w:before="0"/>
        <w:rPr>
          <w:rFonts w:ascii="宋体" w:hAnsi="宋体" w:cs="宋体" w:eastAsia="宋体" w:hint="default"/>
          <w:sz w:val="18"/>
          <w:szCs w:val="18"/>
        </w:rPr>
      </w:pPr>
    </w:p>
    <w:p>
      <w:pPr>
        <w:spacing w:line="487" w:lineRule="auto" w:before="118"/>
        <w:ind w:left="152" w:right="8104" w:firstLine="0"/>
        <w:jc w:val="left"/>
        <w:rPr>
          <w:rFonts w:ascii="宋体" w:hAnsi="宋体" w:cs="宋体" w:eastAsia="宋体" w:hint="default"/>
          <w:sz w:val="21"/>
          <w:szCs w:val="21"/>
        </w:rPr>
      </w:pPr>
      <w:bookmarkStart w:name="6、其他" w:id="322"/>
      <w:bookmarkEnd w:id="3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323"/>
      <w:bookmarkEnd w:id="323"/>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24"/>
      <w:bookmarkEnd w:id="32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BodyText"/>
        <w:spacing w:line="240" w:lineRule="auto" w:before="107"/>
        <w:ind w:left="512" w:right="986"/>
        <w:jc w:val="left"/>
      </w:pPr>
      <w:bookmarkStart w:name="（1）企业集团的构成" w:id="325"/>
      <w:bookmarkEnd w:id="325"/>
      <w:r>
        <w:rPr/>
      </w:r>
      <w:r>
        <w:rPr/>
        <w:t>（</w:t>
      </w:r>
      <w:r>
        <w:rPr>
          <w:rFonts w:ascii="Times New Roman" w:hAnsi="Times New Roman" w:cs="Times New Roman" w:eastAsia="Times New Roman" w:hint="default"/>
        </w:rPr>
        <w:t>1</w:t>
      </w:r>
      <w:r>
        <w:rPr/>
        <w:t>）企业集团的构成</w:t>
      </w:r>
    </w:p>
    <w:p>
      <w:pPr>
        <w:spacing w:line="240" w:lineRule="auto" w:before="12"/>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695"/>
        <w:gridCol w:w="991"/>
        <w:gridCol w:w="1277"/>
        <w:gridCol w:w="1558"/>
        <w:gridCol w:w="710"/>
        <w:gridCol w:w="708"/>
        <w:gridCol w:w="1632"/>
      </w:tblGrid>
      <w:tr>
        <w:trPr>
          <w:trHeight w:val="403" w:hRule="exact"/>
        </w:trPr>
        <w:tc>
          <w:tcPr>
            <w:tcW w:w="26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695"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1558" w:type="dxa"/>
            <w:vMerge/>
            <w:tcBorders>
              <w:left w:val="single" w:sz="4" w:space="0" w:color="000000"/>
              <w:bottom w:val="single" w:sz="4" w:space="0" w:color="000000"/>
              <w:right w:val="single" w:sz="4" w:space="0" w:color="000000"/>
            </w:tcBorders>
            <w:shd w:val="clear" w:color="auto" w:fill="D4D4D4"/>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32"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南昌市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南昌市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太原市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太原市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95"/>
        <w:gridCol w:w="991"/>
        <w:gridCol w:w="1277"/>
        <w:gridCol w:w="1558"/>
        <w:gridCol w:w="710"/>
        <w:gridCol w:w="708"/>
        <w:gridCol w:w="1632"/>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东华智慧城市股份有限公司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兰州市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兰州市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pacing w:val="8"/>
                <w:sz w:val="18"/>
                <w:szCs w:val="18"/>
              </w:rPr>
              <w:t>风电机组振动监测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诊断系统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盘锦市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盘锦市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75%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苏州市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呼和浩特市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呼和浩特市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海南东华软件有限公司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儋州市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儋州市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威海市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威海市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
              <w:jc w:val="left"/>
              <w:rPr>
                <w:rFonts w:ascii="宋体" w:hAnsi="宋体" w:cs="宋体" w:eastAsia="宋体" w:hint="default"/>
                <w:sz w:val="18"/>
                <w:szCs w:val="18"/>
              </w:rPr>
            </w:pPr>
            <w:r>
              <w:rPr>
                <w:rFonts w:ascii="宋体" w:hAnsi="宋体" w:cs="宋体" w:eastAsia="宋体" w:hint="default"/>
                <w:spacing w:val="8"/>
                <w:sz w:val="18"/>
                <w:szCs w:val="18"/>
              </w:rPr>
              <w:t>北京东华智中能源互联网科技有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
              <w:jc w:val="left"/>
              <w:rPr>
                <w:rFonts w:ascii="宋体" w:hAnsi="宋体" w:cs="宋体" w:eastAsia="宋体" w:hint="default"/>
                <w:sz w:val="18"/>
                <w:szCs w:val="18"/>
              </w:rPr>
            </w:pPr>
            <w:r>
              <w:rPr>
                <w:rFonts w:ascii="宋体" w:hAnsi="宋体" w:cs="宋体" w:eastAsia="宋体" w:hint="default"/>
                <w:spacing w:val="8"/>
                <w:sz w:val="18"/>
                <w:szCs w:val="18"/>
              </w:rPr>
              <w:t>吉林省东华软件信息工程有限公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长春市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长春市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
              <w:jc w:val="left"/>
              <w:rPr>
                <w:rFonts w:ascii="宋体" w:hAnsi="宋体" w:cs="宋体" w:eastAsia="宋体" w:hint="default"/>
                <w:sz w:val="18"/>
                <w:szCs w:val="18"/>
              </w:rPr>
            </w:pPr>
            <w:r>
              <w:rPr>
                <w:rFonts w:ascii="宋体" w:hAnsi="宋体" w:cs="宋体" w:eastAsia="宋体" w:hint="default"/>
                <w:spacing w:val="8"/>
                <w:sz w:val="18"/>
                <w:szCs w:val="18"/>
              </w:rPr>
              <w:t>深圳市至高通信技术发展有限公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42" w:right="89" w:hanging="452"/>
              <w:jc w:val="left"/>
              <w:rPr>
                <w:rFonts w:ascii="宋体" w:hAnsi="宋体" w:cs="宋体" w:eastAsia="宋体" w:hint="default"/>
                <w:sz w:val="18"/>
                <w:szCs w:val="18"/>
              </w:rPr>
            </w:pPr>
            <w:r>
              <w:rPr>
                <w:rFonts w:ascii="宋体" w:hAnsi="宋体" w:cs="宋体" w:eastAsia="宋体" w:hint="default"/>
                <w:sz w:val="18"/>
                <w:szCs w:val="18"/>
              </w:rPr>
              <w:t>非同一控制下的企 业合并</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
              <w:jc w:val="left"/>
              <w:rPr>
                <w:rFonts w:ascii="宋体" w:hAnsi="宋体" w:cs="宋体" w:eastAsia="宋体" w:hint="default"/>
                <w:sz w:val="18"/>
                <w:szCs w:val="18"/>
              </w:rPr>
            </w:pPr>
            <w:r>
              <w:rPr>
                <w:rFonts w:ascii="宋体" w:hAnsi="宋体" w:cs="宋体" w:eastAsia="宋体" w:hint="default"/>
                <w:spacing w:val="8"/>
                <w:sz w:val="18"/>
                <w:szCs w:val="18"/>
              </w:rPr>
              <w:t>贵州东华云数据科技有限责任公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贵阳市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贵阳市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威海市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威海市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河北东华冀通软件有限公司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廊坊市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廊坊市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南京东华科创信息技术有限公司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95"/>
        <w:gridCol w:w="991"/>
        <w:gridCol w:w="1277"/>
        <w:gridCol w:w="1558"/>
        <w:gridCol w:w="710"/>
        <w:gridCol w:w="708"/>
        <w:gridCol w:w="1632"/>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郑州市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三亚东华云信数据服务有限公司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三亚市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85%</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云南东合数据信息技术有限公司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昆明市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昆明市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
              <w:jc w:val="left"/>
              <w:rPr>
                <w:rFonts w:ascii="宋体" w:hAnsi="宋体" w:cs="宋体" w:eastAsia="宋体" w:hint="default"/>
                <w:sz w:val="18"/>
                <w:szCs w:val="18"/>
              </w:rPr>
            </w:pPr>
            <w:r>
              <w:rPr>
                <w:rFonts w:ascii="宋体" w:hAnsi="宋体" w:cs="宋体" w:eastAsia="宋体" w:hint="default"/>
                <w:spacing w:val="8"/>
                <w:sz w:val="18"/>
                <w:szCs w:val="18"/>
              </w:rPr>
              <w:t>广西东华云数据信息技术有限责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南宁市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南宁市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北京国能智研信息科技有限公司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安阳东华软件有限公司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安阳市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安阳市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东华智城云计算有限公司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东华至高通信技术有限公司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深圳市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
              <w:jc w:val="left"/>
              <w:rPr>
                <w:rFonts w:ascii="宋体" w:hAnsi="宋体" w:cs="宋体" w:eastAsia="宋体" w:hint="default"/>
                <w:sz w:val="18"/>
                <w:szCs w:val="18"/>
              </w:rPr>
            </w:pPr>
            <w:r>
              <w:rPr>
                <w:rFonts w:ascii="宋体" w:hAnsi="宋体" w:cs="宋体" w:eastAsia="宋体" w:hint="default"/>
                <w:spacing w:val="8"/>
                <w:sz w:val="18"/>
                <w:szCs w:val="18"/>
              </w:rPr>
              <w:t>安徽东华智慧城市信息技术有限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安庆市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安庆市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陕西空港云谷科技有限公司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陕西省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哈密东华软件有限公司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哈密市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哈密市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85%</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东华鲁信计算机技术有限公司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青岛市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北京银企汇科技有限公司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2"/>
              <w:jc w:val="right"/>
              <w:rPr>
                <w:rFonts w:ascii="宋体" w:hAnsi="宋体" w:cs="宋体" w:eastAsia="宋体" w:hint="default"/>
                <w:sz w:val="18"/>
                <w:szCs w:val="18"/>
              </w:rPr>
            </w:pPr>
            <w:r>
              <w:rPr>
                <w:rFonts w:ascii="宋体" w:hAnsi="宋体" w:cs="宋体" w:eastAsia="宋体" w:hint="default"/>
                <w:sz w:val="18"/>
                <w:szCs w:val="18"/>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河南东华大数据科技有限公司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郑州市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6"/>
        <w:rPr>
          <w:rFonts w:ascii="Times New Roman" w:hAnsi="Times New Roman" w:cs="Times New Roman" w:eastAsia="Times New Roman" w:hint="default"/>
          <w:sz w:val="7"/>
          <w:szCs w:val="7"/>
        </w:rPr>
      </w:pPr>
    </w:p>
    <w:p>
      <w:pPr>
        <w:pStyle w:val="BodyText"/>
        <w:spacing w:line="240" w:lineRule="auto" w:before="44"/>
        <w:ind w:left="572" w:right="986"/>
        <w:jc w:val="left"/>
        <w:rPr>
          <w:rFonts w:ascii="宋体" w:hAnsi="宋体" w:cs="宋体" w:eastAsia="宋体" w:hint="default"/>
        </w:rPr>
      </w:pPr>
      <w:r>
        <w:rPr/>
        <w:t>注：东华软件开发有限公司，本期更名为东华医为科技有限公司。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72" w:right="986"/>
        <w:jc w:val="left"/>
      </w:pPr>
      <w:r>
        <w:rPr/>
        <w:t>（</w:t>
      </w:r>
      <w:r>
        <w:rPr>
          <w:rFonts w:ascii="Times New Roman" w:hAnsi="Times New Roman" w:cs="Times New Roman" w:eastAsia="Times New Roman" w:hint="default"/>
        </w:rPr>
        <w:t>2</w:t>
      </w:r>
      <w:r>
        <w:rPr/>
        <w:t>）重要的非全资子公司</w:t>
      </w:r>
    </w:p>
    <w:p>
      <w:pPr>
        <w:spacing w:line="240" w:lineRule="auto" w:before="13"/>
        <w:rPr>
          <w:rFonts w:ascii="宋体" w:hAnsi="宋体" w:cs="宋体" w:eastAsia="宋体" w:hint="default"/>
          <w:sz w:val="13"/>
          <w:szCs w:val="13"/>
        </w:rPr>
      </w:pPr>
    </w:p>
    <w:p>
      <w:pPr>
        <w:pStyle w:val="BodyText"/>
        <w:spacing w:line="240" w:lineRule="auto"/>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72" w:right="986"/>
        <w:jc w:val="left"/>
      </w:pPr>
      <w:r>
        <w:rPr/>
        <w:t>（</w:t>
      </w:r>
      <w:r>
        <w:rPr>
          <w:rFonts w:ascii="Times New Roman" w:hAnsi="Times New Roman" w:cs="Times New Roman" w:eastAsia="Times New Roman" w:hint="default"/>
        </w:rPr>
        <w:t>3</w:t>
      </w:r>
      <w:r>
        <w:rPr/>
        <w:t>）重要非全资子公司的主要财务信息</w:t>
      </w:r>
    </w:p>
    <w:p>
      <w:pPr>
        <w:spacing w:line="240" w:lineRule="auto" w:before="13"/>
        <w:rPr>
          <w:rFonts w:ascii="宋体" w:hAnsi="宋体" w:cs="宋体" w:eastAsia="宋体" w:hint="default"/>
          <w:sz w:val="13"/>
          <w:szCs w:val="13"/>
        </w:rPr>
      </w:pPr>
    </w:p>
    <w:p>
      <w:pPr>
        <w:pStyle w:val="BodyText"/>
        <w:spacing w:line="240" w:lineRule="auto"/>
        <w:ind w:left="513"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73" w:right="986"/>
        <w:jc w:val="left"/>
      </w:pPr>
      <w:r>
        <w:rPr/>
        <w:t>（</w:t>
      </w:r>
      <w:r>
        <w:rPr>
          <w:rFonts w:ascii="Times New Roman" w:hAnsi="Times New Roman" w:cs="Times New Roman" w:eastAsia="Times New Roman" w:hint="default"/>
        </w:rPr>
        <w:t>4</w:t>
      </w:r>
      <w:r>
        <w:rPr/>
        <w:t>）使用企业集团资产和清偿企业集团债务的重大限制</w:t>
      </w:r>
    </w:p>
    <w:p>
      <w:pPr>
        <w:spacing w:line="240" w:lineRule="auto" w:before="13"/>
        <w:rPr>
          <w:rFonts w:ascii="宋体" w:hAnsi="宋体" w:cs="宋体" w:eastAsia="宋体" w:hint="default"/>
          <w:sz w:val="13"/>
          <w:szCs w:val="13"/>
        </w:rPr>
      </w:pPr>
    </w:p>
    <w:p>
      <w:pPr>
        <w:pStyle w:val="BodyText"/>
        <w:spacing w:line="240" w:lineRule="auto"/>
        <w:ind w:left="513"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592" w:lineRule="auto"/>
        <w:ind w:left="513" w:right="4723"/>
        <w:jc w:val="left"/>
      </w:pPr>
      <w:r>
        <w:rPr/>
        <w:t>（</w:t>
      </w:r>
      <w:r>
        <w:rPr>
          <w:rFonts w:ascii="Times New Roman" w:hAnsi="Times New Roman" w:cs="Times New Roman" w:eastAsia="Times New Roman" w:hint="default"/>
        </w:rPr>
        <w:t>5</w:t>
      </w:r>
      <w:r>
        <w:rPr/>
        <w:t>）向纳入合并财务报表范围的结构化主体提供的财务支持或其他支持 </w:t>
      </w:r>
      <w:bookmarkStart w:name="无" w:id="326"/>
      <w:bookmarkEnd w:id="326"/>
      <w:r>
        <w:rPr/>
        <w:t>无</w:t>
      </w:r>
    </w:p>
    <w:p>
      <w:pPr>
        <w:pStyle w:val="Heading4"/>
        <w:spacing w:line="240" w:lineRule="auto" w:before="86"/>
        <w:ind w:right="986"/>
        <w:jc w:val="left"/>
        <w:rPr>
          <w:b w:val="0"/>
          <w:bCs w:val="0"/>
        </w:rPr>
      </w:pPr>
      <w:bookmarkStart w:name="2、在子公司的所有者权益份额发生变化且仍控制子公司的交易" w:id="327"/>
      <w:bookmarkEnd w:id="32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3、在合营安排或联营企业中的权益" w:id="328"/>
      <w:bookmarkEnd w:id="3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67" w:right="986"/>
        <w:jc w:val="left"/>
      </w:pPr>
      <w:bookmarkStart w:name="（1）重要的合营企业或联营企业" w:id="329"/>
      <w:bookmarkEnd w:id="329"/>
      <w:r>
        <w:rPr/>
      </w:r>
      <w:r>
        <w:rPr>
          <w:sz w:val="21"/>
          <w:szCs w:val="21"/>
        </w:rPr>
        <w:t>（</w:t>
      </w:r>
      <w:r>
        <w:rPr>
          <w:rFonts w:ascii="Times New Roman" w:hAnsi="Times New Roman" w:cs="Times New Roman" w:eastAsia="Times New Roman" w:hint="default"/>
        </w:rPr>
        <w:t>1</w:t>
      </w:r>
      <w:r>
        <w:rPr/>
        <w:t>）重要的合营企业或联营企业</w:t>
      </w:r>
    </w:p>
    <w:p>
      <w:pPr>
        <w:spacing w:line="240" w:lineRule="auto" w:before="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408"/>
        <w:gridCol w:w="1135"/>
        <w:gridCol w:w="850"/>
        <w:gridCol w:w="1418"/>
        <w:gridCol w:w="1558"/>
        <w:gridCol w:w="2190"/>
      </w:tblGrid>
      <w:tr>
        <w:trPr>
          <w:trHeight w:val="401" w:hRule="exact"/>
        </w:trPr>
        <w:tc>
          <w:tcPr>
            <w:tcW w:w="2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对合营企业或联营企业投</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135"/>
        <w:gridCol w:w="850"/>
        <w:gridCol w:w="1418"/>
        <w:gridCol w:w="708"/>
        <w:gridCol w:w="850"/>
        <w:gridCol w:w="2201"/>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资的会计处理方法</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5"/>
              <w:jc w:val="left"/>
              <w:rPr>
                <w:rFonts w:ascii="宋体" w:hAnsi="宋体" w:cs="宋体" w:eastAsia="宋体" w:hint="default"/>
                <w:sz w:val="18"/>
                <w:szCs w:val="18"/>
              </w:rPr>
            </w:pPr>
            <w:r>
              <w:rPr>
                <w:rFonts w:ascii="宋体" w:hAnsi="宋体" w:cs="宋体" w:eastAsia="宋体" w:hint="default"/>
                <w:sz w:val="18"/>
                <w:szCs w:val="18"/>
              </w:rPr>
              <w:t>北京东软慧聚信息技术股份有 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北京市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23.11%</w:t>
            </w:r>
          </w:p>
        </w:tc>
        <w:tc>
          <w:tcPr>
            <w:tcW w:w="85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北京市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986"/>
        <w:jc w:val="left"/>
      </w:pPr>
      <w:r>
        <w:rPr/>
        <w:t>在合营企业或联营企业的持股比例不同于表决权比例的说明：</w:t>
      </w:r>
    </w:p>
    <w:p>
      <w:pPr>
        <w:spacing w:line="240" w:lineRule="auto" w:before="0"/>
        <w:rPr>
          <w:rFonts w:ascii="宋体" w:hAnsi="宋体" w:cs="宋体" w:eastAsia="宋体" w:hint="default"/>
          <w:sz w:val="15"/>
          <w:szCs w:val="15"/>
        </w:rPr>
      </w:pPr>
    </w:p>
    <w:p>
      <w:pPr>
        <w:pStyle w:val="BodyText"/>
        <w:spacing w:line="297" w:lineRule="auto"/>
        <w:ind w:right="986" w:firstLine="419"/>
        <w:jc w:val="left"/>
      </w:pPr>
      <w:r>
        <w:rPr/>
        <w:t>在合营企业或联营企业的持股比例不同于表决权比例的说明：公司对北京中能博泰科技有限公司持股比例</w:t>
      </w:r>
      <w:r>
        <w:rPr>
          <w:rFonts w:ascii="Times New Roman" w:hAnsi="Times New Roman" w:cs="Times New Roman" w:eastAsia="Times New Roman" w:hint="default"/>
        </w:rPr>
        <w:t>51%</w:t>
      </w:r>
      <w:r>
        <w:rPr/>
        <w:t>，在董 事会中的表决权比例</w:t>
      </w:r>
      <w:r>
        <w:rPr>
          <w:rFonts w:ascii="Times New Roman" w:hAnsi="Times New Roman" w:cs="Times New Roman" w:eastAsia="Times New Roman" w:hint="default"/>
        </w:rPr>
        <w:t>42.86%</w:t>
      </w:r>
      <w:r>
        <w:rPr/>
        <w:t>。</w:t>
      </w:r>
    </w:p>
    <w:p>
      <w:pPr>
        <w:spacing w:line="240" w:lineRule="auto" w:before="3"/>
        <w:rPr>
          <w:rFonts w:ascii="宋体" w:hAnsi="宋体" w:cs="宋体" w:eastAsia="宋体" w:hint="default"/>
          <w:sz w:val="24"/>
          <w:szCs w:val="24"/>
        </w:rPr>
      </w:pPr>
    </w:p>
    <w:p>
      <w:pPr>
        <w:pStyle w:val="BodyText"/>
        <w:spacing w:line="240" w:lineRule="auto"/>
        <w:ind w:left="424" w:right="986"/>
        <w:jc w:val="left"/>
      </w:pPr>
      <w:bookmarkStart w:name="（2）重要合营企业的主要财务信息" w:id="330"/>
      <w:bookmarkEnd w:id="330"/>
      <w:r>
        <w:rPr/>
      </w:r>
      <w:r>
        <w:rPr/>
        <w:t>（</w:t>
      </w:r>
      <w:r>
        <w:rPr>
          <w:rFonts w:ascii="Times New Roman" w:hAnsi="Times New Roman" w:cs="Times New Roman" w:eastAsia="Times New Roman" w:hint="default"/>
        </w:rPr>
        <w:t>2</w:t>
      </w:r>
      <w:r>
        <w:rPr/>
        <w:t>）重要合营企业的主要财务信息</w:t>
      </w:r>
    </w:p>
    <w:p>
      <w:pPr>
        <w:spacing w:line="240" w:lineRule="auto" w:before="0"/>
        <w:rPr>
          <w:rFonts w:ascii="宋体" w:hAnsi="宋体" w:cs="宋体" w:eastAsia="宋体" w:hint="default"/>
          <w:sz w:val="18"/>
          <w:szCs w:val="18"/>
        </w:rPr>
      </w:pPr>
    </w:p>
    <w:p>
      <w:pPr>
        <w:pStyle w:val="BodyText"/>
        <w:spacing w:line="240" w:lineRule="auto" w:before="12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BodyText"/>
        <w:spacing w:line="240" w:lineRule="auto" w:before="129"/>
        <w:ind w:left="424" w:right="986"/>
        <w:jc w:val="left"/>
      </w:pPr>
      <w:bookmarkStart w:name="（3）重要联营企业的主要财务信息" w:id="331"/>
      <w:bookmarkEnd w:id="331"/>
      <w:r>
        <w:rPr/>
      </w:r>
      <w:r>
        <w:rPr/>
        <w:t>（</w:t>
      </w:r>
      <w:r>
        <w:rPr>
          <w:rFonts w:ascii="Times New Roman" w:hAnsi="Times New Roman" w:cs="Times New Roman" w:eastAsia="Times New Roman" w:hint="default"/>
        </w:rPr>
        <w:t>3</w:t>
      </w:r>
      <w:r>
        <w:rPr/>
        <w:t>）重要联营企业的主要财务信息</w:t>
      </w:r>
    </w:p>
    <w:p>
      <w:pPr>
        <w:spacing w:line="240" w:lineRule="auto" w:before="0"/>
        <w:rPr>
          <w:rFonts w:ascii="宋体" w:hAnsi="宋体" w:cs="宋体" w:eastAsia="宋体" w:hint="default"/>
          <w:sz w:val="18"/>
          <w:szCs w:val="18"/>
        </w:rPr>
      </w:pPr>
    </w:p>
    <w:p>
      <w:pPr>
        <w:pStyle w:val="BodyText"/>
        <w:spacing w:line="240" w:lineRule="auto" w:before="125"/>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5"/>
        <w:gridCol w:w="3259"/>
        <w:gridCol w:w="2268"/>
        <w:gridCol w:w="1346"/>
      </w:tblGrid>
      <w:tr>
        <w:trPr>
          <w:trHeight w:val="206" w:hRule="exact"/>
        </w:trPr>
        <w:tc>
          <w:tcPr>
            <w:tcW w:w="2695" w:type="dxa"/>
            <w:tcBorders>
              <w:top w:val="single" w:sz="4" w:space="0" w:color="000000"/>
              <w:left w:val="single" w:sz="4" w:space="0" w:color="000000"/>
              <w:bottom w:val="nil" w:sz="6" w:space="0" w:color="auto"/>
              <w:right w:val="single" w:sz="4" w:space="0" w:color="000000"/>
            </w:tcBorders>
            <w:shd w:val="clear" w:color="auto" w:fill="D4D4D4"/>
          </w:tcPr>
          <w:p>
            <w:pPr/>
          </w:p>
        </w:tc>
        <w:tc>
          <w:tcPr>
            <w:tcW w:w="552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346"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97"/>
              <w:ind w:left="398" w:right="101" w:hanging="296"/>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 发生额</w:t>
            </w:r>
          </w:p>
        </w:tc>
      </w:tr>
      <w:tr>
        <w:trPr>
          <w:trHeight w:val="197" w:hRule="exact"/>
        </w:trPr>
        <w:tc>
          <w:tcPr>
            <w:tcW w:w="26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527" w:type="dxa"/>
            <w:gridSpan w:val="2"/>
            <w:vMerge/>
            <w:tcBorders>
              <w:left w:val="single" w:sz="4" w:space="0" w:color="000000"/>
              <w:bottom w:val="single" w:sz="4" w:space="0" w:color="000000"/>
              <w:right w:val="single" w:sz="4" w:space="0" w:color="000000"/>
            </w:tcBorders>
            <w:shd w:val="clear" w:color="auto" w:fill="D4D4D4"/>
          </w:tcPr>
          <w:p>
            <w:pPr/>
          </w:p>
        </w:tc>
        <w:tc>
          <w:tcPr>
            <w:tcW w:w="1346" w:type="dxa"/>
            <w:vMerge/>
            <w:tcBorders>
              <w:left w:val="single" w:sz="4" w:space="0" w:color="000000"/>
              <w:right w:val="single" w:sz="4" w:space="0" w:color="000000"/>
            </w:tcBorders>
            <w:shd w:val="clear" w:color="auto" w:fill="D4D4D4"/>
          </w:tcPr>
          <w:p>
            <w:pPr/>
          </w:p>
        </w:tc>
      </w:tr>
      <w:tr>
        <w:trPr>
          <w:trHeight w:val="194" w:hRule="exact"/>
        </w:trPr>
        <w:tc>
          <w:tcPr>
            <w:tcW w:w="2695" w:type="dxa"/>
            <w:vMerge/>
            <w:tcBorders>
              <w:left w:val="single" w:sz="4" w:space="0" w:color="000000"/>
              <w:bottom w:val="nil" w:sz="6" w:space="0" w:color="auto"/>
              <w:right w:val="single" w:sz="4" w:space="0" w:color="000000"/>
            </w:tcBorders>
            <w:shd w:val="clear" w:color="auto" w:fill="D4D4D4"/>
          </w:tcPr>
          <w:p>
            <w:pPr/>
          </w:p>
        </w:tc>
        <w:tc>
          <w:tcPr>
            <w:tcW w:w="3259"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北京东软慧聚信息技术股份有限公司</w:t>
            </w:r>
          </w:p>
        </w:tc>
        <w:tc>
          <w:tcPr>
            <w:tcW w:w="2268"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346" w:type="dxa"/>
            <w:vMerge/>
            <w:tcBorders>
              <w:left w:val="single" w:sz="4" w:space="0" w:color="000000"/>
              <w:right w:val="single" w:sz="4" w:space="0" w:color="000000"/>
            </w:tcBorders>
            <w:shd w:val="clear" w:color="auto" w:fill="D4D4D4"/>
          </w:tcPr>
          <w:p>
            <w:pPr/>
          </w:p>
        </w:tc>
      </w:tr>
      <w:tr>
        <w:trPr>
          <w:trHeight w:val="206" w:hRule="exact"/>
        </w:trPr>
        <w:tc>
          <w:tcPr>
            <w:tcW w:w="2695" w:type="dxa"/>
            <w:tcBorders>
              <w:top w:val="nil" w:sz="6" w:space="0" w:color="auto"/>
              <w:left w:val="single" w:sz="4" w:space="0" w:color="000000"/>
              <w:bottom w:val="single" w:sz="4" w:space="0" w:color="000000"/>
              <w:right w:val="single" w:sz="4" w:space="0" w:color="000000"/>
            </w:tcBorders>
            <w:shd w:val="clear" w:color="auto" w:fill="D4D4D4"/>
          </w:tcPr>
          <w:p>
            <w:pPr/>
          </w:p>
        </w:tc>
        <w:tc>
          <w:tcPr>
            <w:tcW w:w="3259" w:type="dxa"/>
            <w:vMerge/>
            <w:tcBorders>
              <w:left w:val="single" w:sz="4" w:space="0" w:color="000000"/>
              <w:bottom w:val="single" w:sz="4" w:space="0" w:color="000000"/>
              <w:right w:val="single" w:sz="4" w:space="0" w:color="000000"/>
            </w:tcBorders>
            <w:shd w:val="clear" w:color="auto" w:fill="DADADA"/>
          </w:tcPr>
          <w:p>
            <w:pPr/>
          </w:p>
        </w:tc>
        <w:tc>
          <w:tcPr>
            <w:tcW w:w="2268" w:type="dxa"/>
            <w:vMerge/>
            <w:tcBorders>
              <w:left w:val="single" w:sz="4" w:space="0" w:color="000000"/>
              <w:bottom w:val="single" w:sz="4" w:space="0" w:color="000000"/>
              <w:right w:val="single" w:sz="4" w:space="0" w:color="000000"/>
            </w:tcBorders>
            <w:shd w:val="clear" w:color="auto" w:fill="DADADA"/>
          </w:tcPr>
          <w:p>
            <w:pPr/>
          </w:p>
        </w:tc>
        <w:tc>
          <w:tcPr>
            <w:tcW w:w="134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166,798,934.80</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11,872,728.77</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23,984,526.70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1,230,758.34</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190,783,461.50</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13,103,487.11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130,083,336.06</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3,108,243.59</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106,716.48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130,190,052.54</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3,108,243.59</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60,593,408.96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9,995,243.52</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14,005,196.99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60,298,208.41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8,822,486.92</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22,827,683.91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60,298,208.41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302,960,578.23</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16,736,072.81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-51,932,488.68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-27,443,575.67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-51,932,488.68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-27,443,575.67</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BodyText"/>
        <w:spacing w:line="240" w:lineRule="auto" w:before="44"/>
        <w:ind w:left="424" w:right="986"/>
        <w:jc w:val="left"/>
      </w:pPr>
      <w:bookmarkStart w:name="（4）不重要的合营企业和联营企业的汇总财务信息" w:id="332"/>
      <w:bookmarkEnd w:id="332"/>
      <w:r>
        <w:rPr/>
      </w:r>
      <w:r>
        <w:rPr/>
        <w:t>（</w:t>
      </w:r>
      <w:r>
        <w:rPr>
          <w:rFonts w:ascii="Times New Roman" w:hAnsi="Times New Roman" w:cs="Times New Roman" w:eastAsia="Times New Roman" w:hint="default"/>
        </w:rPr>
        <w:t>4</w:t>
      </w:r>
      <w:r>
        <w:rPr/>
        <w:t>）不重要的合营企业和联营企业的汇总财务信息</w:t>
      </w:r>
    </w:p>
    <w:p>
      <w:pPr>
        <w:spacing w:line="240" w:lineRule="auto" w:before="2"/>
        <w:rPr>
          <w:rFonts w:ascii="宋体" w:hAnsi="宋体" w:cs="宋体" w:eastAsia="宋体" w:hint="default"/>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133,177,066.84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136,481,215.02</w:t>
            </w:r>
            <w:r>
              <w:rPr>
                <w:rFonts w:ascii="Times New Roman"/>
                <w:sz w:val="18"/>
              </w:rPr>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7,832,126.92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1,039,974.01</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7,832,126.92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1,039,974.01</w:t>
            </w:r>
            <w:r>
              <w:rPr>
                <w:rFonts w:ascii="Times New Roman"/>
                <w:sz w:val="18"/>
              </w:rPr>
            </w:r>
          </w:p>
        </w:tc>
      </w:tr>
    </w:tbl>
    <w:p>
      <w:pPr>
        <w:spacing w:line="240" w:lineRule="auto" w:before="7"/>
        <w:rPr>
          <w:rFonts w:ascii="宋体" w:hAnsi="宋体" w:cs="宋体" w:eastAsia="宋体" w:hint="default"/>
          <w:sz w:val="20"/>
          <w:szCs w:val="20"/>
        </w:rPr>
      </w:pPr>
    </w:p>
    <w:p>
      <w:pPr>
        <w:pStyle w:val="BodyText"/>
        <w:spacing w:line="588" w:lineRule="auto" w:before="44"/>
        <w:ind w:left="512" w:right="4813" w:hanging="89"/>
        <w:jc w:val="left"/>
      </w:pPr>
      <w:bookmarkStart w:name="（5）合营企业或联营企业向本公司转移资金的能力存在重大限制的说明" w:id="333"/>
      <w:bookmarkEnd w:id="333"/>
      <w:r>
        <w:rPr/>
      </w:r>
      <w:r>
        <w:rPr/>
        <w:t>（</w:t>
      </w:r>
      <w:r>
        <w:rPr>
          <w:rFonts w:ascii="Times New Roman" w:hAnsi="Times New Roman" w:cs="Times New Roman" w:eastAsia="Times New Roman" w:hint="default"/>
        </w:rPr>
        <w:t>5</w:t>
      </w:r>
      <w:r>
        <w:rPr/>
        <w:t>）合营企业或联营企业向本公司转移资金的能力存在重大限制的说明 无</w:t>
      </w:r>
    </w:p>
    <w:p>
      <w:pPr>
        <w:pStyle w:val="BodyText"/>
        <w:spacing w:line="240" w:lineRule="auto" w:before="117"/>
        <w:ind w:left="424" w:right="986"/>
        <w:jc w:val="left"/>
      </w:pPr>
      <w:bookmarkStart w:name="（6）合营企业或联营企业发生的超额亏损" w:id="334"/>
      <w:bookmarkEnd w:id="334"/>
      <w:r>
        <w:rPr/>
      </w:r>
      <w:r>
        <w:rPr/>
        <w:t>（</w:t>
      </w:r>
      <w:r>
        <w:rPr>
          <w:rFonts w:ascii="Times New Roman" w:hAnsi="Times New Roman" w:cs="Times New Roman" w:eastAsia="Times New Roman" w:hint="default"/>
        </w:rPr>
        <w:t>6</w:t>
      </w:r>
      <w:r>
        <w:rPr/>
        <w:t>）合营企业或联营企业发生的超额亏损</w:t>
      </w:r>
    </w:p>
    <w:p>
      <w:pPr>
        <w:spacing w:line="240" w:lineRule="auto" w:before="0"/>
        <w:rPr>
          <w:rFonts w:ascii="宋体" w:hAnsi="宋体" w:cs="宋体" w:eastAsia="宋体" w:hint="default"/>
          <w:sz w:val="18"/>
          <w:szCs w:val="18"/>
        </w:rPr>
      </w:pPr>
    </w:p>
    <w:p>
      <w:pPr>
        <w:pStyle w:val="BodyText"/>
        <w:spacing w:line="240" w:lineRule="auto" w:before="127"/>
        <w:ind w:left="513"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BodyText"/>
        <w:spacing w:line="240" w:lineRule="auto" w:before="127"/>
        <w:ind w:left="424" w:right="986"/>
        <w:jc w:val="left"/>
      </w:pPr>
      <w:bookmarkStart w:name="（7）与合营企业投资相关的未确认承诺" w:id="335"/>
      <w:bookmarkEnd w:id="335"/>
      <w:r>
        <w:rPr/>
      </w:r>
      <w:r>
        <w:rPr/>
        <w:t>（</w:t>
      </w:r>
      <w:r>
        <w:rPr>
          <w:rFonts w:ascii="Times New Roman" w:hAnsi="Times New Roman" w:cs="Times New Roman" w:eastAsia="Times New Roman" w:hint="default"/>
        </w:rPr>
        <w:t>7</w:t>
      </w:r>
      <w:r>
        <w:rPr/>
        <w:t>）与合营企业投资相关的未确认承诺</w:t>
      </w:r>
    </w:p>
    <w:p>
      <w:pPr>
        <w:spacing w:line="240" w:lineRule="auto" w:before="0"/>
        <w:rPr>
          <w:rFonts w:ascii="宋体" w:hAnsi="宋体" w:cs="宋体" w:eastAsia="宋体" w:hint="default"/>
          <w:sz w:val="18"/>
          <w:szCs w:val="18"/>
        </w:rPr>
      </w:pPr>
    </w:p>
    <w:p>
      <w:pPr>
        <w:pStyle w:val="BodyText"/>
        <w:spacing w:line="240" w:lineRule="auto" w:before="127"/>
        <w:ind w:left="513"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BodyText"/>
        <w:spacing w:line="240" w:lineRule="auto" w:before="129"/>
        <w:ind w:left="424" w:right="986"/>
        <w:jc w:val="left"/>
      </w:pPr>
      <w:bookmarkStart w:name="（8）与合营企业或联营企业投资相关的或有负债" w:id="336"/>
      <w:bookmarkEnd w:id="336"/>
      <w:r>
        <w:rPr/>
      </w:r>
      <w:r>
        <w:rPr/>
        <w:t>（</w:t>
      </w:r>
      <w:r>
        <w:rPr>
          <w:rFonts w:ascii="Times New Roman" w:hAnsi="Times New Roman" w:cs="Times New Roman" w:eastAsia="Times New Roman" w:hint="default"/>
        </w:rPr>
        <w:t>8</w:t>
      </w:r>
      <w:r>
        <w:rPr/>
        <w:t>）与合营企业或联营企业投资相关的或有负债</w:t>
      </w:r>
    </w:p>
    <w:p>
      <w:pPr>
        <w:spacing w:line="240" w:lineRule="auto" w:before="0"/>
        <w:rPr>
          <w:rFonts w:ascii="宋体" w:hAnsi="宋体" w:cs="宋体" w:eastAsia="宋体" w:hint="default"/>
          <w:sz w:val="18"/>
          <w:szCs w:val="18"/>
        </w:rPr>
      </w:pPr>
    </w:p>
    <w:p>
      <w:pPr>
        <w:pStyle w:val="BodyText"/>
        <w:spacing w:line="240" w:lineRule="auto" w:before="127"/>
        <w:ind w:left="513"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6"/>
        <w:jc w:val="left"/>
        <w:rPr>
          <w:b w:val="0"/>
          <w:bCs w:val="0"/>
        </w:rPr>
      </w:pPr>
      <w:bookmarkStart w:name="4、重要的共同经营" w:id="337"/>
      <w:bookmarkEnd w:id="33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5、在未纳入合并财务报表范围的结构化主体中的权益" w:id="338"/>
      <w:bookmarkEnd w:id="33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6、其他" w:id="339"/>
      <w:bookmarkEnd w:id="339"/>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986"/>
        <w:jc w:val="left"/>
        <w:rPr>
          <w:b w:val="0"/>
          <w:bCs w:val="0"/>
        </w:rPr>
      </w:pPr>
      <w:bookmarkStart w:name="十、与金融工具相关的风险" w:id="340"/>
      <w:bookmarkEnd w:id="340"/>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419"/>
        <w:jc w:val="both"/>
      </w:pPr>
      <w:r>
        <w:rPr/>
        <w:t>本公司主要金融工具包括应收款项、应付款项、短期借款等，各项金融工具的详细情况说明见本附注六相关项目。与 </w:t>
      </w:r>
      <w:r>
        <w:rPr>
          <w:spacing w:val="-2"/>
        </w:rPr>
        <w:t>这些金融工具有关的风险，以及本公司为降低这些风险采取的风险管理政策如下所述。本公司管理层对这些风险敞口进行管</w:t>
      </w:r>
      <w:r>
        <w:rPr>
          <w:spacing w:val="-64"/>
        </w:rPr>
        <w:t> </w:t>
      </w:r>
      <w:r>
        <w:rPr>
          <w:spacing w:val="-64"/>
        </w:rPr>
      </w:r>
      <w:r>
        <w:rPr/>
        <w:t>理和监控以确保将上述风险控制在限定的范围之内。</w:t>
      </w:r>
    </w:p>
    <w:p>
      <w:pPr>
        <w:pStyle w:val="BodyText"/>
        <w:spacing w:line="316" w:lineRule="auto" w:before="139"/>
        <w:ind w:right="1130" w:firstLine="419"/>
        <w:jc w:val="both"/>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Heading5"/>
        <w:spacing w:line="240" w:lineRule="auto" w:before="139"/>
        <w:ind w:left="575" w:right="986"/>
        <w:jc w:val="left"/>
        <w:rPr>
          <w:b w:val="0"/>
          <w:bCs w:val="0"/>
        </w:rPr>
      </w:pPr>
      <w:r>
        <w:rPr>
          <w:rFonts w:ascii="Times New Roman" w:hAnsi="Times New Roman" w:cs="Times New Roman" w:eastAsia="Times New Roman" w:hint="default"/>
        </w:rPr>
        <w:t>1</w:t>
      </w:r>
      <w:r>
        <w:rPr/>
        <w:t>、市场风险</w:t>
      </w:r>
      <w:r>
        <w:rPr>
          <w:b w:val="0"/>
          <w:bCs w:val="0"/>
        </w:rPr>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572" w:right="986"/>
        <w:jc w:val="left"/>
      </w:pPr>
      <w:r>
        <w:rPr/>
        <w:t>（</w:t>
      </w:r>
      <w:r>
        <w:rPr>
          <w:rFonts w:ascii="Times New Roman" w:hAnsi="Times New Roman" w:cs="Times New Roman" w:eastAsia="Times New Roman" w:hint="default"/>
        </w:rPr>
        <w:t>1</w:t>
      </w:r>
      <w:r>
        <w:rPr/>
        <w:t>）外汇风险</w:t>
      </w:r>
    </w:p>
    <w:p>
      <w:pPr>
        <w:spacing w:line="240" w:lineRule="auto" w:before="13"/>
        <w:rPr>
          <w:rFonts w:ascii="宋体" w:hAnsi="宋体" w:cs="宋体" w:eastAsia="宋体" w:hint="default"/>
          <w:sz w:val="13"/>
          <w:szCs w:val="13"/>
        </w:rPr>
      </w:pPr>
    </w:p>
    <w:p>
      <w:pPr>
        <w:pStyle w:val="BodyText"/>
        <w:spacing w:line="316" w:lineRule="auto"/>
        <w:ind w:right="986" w:firstLine="419"/>
        <w:jc w:val="left"/>
      </w:pPr>
      <w:r>
        <w:rPr/>
        <w:t>外汇风险，是指金融工具的公允价值或未来现金流量因外汇汇率变动而发生波动的风险。本公司面临的汇率变动的风 险主要与公司外币货币性资产、负债及境外经营实体有关。本公司尽可能将外币收入与外币支出相匹配以降低外汇风险。</w:t>
      </w:r>
    </w:p>
    <w:p>
      <w:pPr>
        <w:pStyle w:val="BodyText"/>
        <w:spacing w:line="240" w:lineRule="auto" w:before="139"/>
        <w:ind w:left="572" w:right="986"/>
        <w:jc w:val="left"/>
      </w:pPr>
      <w:r>
        <w:rPr/>
        <w:t>公司期末外币金融资产和外币金融负债列示见本附注六（五十一）之说明。</w:t>
      </w:r>
    </w:p>
    <w:p>
      <w:pPr>
        <w:pStyle w:val="BodyText"/>
        <w:spacing w:line="420" w:lineRule="atLeast" w:before="25"/>
        <w:ind w:left="572" w:right="986"/>
        <w:jc w:val="left"/>
      </w:pPr>
      <w:r>
        <w:rPr/>
        <w:t>（</w:t>
      </w:r>
      <w:r>
        <w:rPr>
          <w:rFonts w:ascii="Times New Roman" w:hAnsi="Times New Roman" w:cs="Times New Roman" w:eastAsia="Times New Roman" w:hint="default"/>
        </w:rPr>
        <w:t>2</w:t>
      </w:r>
      <w:r>
        <w:rPr/>
        <w:t>）利率风险 利率风险，是指金融工具的公允价值或未来现金流量因市场利率变动而发生波动的风险。本公司面临的利率风险主要</w:t>
      </w:r>
    </w:p>
    <w:p>
      <w:pPr>
        <w:pStyle w:val="BodyText"/>
        <w:spacing w:line="316" w:lineRule="auto" w:before="76"/>
        <w:ind w:right="1130"/>
        <w:jc w:val="both"/>
      </w:pPr>
      <w:r>
        <w:rPr>
          <w:spacing w:val="-2"/>
        </w:rPr>
        <w:t>与公司的浮动利率借款有关。在货币政策稳健偏紧和融资供求关系相对偏紧的条件下，会推动银行贷款利率水平上升，从而</w:t>
      </w:r>
      <w:r>
        <w:rPr>
          <w:spacing w:val="-63"/>
        </w:rPr>
        <w:t> </w:t>
      </w:r>
      <w:r>
        <w:rPr>
          <w:spacing w:val="-63"/>
        </w:rPr>
      </w:r>
      <w:r>
        <w:rPr>
          <w:spacing w:val="-2"/>
        </w:rPr>
        <w:t>增加公司的融资成本。公司通过建立良好的银企关系，对授信额度、授信品种以及授信期限进行合理的设计，保障银行授信</w:t>
      </w:r>
      <w:r>
        <w:rPr>
          <w:spacing w:val="-65"/>
        </w:rPr>
        <w:t> </w:t>
      </w:r>
      <w:r>
        <w:rPr>
          <w:spacing w:val="-65"/>
        </w:rPr>
      </w:r>
      <w:r>
        <w:rPr/>
        <w:t>额度充足，满足公司各类期限融资需求，合理降低利率波动风险。</w:t>
      </w:r>
    </w:p>
    <w:p>
      <w:pPr>
        <w:pStyle w:val="BodyText"/>
        <w:spacing w:line="300" w:lineRule="auto" w:before="139"/>
        <w:ind w:right="1039" w:firstLine="419"/>
        <w:jc w:val="left"/>
      </w:pPr>
      <w:r>
        <w:rPr/>
        <w:t>截至</w:t>
      </w:r>
      <w:r>
        <w:rPr>
          <w:spacing w:val="-25"/>
        </w:rPr>
        <w:t> </w:t>
      </w:r>
      <w:r>
        <w:rPr>
          <w:rFonts w:ascii="Times New Roman" w:hAnsi="Times New Roman" w:cs="Times New Roman" w:eastAsia="Times New Roman" w:hint="default"/>
        </w:rPr>
        <w:t>2018</w:t>
      </w:r>
      <w:r>
        <w:rPr/>
        <w:t>年</w:t>
      </w:r>
      <w:r>
        <w:rPr>
          <w:spacing w:val="-2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25"/>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日，公司短期借款</w:t>
      </w:r>
      <w:r>
        <w:rPr>
          <w:rFonts w:ascii="Times New Roman" w:hAnsi="Times New Roman" w:cs="Times New Roman" w:eastAsia="Times New Roman" w:hint="default"/>
        </w:rPr>
        <w:t>1,845,260,277.48</w:t>
      </w:r>
      <w:r>
        <w:rPr/>
        <w:t>元，在其他变量不变的假设下，利率发生可能的</w:t>
      </w:r>
      <w:r>
        <w:rPr>
          <w:rFonts w:ascii="Times New Roman" w:hAnsi="Times New Roman" w:cs="Times New Roman" w:eastAsia="Times New Roman" w:hint="default"/>
        </w:rPr>
        <w:t>20%</w:t>
      </w:r>
      <w:r>
        <w:rPr/>
        <w:t>变动时， 将不会对公司的营业利润和股东权益产生重大的影响。</w:t>
      </w:r>
    </w:p>
    <w:p>
      <w:pPr>
        <w:pStyle w:val="BodyText"/>
        <w:spacing w:line="432" w:lineRule="exact" w:before="16"/>
        <w:ind w:left="572" w:right="986" w:firstLine="2"/>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信用风险，是指金融工具的一方不履行义务，造成另一方发生财务损失的风险。本公司的信用风险主要与应收款项有</w:t>
      </w:r>
    </w:p>
    <w:p>
      <w:pPr>
        <w:pStyle w:val="BodyText"/>
        <w:spacing w:line="316" w:lineRule="auto" w:before="15"/>
        <w:ind w:right="1130"/>
        <w:jc w:val="both"/>
      </w:pPr>
      <w:r>
        <w:rPr>
          <w:spacing w:val="-2"/>
        </w:rPr>
        <w:t>关。在客户信用考察方面，本公司首先从客户的经营情况、资金来源、与本公司合作的历史记录等方面进行信用考察，选择</w:t>
      </w:r>
      <w:r>
        <w:rPr>
          <w:spacing w:val="-67"/>
        </w:rPr>
        <w:t> </w:t>
      </w:r>
      <w:r>
        <w:rPr>
          <w:spacing w:val="-67"/>
        </w:rPr>
      </w:r>
      <w:r>
        <w:rPr>
          <w:spacing w:val="-2"/>
        </w:rPr>
        <w:t>商业信誉良好、支付能力较高的客户进行业务合作，如各级行政机关及事业单位、大中型国有企业等；其次，在项目实施过</w:t>
      </w:r>
      <w:r>
        <w:rPr>
          <w:spacing w:val="-67"/>
        </w:rPr>
        <w:t> </w:t>
      </w:r>
      <w:r>
        <w:rPr>
          <w:spacing w:val="-67"/>
        </w:rPr>
      </w:r>
      <w:r>
        <w:rPr>
          <w:spacing w:val="-2"/>
        </w:rPr>
        <w:t>程中要求销售人员密切关注客户的经营情况和财务状况并及时反馈信息，以便在客户出现经营恶化、支付能力下降等情况时</w:t>
      </w:r>
      <w:r>
        <w:rPr>
          <w:spacing w:val="-64"/>
        </w:rPr>
        <w:t> </w:t>
      </w:r>
      <w:r>
        <w:rPr>
          <w:spacing w:val="-64"/>
        </w:rPr>
      </w:r>
      <w:r>
        <w:rPr>
          <w:spacing w:val="-2"/>
        </w:rPr>
        <w:t>能及时采取补救措施。在应收账款控制管理方面，本公司在签订销售合同前均由法律部对合同条款进行审查，防止错漏、歧</w:t>
      </w:r>
      <w:r>
        <w:rPr>
          <w:spacing w:val="-64"/>
        </w:rPr>
        <w:t> </w:t>
      </w:r>
      <w:r>
        <w:rPr>
          <w:spacing w:val="-64"/>
        </w:rPr>
      </w:r>
      <w:r>
        <w:rPr>
          <w:spacing w:val="-2"/>
        </w:rPr>
        <w:t>义发生，并在合同签订时根据客户的信用情况具体确定应收账款的信用额度和信用期间，尽量争取对本公司收取账款有利的</w:t>
      </w:r>
      <w:r>
        <w:rPr>
          <w:spacing w:val="-64"/>
        </w:rPr>
        <w:t> </w:t>
      </w:r>
      <w:r>
        <w:rPr>
          <w:spacing w:val="-64"/>
        </w:rPr>
      </w:r>
      <w:r>
        <w:rPr>
          <w:spacing w:val="-2"/>
        </w:rPr>
        <w:t>条款；其次，对于信用期内的应收账款，要求财务部专门人员定期对账并及时抄报销售部和公司有关高管，以督促销售人员</w:t>
      </w:r>
      <w:r>
        <w:rPr>
          <w:spacing w:val="-64"/>
        </w:rPr>
        <w:t> </w:t>
      </w:r>
      <w:r>
        <w:rPr>
          <w:spacing w:val="-64"/>
        </w:rPr>
      </w:r>
      <w:r>
        <w:rPr>
          <w:spacing w:val="-2"/>
        </w:rPr>
        <w:t>及时做好与客户之间的对账、催收工作；第三，对于超过信用期的应收账款，除财务部继续作好对账工作外，由法律部、销</w:t>
      </w:r>
      <w:r>
        <w:rPr>
          <w:spacing w:val="-70"/>
        </w:rPr>
        <w:t> </w:t>
      </w:r>
      <w:r>
        <w:rPr>
          <w:spacing w:val="-70"/>
        </w:rPr>
      </w:r>
      <w:r>
        <w:rPr>
          <w:spacing w:val="-2"/>
        </w:rPr>
        <w:t>售部会同公司有关高管根据客户的具体情况研究确定催收方案；第四，将货款的回笼作为考核相关销售人员的主要指标，奖</w:t>
      </w:r>
      <w:r>
        <w:rPr>
          <w:spacing w:val="-66"/>
        </w:rPr>
        <w:t> </w:t>
      </w:r>
      <w:r>
        <w:rPr>
          <w:spacing w:val="-66"/>
        </w:rPr>
      </w:r>
      <w:r>
        <w:rPr/>
        <w:t>金的提取直接与回款的进度和额度挂钩。</w:t>
      </w:r>
    </w:p>
    <w:p>
      <w:pPr>
        <w:pStyle w:val="BodyText"/>
        <w:spacing w:line="432" w:lineRule="exact" w:before="4"/>
        <w:ind w:left="572" w:right="986"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t>本公司加强资金的预测和监控，同时在</w:t>
      </w:r>
      <w:r>
        <w:rPr>
          <w:rFonts w:ascii="Times New Roman" w:hAnsi="Times New Roman" w:cs="Times New Roman" w:eastAsia="Times New Roman" w:hint="default"/>
        </w:rPr>
        <w:t>10</w:t>
      </w:r>
      <w:r>
        <w:rPr/>
        <w:t>家商业银行取得综合授信，银行信贷信誉良好，融资渠道畅通，未来资金来</w:t>
      </w:r>
    </w:p>
    <w:p>
      <w:pPr>
        <w:pStyle w:val="BodyText"/>
        <w:spacing w:line="300" w:lineRule="auto" w:before="15"/>
        <w:ind w:right="1133"/>
        <w:jc w:val="both"/>
      </w:pPr>
      <w:r>
        <w:rPr>
          <w:spacing w:val="-1"/>
        </w:rPr>
        <w:t>源有充足保证。截止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日，本公司资产负债率</w:t>
      </w:r>
      <w:r>
        <w:rPr>
          <w:rFonts w:ascii="Times New Roman" w:hAnsi="Times New Roman" w:cs="Times New Roman" w:eastAsia="Times New Roman" w:hint="default"/>
          <w:spacing w:val="-1"/>
        </w:rPr>
        <w:t>42.08%</w:t>
      </w:r>
      <w:r>
        <w:rPr>
          <w:spacing w:val="-1"/>
        </w:rPr>
        <w:t>，流动比率</w:t>
      </w:r>
      <w:r>
        <w:rPr>
          <w:rFonts w:ascii="Times New Roman" w:hAnsi="Times New Roman" w:cs="Times New Roman" w:eastAsia="Times New Roman" w:hint="default"/>
          <w:spacing w:val="-1"/>
        </w:rPr>
        <w:t>2.06</w:t>
      </w:r>
      <w:r>
        <w:rPr>
          <w:spacing w:val="-1"/>
        </w:rPr>
        <w:t>，有充足的资金偿还债务，不存在重大流动</w:t>
      </w:r>
      <w:r>
        <w:rPr/>
        <w:t> 性风险。</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bookmarkStart w:name="十一、公允价值的披露" w:id="341"/>
      <w:bookmarkEnd w:id="341"/>
      <w:r>
        <w:rPr>
          <w:b w:val="0"/>
          <w:bCs w:val="0"/>
        </w:rPr>
      </w: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十二、关联方及关联交易" w:id="342"/>
      <w:bookmarkEnd w:id="342"/>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企业的母公司情况" w:id="343"/>
      <w:bookmarkEnd w:id="34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北京东华诚信电脑 科技发展有限公司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3,983.5347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20.41%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20.41%</w:t>
            </w:r>
          </w:p>
        </w:tc>
      </w:tr>
    </w:tbl>
    <w:p>
      <w:pPr>
        <w:pStyle w:val="BodyText"/>
        <w:spacing w:line="240" w:lineRule="auto" w:before="51"/>
        <w:ind w:right="986"/>
        <w:jc w:val="left"/>
      </w:pPr>
      <w:r>
        <w:rPr/>
        <w:t>本企业最终控制方是薛向东先生及其家族。</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2、本企业的子公司情况" w:id="344"/>
      <w:bookmarkEnd w:id="34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t>本企业子公司的情况详见附注八</w:t>
      </w:r>
      <w:r>
        <w:rPr>
          <w:spacing w:val="-92"/>
        </w:rPr>
        <w:t>、</w:t>
      </w:r>
      <w:r>
        <w:rPr/>
        <w:t>（一</w:t>
      </w:r>
      <w:r>
        <w:rPr>
          <w:spacing w:val="-92"/>
        </w:rPr>
        <w:t>）</w:t>
      </w:r>
      <w:r>
        <w:rPr/>
        <w:t>。</w:t>
      </w:r>
    </w:p>
    <w:p>
      <w:pPr>
        <w:spacing w:line="240" w:lineRule="auto" w:before="11"/>
        <w:rPr>
          <w:rFonts w:ascii="宋体" w:hAnsi="宋体" w:cs="宋体" w:eastAsia="宋体" w:hint="default"/>
          <w:sz w:val="26"/>
          <w:szCs w:val="26"/>
        </w:rPr>
      </w:pPr>
    </w:p>
    <w:p>
      <w:pPr>
        <w:pStyle w:val="Heading4"/>
        <w:spacing w:line="240" w:lineRule="auto"/>
        <w:ind w:right="986"/>
        <w:jc w:val="left"/>
        <w:rPr>
          <w:b w:val="0"/>
          <w:bCs w:val="0"/>
        </w:rPr>
      </w:pPr>
      <w:bookmarkStart w:name="3、本企业合营和联营企业情况" w:id="345"/>
      <w:bookmarkEnd w:id="34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294"/>
        <w:jc w:val="left"/>
      </w:pPr>
      <w:r>
        <w:rPr>
          <w:spacing w:val="-8"/>
        </w:rPr>
        <w:t>本企业重要的合营或联营企业详见附注八、（三）。</w:t>
      </w:r>
      <w:r>
        <w:rPr/>
        <w:t>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深圳市贝尔加数据信息有限公司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本公司的联营企业</w:t>
            </w:r>
          </w:p>
        </w:tc>
      </w:tr>
    </w:tbl>
    <w:p>
      <w:pPr>
        <w:spacing w:line="240" w:lineRule="auto" w:before="5"/>
        <w:rPr>
          <w:rFonts w:ascii="宋体" w:hAnsi="宋体" w:cs="宋体" w:eastAsia="宋体" w:hint="default"/>
          <w:sz w:val="20"/>
          <w:szCs w:val="20"/>
        </w:rPr>
      </w:pPr>
    </w:p>
    <w:p>
      <w:pPr>
        <w:pStyle w:val="Heading4"/>
        <w:spacing w:line="240" w:lineRule="auto" w:before="36"/>
        <w:ind w:right="986"/>
        <w:jc w:val="left"/>
        <w:rPr>
          <w:b w:val="0"/>
          <w:bCs w:val="0"/>
        </w:rPr>
      </w:pPr>
      <w:bookmarkStart w:name="4、其他关联方情况" w:id="346"/>
      <w:bookmarkEnd w:id="3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5、关联交易情况" w:id="347"/>
      <w:bookmarkEnd w:id="3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b w:val="0"/>
          <w:bCs w:val="0"/>
        </w:rPr>
      </w:pPr>
      <w:bookmarkStart w:name="1.购销商品、提供和接受劳务的关联交易" w:id="348"/>
      <w:bookmarkEnd w:id="348"/>
      <w:r>
        <w:rPr>
          <w:b w:val="0"/>
          <w:bCs w:val="0"/>
        </w:rPr>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right="98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北京中能博泰科技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16,444,846.40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2.关联受托管理/承包及委托管理/出包情况" w:id="349"/>
      <w:bookmarkEnd w:id="349"/>
      <w:r>
        <w:rPr>
          <w:b w:val="0"/>
          <w:bCs w:val="0"/>
        </w:rPr>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left="513" w:right="986"/>
        <w:jc w:val="left"/>
        <w:rPr>
          <w:b w:val="0"/>
          <w:bCs w:val="0"/>
        </w:rPr>
      </w:pPr>
      <w:bookmarkStart w:name="3.关联租赁情况" w:id="350"/>
      <w:bookmarkEnd w:id="350"/>
      <w:r>
        <w:rPr>
          <w:b w:val="0"/>
          <w:bCs w:val="0"/>
        </w:rPr>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right="986"/>
        <w:jc w:val="left"/>
        <w:rPr>
          <w:b w:val="0"/>
          <w:bCs w:val="0"/>
        </w:rPr>
      </w:pPr>
      <w:bookmarkStart w:name="4.关联担保情况" w:id="351"/>
      <w:bookmarkEnd w:id="351"/>
      <w:r>
        <w:rPr>
          <w:b w:val="0"/>
          <w:bCs w:val="0"/>
        </w:rPr>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right="986"/>
        <w:jc w:val="left"/>
      </w:pPr>
      <w:r>
        <w:rPr/>
        <w:t>本公司作为担保方</w:t>
      </w:r>
    </w:p>
    <w:p>
      <w:pPr>
        <w:pStyle w:val="BodyText"/>
        <w:spacing w:line="240" w:lineRule="auto" w:before="115"/>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1"/>
        <w:gridCol w:w="1277"/>
        <w:gridCol w:w="1915"/>
        <w:gridCol w:w="1913"/>
        <w:gridCol w:w="1915"/>
      </w:tblGrid>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8"/>
        <w:rPr>
          <w:rFonts w:ascii="宋体" w:hAnsi="宋体" w:cs="宋体" w:eastAsia="宋体" w:hint="default"/>
          <w:sz w:val="6"/>
          <w:szCs w:val="6"/>
        </w:rPr>
      </w:pPr>
    </w:p>
    <w:p>
      <w:pPr>
        <w:pStyle w:val="BodyText"/>
        <w:spacing w:line="302" w:lineRule="auto" w:before="44"/>
        <w:ind w:left="153" w:right="1123" w:firstLine="419"/>
        <w:jc w:val="both"/>
      </w:pPr>
      <w:r>
        <w:rPr>
          <w:spacing w:val="3"/>
        </w:rPr>
        <w:t>（</w:t>
      </w:r>
      <w:r>
        <w:rPr>
          <w:rFonts w:ascii="宋体" w:hAnsi="宋体" w:cs="宋体" w:eastAsia="宋体"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06</w:t>
      </w:r>
      <w:r>
        <w:rPr>
          <w:spacing w:val="3"/>
        </w:rPr>
        <w:t>日，公司与中国民生银行股份有限公司北京分行签订的《最高额保证合同》（编号</w:t>
      </w:r>
      <w:r>
        <w:rPr>
          <w:rFonts w:ascii="Times New Roman" w:hAnsi="Times New Roman" w:cs="Times New Roman" w:eastAsia="Times New Roman" w:hint="default"/>
          <w:spacing w:val="3"/>
        </w:rPr>
        <w:t>“</w:t>
      </w:r>
      <w:r>
        <w:rPr>
          <w:spacing w:val="3"/>
        </w:rPr>
        <w:t>公高保字第</w:t>
      </w:r>
      <w:r>
        <w:rPr>
          <w:spacing w:val="4"/>
        </w:rPr>
        <w:t> </w:t>
      </w:r>
      <w:r>
        <w:rPr>
          <w:rFonts w:ascii="Times New Roman" w:hAnsi="Times New Roman" w:cs="Times New Roman" w:eastAsia="Times New Roman" w:hint="default"/>
        </w:rPr>
        <w:t>1700000140028</w:t>
      </w:r>
      <w:r>
        <w:rPr/>
        <w:t>号</w:t>
      </w:r>
      <w:r>
        <w:rPr>
          <w:rFonts w:ascii="Times New Roman" w:hAnsi="Times New Roman" w:cs="Times New Roman" w:eastAsia="Times New Roman" w:hint="default"/>
        </w:rPr>
        <w:t>”</w:t>
      </w:r>
      <w:r>
        <w:rPr/>
        <w:t>），为公司与该行签订的编号为</w:t>
      </w:r>
      <w:r>
        <w:rPr>
          <w:rFonts w:ascii="Times New Roman" w:hAnsi="Times New Roman" w:cs="Times New Roman" w:eastAsia="Times New Roman" w:hint="default"/>
        </w:rPr>
        <w:t>“</w:t>
      </w:r>
      <w:r>
        <w:rPr/>
        <w:t>公授信字第</w:t>
      </w:r>
      <w:r>
        <w:rPr>
          <w:rFonts w:ascii="Times New Roman" w:hAnsi="Times New Roman" w:cs="Times New Roman" w:eastAsia="Times New Roman" w:hint="default"/>
        </w:rPr>
        <w:t>1700000140028</w:t>
      </w:r>
      <w:r>
        <w:rPr/>
        <w:t>号</w:t>
      </w:r>
      <w:r>
        <w:rPr>
          <w:rFonts w:ascii="Times New Roman" w:hAnsi="Times New Roman" w:cs="Times New Roman" w:eastAsia="Times New Roman" w:hint="default"/>
        </w:rPr>
        <w:t>”</w:t>
      </w:r>
      <w:r>
        <w:rPr/>
        <w:t>《综合授信合同》项下公司所属子公司</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spacing w:val="-2"/>
        </w:rPr>
        <w:t>北京东华合创科技有限公司、北京银联通科技有限公司、北京神州新桥科技有限公司、北京威锐达测控系统有限公司在该行</w:t>
      </w:r>
      <w:r>
        <w:rPr>
          <w:spacing w:val="-63"/>
        </w:rPr>
        <w:t> </w:t>
      </w:r>
      <w:r>
        <w:rPr>
          <w:spacing w:val="-63"/>
        </w:rPr>
      </w:r>
      <w:r>
        <w:rPr/>
        <w:t>的全部债务提供最高额保证，保证期限为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05</w:t>
      </w:r>
      <w:r>
        <w:rPr/>
        <w:t>日。北京东华合创科技有限公司最高限额为</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6"/>
        </w:rPr>
        <w:t>万元，截至</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日，北京东华合创科技有限公司在该合同项下未结清的保函金额</w:t>
      </w:r>
      <w:r>
        <w:rPr>
          <w:rFonts w:ascii="Times New Roman" w:hAnsi="Times New Roman" w:cs="Times New Roman" w:eastAsia="Times New Roman" w:hint="default"/>
          <w:spacing w:val="6"/>
        </w:rPr>
        <w:t>8,460,161.58</w:t>
      </w:r>
      <w:r>
        <w:rPr>
          <w:spacing w:val="6"/>
        </w:rPr>
        <w:t>元，信用证金额</w:t>
      </w:r>
      <w:r>
        <w:rPr>
          <w:spacing w:val="-70"/>
        </w:rPr>
        <w:t> </w:t>
      </w:r>
      <w:r>
        <w:rPr>
          <w:spacing w:val="-70"/>
        </w:rPr>
      </w:r>
      <w:r>
        <w:rPr>
          <w:rFonts w:ascii="Times New Roman" w:hAnsi="Times New Roman" w:cs="Times New Roman" w:eastAsia="Times New Roman" w:hint="default"/>
          <w:spacing w:val="-2"/>
        </w:rPr>
        <w:t>26,388,000.00</w:t>
      </w:r>
      <w:r>
        <w:rPr>
          <w:spacing w:val="-2"/>
        </w:rPr>
        <w:t>；北京联银通科技有限公司最高限额为</w:t>
      </w:r>
      <w:r>
        <w:rPr>
          <w:rFonts w:ascii="Times New Roman" w:hAnsi="Times New Roman" w:cs="Times New Roman" w:eastAsia="Times New Roman" w:hint="default"/>
          <w:spacing w:val="-2"/>
        </w:rPr>
        <w:t>5,000</w:t>
      </w:r>
      <w:r>
        <w:rPr>
          <w:spacing w:val="-2"/>
        </w:rPr>
        <w:t>万元，截至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日，北京联银通科技有限公司在该合同项</w:t>
      </w:r>
      <w:r>
        <w:rPr>
          <w:spacing w:val="-52"/>
        </w:rPr>
        <w:t> </w:t>
      </w:r>
      <w:r>
        <w:rPr>
          <w:spacing w:val="-52"/>
        </w:rPr>
      </w:r>
      <w:r>
        <w:rPr>
          <w:spacing w:val="-1"/>
        </w:rPr>
        <w:t>下未结清的保函金额</w:t>
      </w:r>
      <w:r>
        <w:rPr>
          <w:rFonts w:ascii="Times New Roman" w:hAnsi="Times New Roman" w:cs="Times New Roman" w:eastAsia="Times New Roman" w:hint="default"/>
          <w:spacing w:val="-1"/>
        </w:rPr>
        <w:t>52,500.00</w:t>
      </w:r>
      <w:r>
        <w:rPr>
          <w:spacing w:val="-1"/>
        </w:rPr>
        <w:t>元；北京神州新桥科技有限公司最高限额为</w:t>
      </w:r>
      <w:r>
        <w:rPr>
          <w:rFonts w:ascii="Times New Roman" w:hAnsi="Times New Roman" w:cs="Times New Roman" w:eastAsia="Times New Roman" w:hint="default"/>
          <w:spacing w:val="-1"/>
        </w:rPr>
        <w:t>15,000</w:t>
      </w:r>
      <w:r>
        <w:rPr>
          <w:spacing w:val="-1"/>
        </w:rPr>
        <w:t>万元，截至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w:t>
      </w:r>
      <w:r>
        <w:rPr>
          <w:spacing w:val="-72"/>
        </w:rPr>
        <w:t> </w:t>
      </w:r>
      <w:r>
        <w:rPr>
          <w:spacing w:val="-72"/>
        </w:rPr>
      </w:r>
      <w:r>
        <w:rPr/>
        <w:t>科技有限公司在该合同项下借款余额</w:t>
      </w:r>
      <w:r>
        <w:rPr>
          <w:rFonts w:ascii="Times New Roman" w:hAnsi="Times New Roman" w:cs="Times New Roman" w:eastAsia="Times New Roman" w:hint="default"/>
        </w:rPr>
        <w:t>101,353,986.39</w:t>
      </w:r>
      <w:r>
        <w:rPr/>
        <w:t>元，信用证金额</w:t>
      </w:r>
      <w:r>
        <w:rPr>
          <w:rFonts w:ascii="Times New Roman" w:hAnsi="Times New Roman" w:cs="Times New Roman" w:eastAsia="Times New Roman" w:hint="default"/>
        </w:rPr>
        <w:t>37,356,057.03</w:t>
      </w:r>
      <w:r>
        <w:rPr/>
        <w:t>元，未结清的保函金额</w:t>
      </w:r>
      <w:r>
        <w:rPr>
          <w:rFonts w:ascii="Times New Roman" w:hAnsi="Times New Roman" w:cs="Times New Roman" w:eastAsia="Times New Roman" w:hint="default"/>
        </w:rPr>
        <w:t>626,079.20</w:t>
      </w:r>
      <w:r>
        <w:rPr/>
        <w:t>元。</w:t>
      </w:r>
    </w:p>
    <w:p>
      <w:pPr>
        <w:pStyle w:val="BodyText"/>
        <w:spacing w:line="300" w:lineRule="auto" w:before="131"/>
        <w:ind w:left="153" w:right="1051" w:firstLine="420"/>
        <w:jc w:val="left"/>
      </w:pPr>
      <w:r>
        <w:rPr/>
        <w:t>（</w:t>
      </w:r>
      <w:r>
        <w:rPr>
          <w:rFonts w:ascii="宋体" w:hAnsi="宋体" w:cs="宋体" w:eastAsia="宋体"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07</w:t>
      </w:r>
      <w:r>
        <w:rPr/>
        <w:t>日，公司与广发银行股份有限公司北京奥运村支行签订的编号为</w:t>
      </w:r>
      <w:r>
        <w:rPr>
          <w:rFonts w:ascii="Times New Roman" w:hAnsi="Times New Roman" w:cs="Times New Roman" w:eastAsia="Times New Roman" w:hint="default"/>
        </w:rPr>
        <w:t>“(2018)</w:t>
      </w:r>
      <w:r>
        <w:rPr/>
        <w:t>京银字第</w:t>
      </w:r>
      <w:r>
        <w:rPr>
          <w:rFonts w:ascii="Times New Roman" w:hAnsi="Times New Roman" w:cs="Times New Roman" w:eastAsia="Times New Roman" w:hint="default"/>
        </w:rPr>
        <w:t>000128</w:t>
      </w:r>
      <w:r>
        <w:rPr/>
        <w:t>号</w:t>
      </w:r>
      <w:r>
        <w:rPr>
          <w:rFonts w:ascii="Times New Roman" w:hAnsi="Times New Roman" w:cs="Times New Roman" w:eastAsia="Times New Roman" w:hint="default"/>
        </w:rPr>
        <w:t>”</w:t>
      </w:r>
      <w:r>
        <w:rPr/>
        <w:t>的《授 信额度合同》，授信期限为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07</w:t>
      </w:r>
      <w:r>
        <w:rPr/>
        <w:t>日</w:t>
      </w:r>
      <w:r>
        <w:rPr>
          <w:rFonts w:ascii="Times New Roman" w:hAnsi="Times New Roman" w:cs="Times New Roman" w:eastAsia="Times New Roman" w:hint="default"/>
        </w:rPr>
        <w:t>,</w:t>
      </w:r>
      <w:r>
        <w:rPr/>
        <w:t>公司与该行签订的编号为</w:t>
      </w:r>
      <w:r>
        <w:rPr>
          <w:rFonts w:ascii="Times New Roman" w:hAnsi="Times New Roman" w:cs="Times New Roman" w:eastAsia="Times New Roman" w:hint="default"/>
        </w:rPr>
        <w:t>“(2018)</w:t>
      </w:r>
      <w:r>
        <w:rPr/>
        <w:t>京银综授</w:t>
      </w:r>
      <w:r>
        <w:rPr>
          <w:spacing w:val="-72"/>
        </w:rPr>
        <w:t> </w:t>
      </w:r>
      <w:r>
        <w:rPr/>
        <w:t>额字第</w:t>
      </w:r>
      <w:r>
        <w:rPr>
          <w:rFonts w:ascii="Times New Roman" w:hAnsi="Times New Roman" w:cs="Times New Roman" w:eastAsia="Times New Roman" w:hint="default"/>
        </w:rPr>
        <w:t>000082</w:t>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01”</w:t>
      </w:r>
      <w:r>
        <w:rPr/>
        <w:t>的《最高额保证合同》，为所属子公司</w:t>
      </w:r>
      <w:r>
        <w:rPr>
          <w:rFonts w:ascii="Times New Roman" w:hAnsi="Times New Roman" w:cs="Times New Roman" w:eastAsia="Times New Roman" w:hint="default"/>
        </w:rPr>
        <w:t>—</w:t>
      </w:r>
      <w:r>
        <w:rPr/>
        <w:t>北京神州新桥科技有限公司与该行签订的编号为</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京银综授额字第</w:t>
      </w:r>
      <w:r>
        <w:rPr>
          <w:rFonts w:ascii="Times New Roman" w:hAnsi="Times New Roman" w:cs="Times New Roman" w:eastAsia="Times New Roman" w:hint="default"/>
        </w:rPr>
        <w:t>000082</w:t>
      </w:r>
      <w:r>
        <w:rPr/>
        <w:t>号</w:t>
      </w:r>
      <w:r>
        <w:rPr>
          <w:rFonts w:ascii="Times New Roman" w:hAnsi="Times New Roman" w:cs="Times New Roman" w:eastAsia="Times New Roman" w:hint="default"/>
        </w:rPr>
        <w:t>”</w:t>
      </w:r>
      <w:r>
        <w:rPr/>
        <w:t>的《授信额度合同》和编号为</w:t>
      </w:r>
      <w:r>
        <w:rPr>
          <w:rFonts w:ascii="Times New Roman" w:hAnsi="Times New Roman" w:cs="Times New Roman" w:eastAsia="Times New Roman" w:hint="default"/>
        </w:rPr>
        <w:t>“(2018)</w:t>
      </w:r>
      <w:r>
        <w:rPr/>
        <w:t>京银字第</w:t>
      </w:r>
      <w:r>
        <w:rPr>
          <w:rFonts w:ascii="Times New Roman" w:hAnsi="Times New Roman" w:cs="Times New Roman" w:eastAsia="Times New Roman" w:hint="default"/>
        </w:rPr>
        <w:t>000129</w:t>
      </w:r>
      <w:r>
        <w:rPr/>
        <w:t>号</w:t>
      </w:r>
      <w:r>
        <w:rPr>
          <w:rFonts w:ascii="Times New Roman" w:hAnsi="Times New Roman" w:cs="Times New Roman" w:eastAsia="Times New Roman" w:hint="default"/>
        </w:rPr>
        <w:t>”</w:t>
      </w:r>
      <w:r>
        <w:rPr/>
        <w:t>的《国内信用证贸易融资授信额度合同》 提供连带责任保证。北京神州新桥科技有限公司最高限额为</w:t>
      </w:r>
      <w:r>
        <w:rPr>
          <w:rFonts w:ascii="Times New Roman" w:hAnsi="Times New Roman" w:cs="Times New Roman" w:eastAsia="Times New Roman" w:hint="default"/>
        </w:rPr>
        <w:t>15,000</w:t>
      </w:r>
      <w:r>
        <w:rPr/>
        <w:t>万元，北京东华合创科技有限公司和北京联银通科技有限 公司最高限额均为</w:t>
      </w:r>
      <w:r>
        <w:rPr>
          <w:rFonts w:ascii="Times New Roman" w:hAnsi="Times New Roman" w:cs="Times New Roman" w:eastAsia="Times New Roman" w:hint="default"/>
        </w:rPr>
        <w:t>1,000</w:t>
      </w:r>
      <w:r>
        <w:rPr/>
        <w:t>万。截至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日，北京东华合创科技有限公司在该行未结清的保函余额为</w:t>
      </w:r>
      <w:r>
        <w:rPr>
          <w:rFonts w:ascii="Times New Roman" w:hAnsi="Times New Roman" w:cs="Times New Roman" w:eastAsia="Times New Roman" w:hint="default"/>
        </w:rPr>
        <w:t>4,789,176.75</w:t>
      </w:r>
      <w:r>
        <w:rPr/>
        <w:t>元，</w:t>
      </w:r>
      <w:r>
        <w:rPr>
          <w:spacing w:val="-3"/>
        </w:rPr>
        <w:t> </w:t>
      </w:r>
      <w:r>
        <w:rPr/>
        <w:t>银行承兑汇票余额</w:t>
      </w:r>
      <w:r>
        <w:rPr>
          <w:rFonts w:ascii="Times New Roman" w:hAnsi="Times New Roman" w:cs="Times New Roman" w:eastAsia="Times New Roman" w:hint="default"/>
        </w:rPr>
        <w:t>4,846,520.00</w:t>
      </w:r>
      <w:r>
        <w:rPr/>
        <w:t>元；北京神州新桥科技有限公司在该行未结清银行承兑汇票余额为</w:t>
      </w:r>
      <w:r>
        <w:rPr>
          <w:rFonts w:ascii="Times New Roman" w:hAnsi="Times New Roman" w:cs="Times New Roman" w:eastAsia="Times New Roman" w:hint="default"/>
        </w:rPr>
        <w:t>3,431,668.00</w:t>
      </w:r>
      <w:r>
        <w:rPr/>
        <w:t>元，未结清的 保函余额</w:t>
      </w:r>
      <w:r>
        <w:rPr>
          <w:rFonts w:ascii="Times New Roman" w:hAnsi="Times New Roman" w:cs="Times New Roman" w:eastAsia="Times New Roman" w:hint="default"/>
        </w:rPr>
        <w:t>17,080,627.10</w:t>
      </w:r>
      <w:r>
        <w:rPr/>
        <w:t>元，借款余额</w:t>
      </w:r>
      <w:r>
        <w:rPr>
          <w:rFonts w:ascii="Times New Roman" w:hAnsi="Times New Roman" w:cs="Times New Roman" w:eastAsia="Times New Roman" w:hint="default"/>
        </w:rPr>
        <w:t>49,925,304.23</w:t>
      </w:r>
      <w:r>
        <w:rPr/>
        <w:t>元；北京联银通科技有限公司在该行未结清的保函余额为</w:t>
      </w:r>
      <w:r>
        <w:rPr>
          <w:rFonts w:ascii="Times New Roman" w:hAnsi="Times New Roman" w:cs="Times New Roman" w:eastAsia="Times New Roman" w:hint="default"/>
        </w:rPr>
        <w:t>915,200.00</w:t>
      </w:r>
      <w:r>
        <w:rPr/>
        <w:t>元。</w:t>
      </w:r>
    </w:p>
    <w:p>
      <w:pPr>
        <w:pStyle w:val="BodyText"/>
        <w:spacing w:line="300" w:lineRule="auto" w:before="133"/>
        <w:ind w:right="1092" w:firstLine="420"/>
        <w:jc w:val="both"/>
      </w:pPr>
      <w:r>
        <w:rPr/>
        <w:t>（</w:t>
      </w:r>
      <w:r>
        <w:rPr>
          <w:spacing w:val="-57"/>
        </w:rPr>
        <w:t> </w:t>
      </w:r>
      <w:r>
        <w:rPr>
          <w:rFonts w:ascii="宋体" w:hAnsi="宋体" w:cs="宋体" w:eastAsia="宋体" w:hint="default"/>
        </w:rPr>
        <w:t>3</w:t>
      </w:r>
      <w:r>
        <w:rPr>
          <w:rFonts w:ascii="宋体" w:hAnsi="宋体" w:cs="宋体" w:eastAsia="宋体" w:hint="default"/>
          <w:spacing w:val="-55"/>
        </w:rPr>
        <w:t> </w:t>
      </w:r>
      <w:r>
        <w:rPr/>
        <w:t>）</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w:t>
      </w:r>
      <w:r>
        <w:rPr>
          <w:spacing w:val="-59"/>
        </w:rPr>
        <w:t> </w:t>
      </w:r>
      <w:r>
        <w:rPr>
          <w:spacing w:val="16"/>
        </w:rPr>
        <w:t>，公</w:t>
      </w:r>
      <w:r>
        <w:rPr>
          <w:spacing w:val="-59"/>
        </w:rPr>
        <w:t> </w:t>
      </w:r>
      <w:r>
        <w:rPr>
          <w:spacing w:val="27"/>
        </w:rPr>
        <w:t>司通过中国建</w:t>
      </w:r>
      <w:r>
        <w:rPr>
          <w:spacing w:val="-59"/>
        </w:rPr>
        <w:t> </w:t>
      </w:r>
      <w:r>
        <w:rPr>
          <w:spacing w:val="26"/>
        </w:rPr>
        <w:t>设银行股份</w:t>
      </w:r>
      <w:r>
        <w:rPr>
          <w:spacing w:val="-59"/>
        </w:rPr>
        <w:t> </w:t>
      </w:r>
      <w:r>
        <w:rPr>
          <w:spacing w:val="27"/>
        </w:rPr>
        <w:t>有限公司北京</w:t>
      </w:r>
      <w:r>
        <w:rPr>
          <w:spacing w:val="-59"/>
        </w:rPr>
        <w:t> </w:t>
      </w:r>
      <w:r>
        <w:rPr>
          <w:spacing w:val="26"/>
        </w:rPr>
        <w:t>市分行的信</w:t>
      </w:r>
      <w:r>
        <w:rPr>
          <w:spacing w:val="-59"/>
        </w:rPr>
        <w:t> </w:t>
      </w:r>
      <w:r>
        <w:rPr>
          <w:spacing w:val="27"/>
        </w:rPr>
        <w:t>用额度审批，</w:t>
      </w:r>
      <w:r>
        <w:rPr>
          <w:spacing w:val="-59"/>
        </w:rPr>
        <w:t> </w:t>
      </w:r>
      <w:r>
        <w:rPr>
          <w:spacing w:val="24"/>
        </w:rPr>
        <w:t>批复编号</w:t>
      </w:r>
      <w:r>
        <w:rPr>
          <w:spacing w:val="-57"/>
        </w:rPr>
        <w:t> </w:t>
      </w:r>
      <w:r>
        <w:rPr>
          <w:rFonts w:ascii="Times New Roman" w:hAnsi="Times New Roman" w:cs="Times New Roman" w:eastAsia="Times New Roman" w:hint="default"/>
        </w:rPr>
        <w:t>PIFU110000000N201704811</w:t>
      </w:r>
      <w:r>
        <w:rPr/>
        <w:t>。授信期限为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13</w:t>
      </w:r>
      <w:r>
        <w:rPr/>
        <w:t>日。同意给予公司所属子公司</w:t>
      </w:r>
      <w:r>
        <w:rPr>
          <w:rFonts w:ascii="Times New Roman" w:hAnsi="Times New Roman" w:cs="Times New Roman" w:eastAsia="Times New Roman" w:hint="default"/>
        </w:rPr>
        <w:t>-</w:t>
      </w:r>
      <w:r>
        <w:rPr/>
        <w:t>北京神州新桥科技</w:t>
      </w:r>
      <w:r>
        <w:rPr>
          <w:spacing w:val="-56"/>
        </w:rPr>
        <w:t> </w:t>
      </w:r>
      <w:r>
        <w:rPr>
          <w:spacing w:val="-56"/>
        </w:rPr>
      </w:r>
      <w:r>
        <w:rPr>
          <w:spacing w:val="-1"/>
        </w:rPr>
        <w:t>有限公司信用额度</w:t>
      </w:r>
      <w:r>
        <w:rPr>
          <w:rFonts w:ascii="Times New Roman" w:hAnsi="Times New Roman" w:cs="Times New Roman" w:eastAsia="Times New Roman" w:hint="default"/>
          <w:spacing w:val="-1"/>
        </w:rPr>
        <w:t>14,800</w:t>
      </w:r>
      <w:r>
        <w:rPr>
          <w:spacing w:val="-1"/>
        </w:rPr>
        <w:t>万元，由本公司提供最高额保证担保。截至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日，北京神州新桥科技有限公司在该授信</w:t>
      </w:r>
      <w:r>
        <w:rPr>
          <w:spacing w:val="-72"/>
        </w:rPr>
        <w:t> </w:t>
      </w:r>
      <w:r>
        <w:rPr>
          <w:spacing w:val="-72"/>
        </w:rPr>
      </w:r>
      <w:r>
        <w:rPr/>
        <w:t>额度下借款余额为</w:t>
      </w:r>
      <w:r>
        <w:rPr>
          <w:rFonts w:ascii="Times New Roman" w:hAnsi="Times New Roman" w:cs="Times New Roman" w:eastAsia="Times New Roman" w:hint="default"/>
        </w:rPr>
        <w:t>4,000</w:t>
      </w:r>
      <w:r>
        <w:rPr/>
        <w:t>万元，未结清的保函余额为</w:t>
      </w:r>
      <w:r>
        <w:rPr>
          <w:rFonts w:ascii="Times New Roman" w:hAnsi="Times New Roman" w:cs="Times New Roman" w:eastAsia="Times New Roman" w:hint="default"/>
        </w:rPr>
        <w:t>3,243,700.00</w:t>
      </w:r>
      <w:r>
        <w:rPr/>
        <w:t>元。</w:t>
      </w:r>
    </w:p>
    <w:p>
      <w:pPr>
        <w:pStyle w:val="BodyText"/>
        <w:spacing w:line="300" w:lineRule="auto" w:before="133"/>
        <w:ind w:right="1130" w:firstLine="419"/>
        <w:jc w:val="both"/>
        <w:rPr>
          <w:rFonts w:ascii="Times New Roman" w:hAnsi="Times New Roman" w:cs="Times New Roman" w:eastAsia="Times New Roman" w:hint="default"/>
        </w:rPr>
      </w:pPr>
      <w:r>
        <w:rPr>
          <w:spacing w:val="-3"/>
        </w:rPr>
        <w:t>（</w:t>
      </w:r>
      <w:r>
        <w:rPr>
          <w:rFonts w:ascii="宋体" w:hAnsi="宋体" w:cs="宋体" w:eastAsia="宋体" w:hint="default"/>
          <w:spacing w:val="-3"/>
        </w:rPr>
        <w:t>4</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02</w:t>
      </w:r>
      <w:r>
        <w:rPr>
          <w:spacing w:val="-3"/>
        </w:rPr>
        <w:t>月</w:t>
      </w:r>
      <w:r>
        <w:rPr>
          <w:rFonts w:ascii="Times New Roman" w:hAnsi="Times New Roman" w:cs="Times New Roman" w:eastAsia="Times New Roman" w:hint="default"/>
          <w:spacing w:val="-3"/>
        </w:rPr>
        <w:t>13</w:t>
      </w:r>
      <w:r>
        <w:rPr>
          <w:spacing w:val="-3"/>
        </w:rPr>
        <w:t>日，公司与招商银行股份有限公司北京万寿路支行签订了《授信协议》（编号：</w:t>
      </w:r>
      <w:r>
        <w:rPr>
          <w:rFonts w:ascii="Times New Roman" w:hAnsi="Times New Roman" w:cs="Times New Roman" w:eastAsia="Times New Roman" w:hint="default"/>
          <w:spacing w:val="-3"/>
        </w:rPr>
        <w:t>2018</w:t>
      </w:r>
      <w:r>
        <w:rPr>
          <w:spacing w:val="-3"/>
        </w:rPr>
        <w:t>年万授字第</w:t>
      </w:r>
      <w:r>
        <w:rPr>
          <w:rFonts w:ascii="Times New Roman" w:hAnsi="Times New Roman" w:cs="Times New Roman" w:eastAsia="Times New Roman" w:hint="default"/>
          <w:spacing w:val="-3"/>
        </w:rPr>
        <w:t>007</w:t>
      </w:r>
      <w:r>
        <w:rPr>
          <w:rFonts w:ascii="Times New Roman" w:hAnsi="Times New Roman" w:cs="Times New Roman" w:eastAsia="Times New Roman" w:hint="default"/>
        </w:rPr>
        <w:t> </w:t>
      </w:r>
      <w:r>
        <w:rPr>
          <w:spacing w:val="-3"/>
        </w:rPr>
        <w:t>号），其中补充协议同意公司下属子公司占用母公司额度。公司所属子公司</w:t>
      </w:r>
      <w:r>
        <w:rPr>
          <w:rFonts w:ascii="Times New Roman" w:hAnsi="Times New Roman" w:cs="Times New Roman" w:eastAsia="Times New Roman" w:hint="default"/>
          <w:spacing w:val="-3"/>
        </w:rPr>
        <w:t>—</w:t>
      </w:r>
      <w:r>
        <w:rPr>
          <w:spacing w:val="-3"/>
        </w:rPr>
        <w:t>北京东华合创科技有限公司可占用人民币</w:t>
      </w:r>
      <w:r>
        <w:rPr>
          <w:rFonts w:ascii="Times New Roman" w:hAnsi="Times New Roman" w:cs="Times New Roman" w:eastAsia="Times New Roman" w:hint="default"/>
          <w:spacing w:val="-3"/>
        </w:rPr>
        <w:t>3,000</w:t>
      </w:r>
      <w:r>
        <w:rPr>
          <w:rFonts w:ascii="Times New Roman" w:hAnsi="Times New Roman" w:cs="Times New Roman" w:eastAsia="Times New Roman" w:hint="default"/>
        </w:rPr>
      </w:r>
    </w:p>
    <w:p>
      <w:pPr>
        <w:spacing w:after="0" w:line="300" w:lineRule="auto"/>
        <w:jc w:val="both"/>
        <w:rPr>
          <w:rFonts w:ascii="Times New Roman" w:hAnsi="Times New Roman" w:cs="Times New Roman" w:eastAsia="Times New Roman" w:hint="default"/>
        </w:rPr>
        <w:sectPr>
          <w:pgSz w:w="11910" w:h="16840"/>
          <w:pgMar w:header="748" w:footer="977"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130"/>
        <w:jc w:val="both"/>
      </w:pPr>
      <w:r>
        <w:rPr>
          <w:spacing w:val="-3"/>
        </w:rPr>
        <w:t>万元整，北京神州新桥科技有限公司可占用人民币</w:t>
      </w:r>
      <w:r>
        <w:rPr>
          <w:rFonts w:ascii="Times New Roman" w:hAnsi="Times New Roman" w:cs="Times New Roman" w:eastAsia="Times New Roman" w:hint="default"/>
          <w:spacing w:val="-3"/>
        </w:rPr>
        <w:t>5,000</w:t>
      </w:r>
      <w:r>
        <w:rPr>
          <w:spacing w:val="-3"/>
        </w:rPr>
        <w:t>万元整。授信期限</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02</w:t>
      </w:r>
      <w:r>
        <w:rPr>
          <w:spacing w:val="-3"/>
        </w:rPr>
        <w:t>月</w:t>
      </w:r>
      <w:r>
        <w:rPr>
          <w:rFonts w:ascii="Times New Roman" w:hAnsi="Times New Roman" w:cs="Times New Roman" w:eastAsia="Times New Roman" w:hint="default"/>
          <w:spacing w:val="-3"/>
        </w:rPr>
        <w:t>12</w:t>
      </w:r>
      <w:r>
        <w:rPr>
          <w:spacing w:val="-3"/>
        </w:rPr>
        <w:t>日起到</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02</w:t>
      </w:r>
      <w:r>
        <w:rPr>
          <w:spacing w:val="-3"/>
        </w:rPr>
        <w:t>月</w:t>
      </w:r>
      <w:r>
        <w:rPr>
          <w:rFonts w:ascii="Times New Roman" w:hAnsi="Times New Roman" w:cs="Times New Roman" w:eastAsia="Times New Roman" w:hint="default"/>
          <w:spacing w:val="-3"/>
        </w:rPr>
        <w:t>11</w:t>
      </w:r>
      <w:r>
        <w:rPr>
          <w:spacing w:val="-3"/>
        </w:rPr>
        <w:t>日止。截至</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日，北京东华合创科技有限公司在该合同项下未结清保函金额</w:t>
      </w:r>
      <w:r>
        <w:rPr>
          <w:rFonts w:ascii="Times New Roman" w:hAnsi="Times New Roman" w:cs="Times New Roman" w:eastAsia="Times New Roman" w:hint="default"/>
        </w:rPr>
        <w:t>1,055,810.00</w:t>
      </w:r>
      <w:r>
        <w:rPr/>
        <w:t>元，北京神州新桥科技有限公司在该合</w:t>
      </w:r>
      <w:r>
        <w:rPr>
          <w:spacing w:val="-49"/>
        </w:rPr>
        <w:t> </w:t>
      </w:r>
      <w:r>
        <w:rPr>
          <w:spacing w:val="-49"/>
        </w:rPr>
      </w:r>
      <w:r>
        <w:rPr/>
        <w:t>同项下借款余额为</w:t>
      </w:r>
      <w:r>
        <w:rPr>
          <w:rFonts w:ascii="Times New Roman" w:hAnsi="Times New Roman" w:cs="Times New Roman" w:eastAsia="Times New Roman" w:hint="default"/>
        </w:rPr>
        <w:t>2,200</w:t>
      </w:r>
      <w:r>
        <w:rPr/>
        <w:t>万元，未结清保函金额为</w:t>
      </w:r>
      <w:r>
        <w:rPr>
          <w:rFonts w:ascii="Times New Roman" w:hAnsi="Times New Roman" w:cs="Times New Roman" w:eastAsia="Times New Roman" w:hint="default"/>
        </w:rPr>
        <w:t>318,776.75</w:t>
      </w:r>
      <w:r>
        <w:rPr/>
        <w:t>元。</w:t>
      </w:r>
    </w:p>
    <w:p>
      <w:pPr>
        <w:pStyle w:val="BodyText"/>
        <w:spacing w:line="300" w:lineRule="auto" w:before="133"/>
        <w:ind w:right="1123" w:firstLine="420"/>
        <w:jc w:val="both"/>
      </w:pPr>
      <w:r>
        <w:rPr/>
        <w:t>（</w:t>
      </w:r>
      <w:r>
        <w:rPr>
          <w:rFonts w:ascii="宋体" w:hAnsi="宋体" w:cs="宋体" w:eastAsia="宋体"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25</w:t>
      </w:r>
      <w:r>
        <w:rPr/>
        <w:t>日，公司与中国工商银行股份有限公司北京南礼士路支行签订《最高额保证合同》（编号：</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1"/>
        </w:rPr>
        <w:t>年礼士（保）字</w:t>
      </w:r>
      <w:r>
        <w:rPr>
          <w:rFonts w:ascii="Times New Roman" w:hAnsi="Times New Roman" w:cs="Times New Roman" w:eastAsia="Times New Roman" w:hint="default"/>
          <w:spacing w:val="-1"/>
        </w:rPr>
        <w:t>0024</w:t>
      </w:r>
      <w:r>
        <w:rPr>
          <w:spacing w:val="-1"/>
        </w:rPr>
        <w:t>号），最高额度</w:t>
      </w:r>
      <w:r>
        <w:rPr>
          <w:rFonts w:ascii="Times New Roman" w:hAnsi="Times New Roman" w:cs="Times New Roman" w:eastAsia="Times New Roman" w:hint="default"/>
          <w:spacing w:val="-1"/>
        </w:rPr>
        <w:t>12,000</w:t>
      </w:r>
      <w:r>
        <w:rPr>
          <w:spacing w:val="-1"/>
        </w:rPr>
        <w:t>万元，为公司所属子公司</w:t>
      </w:r>
      <w:r>
        <w:rPr>
          <w:rFonts w:ascii="Times New Roman" w:hAnsi="Times New Roman" w:cs="Times New Roman" w:eastAsia="Times New Roman" w:hint="default"/>
          <w:spacing w:val="-1"/>
        </w:rPr>
        <w:t>—</w:t>
      </w:r>
      <w:r>
        <w:rPr>
          <w:spacing w:val="-1"/>
        </w:rPr>
        <w:t>北京神州新桥科技有限公司承担连带责任保证。保证</w:t>
      </w:r>
      <w:r>
        <w:rPr>
          <w:spacing w:val="-72"/>
        </w:rPr>
        <w:t> </w:t>
      </w:r>
      <w:r>
        <w:rPr>
          <w:spacing w:val="-72"/>
        </w:rPr>
      </w:r>
      <w:r>
        <w:rPr>
          <w:spacing w:val="6"/>
        </w:rPr>
        <w:t>期限自</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03</w:t>
      </w:r>
      <w:r>
        <w:rPr>
          <w:spacing w:val="6"/>
        </w:rPr>
        <w:t>月</w:t>
      </w:r>
      <w:r>
        <w:rPr>
          <w:rFonts w:ascii="Times New Roman" w:hAnsi="Times New Roman" w:cs="Times New Roman" w:eastAsia="Times New Roman" w:hint="default"/>
          <w:spacing w:val="6"/>
        </w:rPr>
        <w:t>24</w:t>
      </w:r>
      <w:r>
        <w:rPr>
          <w:spacing w:val="6"/>
        </w:rPr>
        <w:t>日至</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03</w:t>
      </w:r>
      <w:r>
        <w:rPr>
          <w:spacing w:val="6"/>
        </w:rPr>
        <w:t>月</w:t>
      </w:r>
      <w:r>
        <w:rPr>
          <w:rFonts w:ascii="Times New Roman" w:hAnsi="Times New Roman" w:cs="Times New Roman" w:eastAsia="Times New Roman" w:hint="default"/>
          <w:spacing w:val="6"/>
        </w:rPr>
        <w:t>23</w:t>
      </w:r>
      <w:r>
        <w:rPr>
          <w:spacing w:val="6"/>
        </w:rPr>
        <w:t>日。截至</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日，北京神州新桥科技有限公司在该合同项下借款余额</w:t>
      </w:r>
      <w:r>
        <w:rPr>
          <w:spacing w:val="-33"/>
        </w:rPr>
        <w:t> </w:t>
      </w:r>
      <w:r>
        <w:rPr>
          <w:spacing w:val="-33"/>
        </w:rPr>
      </w:r>
      <w:r>
        <w:rPr>
          <w:rFonts w:ascii="Times New Roman" w:hAnsi="Times New Roman" w:cs="Times New Roman" w:eastAsia="Times New Roman" w:hint="default"/>
        </w:rPr>
        <w:t>79,668,678.24</w:t>
      </w:r>
      <w:r>
        <w:rPr/>
        <w:t>元。</w:t>
      </w:r>
    </w:p>
    <w:p>
      <w:pPr>
        <w:pStyle w:val="BodyText"/>
        <w:spacing w:line="300" w:lineRule="auto" w:before="133"/>
        <w:ind w:left="151" w:right="1127" w:firstLine="420"/>
        <w:jc w:val="both"/>
      </w:pPr>
      <w:r>
        <w:rPr/>
        <w:t>（</w:t>
      </w:r>
      <w:r>
        <w:rPr>
          <w:rFonts w:ascii="宋体" w:hAnsi="宋体" w:cs="宋体" w:eastAsia="宋体"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日，公司与北京银行股份有限公司中关村科技园区支行签订编号为</w:t>
      </w:r>
      <w:r>
        <w:rPr>
          <w:rFonts w:ascii="Times New Roman" w:hAnsi="Times New Roman" w:cs="Times New Roman" w:eastAsia="Times New Roman" w:hint="default"/>
        </w:rPr>
        <w:t>“0448662”</w:t>
      </w:r>
      <w:r>
        <w:rPr/>
        <w:t>《综合授信合同》</w:t>
      </w:r>
      <w:r>
        <w:rPr>
          <w:rFonts w:ascii="Times New Roman" w:hAnsi="Times New Roman" w:cs="Times New Roman" w:eastAsia="Times New Roman" w:hint="default"/>
        </w:rPr>
        <w:t>,</w:t>
      </w:r>
      <w:r>
        <w:rPr/>
        <w:t>授 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02</w:t>
      </w:r>
      <w:r>
        <w:rPr/>
        <w:t>日，公司与该行签订的编号为</w:t>
      </w:r>
      <w:r>
        <w:rPr>
          <w:rFonts w:ascii="Times New Roman" w:hAnsi="Times New Roman" w:cs="Times New Roman" w:eastAsia="Times New Roman" w:hint="default"/>
        </w:rPr>
        <w:t>“0463780-001”</w:t>
      </w:r>
      <w:r>
        <w:rPr/>
        <w:t>的《最高额保证合</w:t>
      </w:r>
      <w:r>
        <w:rPr>
          <w:spacing w:val="-53"/>
        </w:rPr>
        <w:t> </w:t>
      </w:r>
      <w:r>
        <w:rPr>
          <w:spacing w:val="-53"/>
        </w:rPr>
      </w:r>
      <w:r>
        <w:rPr/>
        <w:t>同》，为公司所属子公司</w:t>
      </w:r>
      <w:r>
        <w:rPr>
          <w:rFonts w:ascii="Times New Roman" w:hAnsi="Times New Roman" w:cs="Times New Roman" w:eastAsia="Times New Roman" w:hint="default"/>
        </w:rPr>
        <w:t>—</w:t>
      </w:r>
      <w:r>
        <w:rPr/>
        <w:t>北京神州新桥科技有限公司与该行签订的编号为</w:t>
      </w:r>
      <w:r>
        <w:rPr>
          <w:rFonts w:ascii="Times New Roman" w:hAnsi="Times New Roman" w:cs="Times New Roman" w:eastAsia="Times New Roman" w:hint="default"/>
        </w:rPr>
        <w:t>“0463780”</w:t>
      </w:r>
      <w:r>
        <w:rPr/>
        <w:t>的《授信额度合同》提供连带责任保</w:t>
      </w:r>
      <w:r>
        <w:rPr>
          <w:spacing w:val="-69"/>
        </w:rPr>
        <w:t> </w:t>
      </w:r>
      <w:r>
        <w:rPr>
          <w:spacing w:val="-69"/>
        </w:rPr>
      </w:r>
      <w:r>
        <w:rPr>
          <w:spacing w:val="-1"/>
        </w:rPr>
        <w:t>证。担保期限为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02</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01</w:t>
      </w:r>
      <w:r>
        <w:rPr>
          <w:spacing w:val="-1"/>
        </w:rPr>
        <w:t>日，最高担保额度是人民币</w:t>
      </w:r>
      <w:r>
        <w:rPr>
          <w:rFonts w:ascii="Times New Roman" w:hAnsi="Times New Roman" w:cs="Times New Roman" w:eastAsia="Times New Roman" w:hint="default"/>
          <w:spacing w:val="-1"/>
        </w:rPr>
        <w:t>15,000</w:t>
      </w:r>
      <w:r>
        <w:rPr>
          <w:spacing w:val="-1"/>
        </w:rPr>
        <w:t>万元。截至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w:t>
      </w:r>
      <w:r>
        <w:rPr>
          <w:spacing w:val="-76"/>
        </w:rPr>
        <w:t> </w:t>
      </w:r>
      <w:r>
        <w:rPr>
          <w:spacing w:val="-76"/>
        </w:rPr>
      </w:r>
      <w:r>
        <w:rPr/>
        <w:t>桥科技有限公司在上述合同项下的借款余额为</w:t>
      </w:r>
      <w:r>
        <w:rPr>
          <w:rFonts w:ascii="Times New Roman" w:hAnsi="Times New Roman" w:cs="Times New Roman" w:eastAsia="Times New Roman" w:hint="default"/>
        </w:rPr>
        <w:t>14,800</w:t>
      </w:r>
      <w:r>
        <w:rPr/>
        <w:t>万元。</w:t>
      </w:r>
    </w:p>
    <w:p>
      <w:pPr>
        <w:pStyle w:val="BodyText"/>
        <w:spacing w:line="300" w:lineRule="auto" w:before="133"/>
        <w:ind w:left="151" w:right="1103" w:firstLine="419"/>
        <w:jc w:val="both"/>
      </w:pPr>
      <w:r>
        <w:rPr/>
        <w:t>（</w:t>
      </w:r>
      <w:r>
        <w:rPr>
          <w:spacing w:val="-62"/>
        </w:rPr>
        <w:t> </w:t>
      </w:r>
      <w:r>
        <w:rPr>
          <w:rFonts w:ascii="宋体" w:hAnsi="宋体" w:cs="宋体" w:eastAsia="宋体" w:hint="default"/>
        </w:rPr>
        <w:t>7</w:t>
      </w:r>
      <w:r>
        <w:rPr>
          <w:rFonts w:ascii="宋体" w:hAnsi="宋体" w:cs="宋体" w:eastAsia="宋体" w:hint="default"/>
          <w:spacing w:val="-60"/>
        </w:rPr>
        <w:t> </w:t>
      </w:r>
      <w:r>
        <w:rPr/>
        <w:t>）</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2"/>
        </w:rPr>
        <w:t> </w:t>
      </w:r>
      <w:r>
        <w:rPr>
          <w:rFonts w:ascii="Times New Roman" w:hAnsi="Times New Roman" w:cs="Times New Roman" w:eastAsia="Times New Roman" w:hint="default"/>
        </w:rPr>
        <w:t>09</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14"/>
        </w:rPr>
        <w:t>日，</w:t>
      </w:r>
      <w:r>
        <w:rPr>
          <w:spacing w:val="-64"/>
        </w:rPr>
        <w:t> </w:t>
      </w:r>
      <w:r>
        <w:rPr/>
        <w:t>公</w:t>
      </w:r>
      <w:r>
        <w:rPr>
          <w:spacing w:val="-64"/>
        </w:rPr>
        <w:t> </w:t>
      </w:r>
      <w:r>
        <w:rPr>
          <w:spacing w:val="22"/>
        </w:rPr>
        <w:t>司通过上海</w:t>
      </w:r>
      <w:r>
        <w:rPr>
          <w:spacing w:val="-64"/>
        </w:rPr>
        <w:t> </w:t>
      </w:r>
      <w:r>
        <w:rPr>
          <w:spacing w:val="18"/>
        </w:rPr>
        <w:t>浦东发</w:t>
      </w:r>
      <w:r>
        <w:rPr>
          <w:spacing w:val="-64"/>
        </w:rPr>
        <w:t> </w:t>
      </w:r>
      <w:r>
        <w:rPr>
          <w:spacing w:val="18"/>
        </w:rPr>
        <w:t>展银行</w:t>
      </w:r>
      <w:r>
        <w:rPr>
          <w:spacing w:val="-64"/>
        </w:rPr>
        <w:t> </w:t>
      </w:r>
      <w:r>
        <w:rPr>
          <w:spacing w:val="22"/>
        </w:rPr>
        <w:t>股份有限公</w:t>
      </w:r>
      <w:r>
        <w:rPr>
          <w:spacing w:val="-64"/>
        </w:rPr>
        <w:t> </w:t>
      </w:r>
      <w:r>
        <w:rPr>
          <w:spacing w:val="18"/>
        </w:rPr>
        <w:t>司北京</w:t>
      </w:r>
      <w:r>
        <w:rPr>
          <w:spacing w:val="-64"/>
        </w:rPr>
        <w:t> </w:t>
      </w:r>
      <w:r>
        <w:rPr>
          <w:spacing w:val="18"/>
        </w:rPr>
        <w:t>分行的</w:t>
      </w:r>
      <w:r>
        <w:rPr>
          <w:spacing w:val="-64"/>
        </w:rPr>
        <w:t> </w:t>
      </w:r>
      <w:r>
        <w:rPr>
          <w:spacing w:val="22"/>
        </w:rPr>
        <w:t>信用额度审</w:t>
      </w:r>
      <w:r>
        <w:rPr>
          <w:spacing w:val="-64"/>
        </w:rPr>
        <w:t> </w:t>
      </w:r>
      <w:r>
        <w:rPr>
          <w:spacing w:val="18"/>
        </w:rPr>
        <w:t>批，批</w:t>
      </w:r>
      <w:r>
        <w:rPr>
          <w:spacing w:val="-64"/>
        </w:rPr>
        <w:t> </w:t>
      </w:r>
      <w:r>
        <w:rPr>
          <w:spacing w:val="18"/>
        </w:rPr>
        <w:t>复编号</w:t>
      </w:r>
      <w:r>
        <w:rPr>
          <w:spacing w:val="-62"/>
        </w:rPr>
        <w:t> </w:t>
      </w:r>
      <w:r>
        <w:rPr>
          <w:rFonts w:ascii="Times New Roman" w:hAnsi="Times New Roman" w:cs="Times New Roman" w:eastAsia="Times New Roman" w:hint="default"/>
        </w:rPr>
        <w:t>BE2017091200001251</w:t>
      </w:r>
      <w:r>
        <w:rPr/>
        <w:t>。为公司所属子公司</w:t>
      </w:r>
      <w:r>
        <w:rPr>
          <w:rFonts w:ascii="Times New Roman" w:hAnsi="Times New Roman" w:cs="Times New Roman" w:eastAsia="Times New Roman" w:hint="default"/>
        </w:rPr>
        <w:t>—</w:t>
      </w:r>
      <w:r>
        <w:rPr/>
        <w:t>北京神州新桥科技有限公司在该行发生的债务承担连带责任保证，所担保的主</w:t>
      </w:r>
      <w:r>
        <w:rPr>
          <w:spacing w:val="-60"/>
        </w:rPr>
        <w:t> </w:t>
      </w:r>
      <w:r>
        <w:rPr>
          <w:spacing w:val="-60"/>
        </w:rPr>
      </w:r>
      <w:r>
        <w:rPr>
          <w:spacing w:val="-1"/>
        </w:rPr>
        <w:t>债权为自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09</w:t>
      </w:r>
      <w:r>
        <w:rPr>
          <w:spacing w:val="-1"/>
        </w:rPr>
        <w:t>月</w:t>
      </w:r>
      <w:r>
        <w:rPr>
          <w:rFonts w:ascii="Times New Roman" w:hAnsi="Times New Roman" w:cs="Times New Roman" w:eastAsia="Times New Roman" w:hint="default"/>
          <w:spacing w:val="-1"/>
        </w:rPr>
        <w:t>12</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09</w:t>
      </w:r>
      <w:r>
        <w:rPr>
          <w:spacing w:val="-1"/>
        </w:rPr>
        <w:t>月</w:t>
      </w:r>
      <w:r>
        <w:rPr>
          <w:rFonts w:ascii="Times New Roman" w:hAnsi="Times New Roman" w:cs="Times New Roman" w:eastAsia="Times New Roman" w:hint="default"/>
          <w:spacing w:val="-1"/>
        </w:rPr>
        <w:t>11</w:t>
      </w:r>
      <w:r>
        <w:rPr>
          <w:spacing w:val="-1"/>
        </w:rPr>
        <w:t>日期间，在人民币</w:t>
      </w:r>
      <w:r>
        <w:rPr>
          <w:rFonts w:ascii="Times New Roman" w:hAnsi="Times New Roman" w:cs="Times New Roman" w:eastAsia="Times New Roman" w:hint="default"/>
          <w:spacing w:val="-1"/>
        </w:rPr>
        <w:t>12,000</w:t>
      </w:r>
      <w:r>
        <w:rPr>
          <w:spacing w:val="-1"/>
        </w:rPr>
        <w:t>万元的最高余额内。截至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w:t>
      </w:r>
      <w:r>
        <w:rPr>
          <w:spacing w:val="-70"/>
        </w:rPr>
        <w:t> </w:t>
      </w:r>
      <w:r>
        <w:rPr>
          <w:spacing w:val="-70"/>
        </w:rPr>
      </w:r>
      <w:r>
        <w:rPr/>
        <w:t>科技有限公司在上述合同项下的信用证金额为人民币</w:t>
      </w:r>
      <w:r>
        <w:rPr>
          <w:rFonts w:ascii="Times New Roman" w:hAnsi="Times New Roman" w:cs="Times New Roman" w:eastAsia="Times New Roman" w:hint="default"/>
        </w:rPr>
        <w:t>69,784,667.52</w:t>
      </w:r>
      <w:r>
        <w:rPr/>
        <w:t>元。</w:t>
      </w:r>
    </w:p>
    <w:p>
      <w:pPr>
        <w:spacing w:line="240" w:lineRule="auto" w:before="2"/>
        <w:rPr>
          <w:rFonts w:ascii="宋体" w:hAnsi="宋体" w:cs="宋体" w:eastAsia="宋体" w:hint="default"/>
          <w:sz w:val="24"/>
          <w:szCs w:val="24"/>
        </w:rPr>
      </w:pPr>
    </w:p>
    <w:p>
      <w:pPr>
        <w:pStyle w:val="Heading5"/>
        <w:spacing w:line="240" w:lineRule="auto"/>
        <w:ind w:left="511" w:right="986"/>
        <w:jc w:val="left"/>
        <w:rPr>
          <w:b w:val="0"/>
          <w:bCs w:val="0"/>
        </w:rPr>
      </w:pPr>
      <w:bookmarkStart w:name="5.关联方资金拆借" w:id="352"/>
      <w:bookmarkEnd w:id="352"/>
      <w:r>
        <w:rPr>
          <w:b w:val="0"/>
          <w:bCs w:val="0"/>
        </w:rPr>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北京东华诚信投资管理 中心（有限合伙）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309,600,000.00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北京东华诚信电脑科技 发展有限公司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1,304,800,000.00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北京合创电商投资顾问 中心（有限合伙）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北京东华诚信投资管理 中心（有限合伙）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1,222,560,000.00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北京东华诚信电脑科技 发展有限公司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北京合创电商投资顾问 中心（有限合伙）</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6.关联方资产转让、债务重组情况" w:id="353"/>
      <w:bookmarkEnd w:id="353"/>
      <w:r>
        <w:rPr>
          <w:b w:val="0"/>
          <w:bCs w:val="0"/>
        </w:rPr>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right="986"/>
        <w:jc w:val="left"/>
        <w:rPr>
          <w:b w:val="0"/>
          <w:bCs w:val="0"/>
        </w:rPr>
      </w:pPr>
      <w:bookmarkStart w:name="7.关键管理人员报酬" w:id="354"/>
      <w:bookmarkEnd w:id="354"/>
      <w:r>
        <w:rPr>
          <w:b w:val="0"/>
          <w:bCs w:val="0"/>
        </w:rPr>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10,074,900.00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9,704,500.00</w:t>
            </w:r>
            <w:r>
              <w:rPr>
                <w:rFonts w:ascii="Times New Roman"/>
                <w:sz w:val="18"/>
              </w:rPr>
            </w:r>
          </w:p>
        </w:tc>
      </w:tr>
    </w:tbl>
    <w:p>
      <w:pPr>
        <w:spacing w:line="240" w:lineRule="auto" w:before="7"/>
        <w:rPr>
          <w:rFonts w:ascii="宋体" w:hAnsi="宋体" w:cs="宋体" w:eastAsia="宋体" w:hint="default"/>
          <w:sz w:val="20"/>
          <w:szCs w:val="20"/>
        </w:rPr>
      </w:pPr>
    </w:p>
    <w:p>
      <w:pPr>
        <w:pStyle w:val="Heading5"/>
        <w:spacing w:line="590" w:lineRule="auto" w:before="44"/>
        <w:ind w:left="426" w:right="9175" w:firstLine="86"/>
        <w:jc w:val="left"/>
        <w:rPr>
          <w:rFonts w:ascii="宋体" w:hAnsi="宋体" w:cs="宋体" w:eastAsia="宋体" w:hint="default"/>
          <w:b w:val="0"/>
          <w:bCs w:val="0"/>
        </w:rPr>
      </w:pPr>
      <w:bookmarkStart w:name="8.其他关联交易" w:id="355"/>
      <w:bookmarkEnd w:id="355"/>
      <w:r>
        <w:rPr>
          <w:b w:val="0"/>
          <w:bCs w:val="0"/>
        </w:rPr>
      </w:r>
      <w:r>
        <w:rPr>
          <w:rFonts w:ascii="Times New Roman" w:hAnsi="Times New Roman" w:cs="Times New Roman" w:eastAsia="Times New Roman" w:hint="default"/>
        </w:rPr>
        <w:t>8.</w:t>
      </w:r>
      <w:r>
        <w:rPr/>
        <w:t>其他关联交易</w:t>
      </w:r>
      <w:r>
        <w:rPr>
          <w:w w:val="99"/>
        </w:rPr>
        <w:t> </w:t>
      </w:r>
      <w:r>
        <w:rPr>
          <w:rFonts w:ascii="宋体" w:hAnsi="宋体" w:cs="宋体" w:eastAsia="宋体" w:hint="default"/>
          <w:b w:val="0"/>
          <w:bCs w:val="0"/>
        </w:rPr>
        <w:t>无</w:t>
      </w:r>
    </w:p>
    <w:p>
      <w:pPr>
        <w:pStyle w:val="Heading4"/>
        <w:spacing w:line="240" w:lineRule="auto" w:before="90"/>
        <w:ind w:right="986"/>
        <w:jc w:val="left"/>
        <w:rPr>
          <w:b w:val="0"/>
          <w:bCs w:val="0"/>
        </w:rPr>
      </w:pPr>
      <w:bookmarkStart w:name="6、关联方应收应付款项" w:id="356"/>
      <w:bookmarkEnd w:id="3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986"/>
        <w:jc w:val="left"/>
        <w:rPr>
          <w:b w:val="0"/>
          <w:bCs w:val="0"/>
        </w:rPr>
      </w:pPr>
      <w:bookmarkStart w:name="1.应收项目" w:id="357"/>
      <w:bookmarkEnd w:id="357"/>
      <w:r>
        <w:rPr>
          <w:b w:val="0"/>
          <w:bCs w:val="0"/>
        </w:rPr>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深圳市贝尔加数据 信息有限公司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45,392,803.40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3,309,105.34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26,619,303.40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266,193.03</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2.应付项目" w:id="358"/>
      <w:bookmarkEnd w:id="358"/>
      <w:r>
        <w:rPr>
          <w:b w:val="0"/>
          <w:bCs w:val="0"/>
        </w:rPr>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183,423.98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7,509,140.00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321,024,068.36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99" w:right="0"/>
              <w:jc w:val="left"/>
              <w:rPr>
                <w:rFonts w:ascii="Times New Roman" w:hAnsi="Times New Roman" w:cs="Times New Roman" w:eastAsia="Times New Roman" w:hint="default"/>
                <w:sz w:val="18"/>
                <w:szCs w:val="18"/>
              </w:rPr>
            </w:pPr>
            <w:r>
              <w:rPr>
                <w:rFonts w:ascii="Times New Roman"/>
                <w:sz w:val="18"/>
              </w:rPr>
              <w:t>1,231,449,669.33</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北京东华诚信电脑科技发展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1,206,673,306.44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12,980,008.11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 关联方承诺" w:id="359"/>
      <w:bookmarkEnd w:id="359"/>
      <w:r>
        <w:rPr>
          <w:b w:val="0"/>
          <w:bCs w:val="0"/>
        </w:rPr>
      </w:r>
      <w:r>
        <w:rPr>
          <w:rFonts w:ascii="Times New Roman" w:hAnsi="Times New Roman" w:cs="Times New Roman" w:eastAsia="Times New Roman" w:hint="default"/>
        </w:rPr>
        <w:t>6</w:t>
      </w:r>
      <w:r>
        <w:rPr/>
        <w:t>、</w:t>
      </w:r>
      <w:r>
        <w:rPr>
          <w:spacing w:val="-61"/>
        </w:rPr>
        <w:t> </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6"/>
        <w:jc w:val="left"/>
        <w:rPr>
          <w:b w:val="0"/>
          <w:bCs w:val="0"/>
        </w:rPr>
      </w:pPr>
      <w:bookmarkStart w:name="7、其他" w:id="360"/>
      <w:bookmarkEnd w:id="360"/>
      <w:r>
        <w:rPr>
          <w:b w:val="0"/>
          <w:bCs w:val="0"/>
        </w:rPr>
      </w:r>
      <w:r>
        <w:rPr>
          <w:rFonts w:ascii="Times New Roman" w:hAnsi="Times New Roman" w:cs="Times New Roman" w:eastAsia="Times New Roman" w:hint="default"/>
        </w:rPr>
        <w:t>7</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986"/>
        <w:jc w:val="left"/>
        <w:rPr>
          <w:b w:val="0"/>
          <w:bCs w:val="0"/>
        </w:rPr>
      </w:pPr>
      <w:bookmarkStart w:name="十三、股份支付" w:id="361"/>
      <w:bookmarkEnd w:id="361"/>
      <w:r>
        <w:rPr>
          <w:b w:val="0"/>
          <w:bCs w:val="0"/>
        </w:rPr>
      </w:r>
      <w:r>
        <w:rPr/>
        <w:t>十三、股份支付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十四、承诺及或有事项" w:id="362"/>
      <w:bookmarkEnd w:id="362"/>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重要承诺事项" w:id="363"/>
      <w:bookmarkEnd w:id="36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资产负债表日存在的重要承诺 无</w:t>
      </w:r>
    </w:p>
    <w:p>
      <w:pPr>
        <w:spacing w:line="240" w:lineRule="auto" w:before="12"/>
        <w:rPr>
          <w:rFonts w:ascii="宋体" w:hAnsi="宋体" w:cs="宋体" w:eastAsia="宋体" w:hint="default"/>
          <w:sz w:val="19"/>
          <w:szCs w:val="19"/>
        </w:rPr>
      </w:pPr>
    </w:p>
    <w:p>
      <w:pPr>
        <w:pStyle w:val="Heading4"/>
        <w:spacing w:line="240" w:lineRule="auto"/>
        <w:ind w:right="986"/>
        <w:jc w:val="left"/>
        <w:rPr>
          <w:b w:val="0"/>
          <w:bCs w:val="0"/>
        </w:rPr>
      </w:pPr>
      <w:bookmarkStart w:name="2、或有事项" w:id="364"/>
      <w:bookmarkEnd w:id="36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6"/>
          <w:szCs w:val="26"/>
        </w:rPr>
      </w:pPr>
    </w:p>
    <w:p>
      <w:pPr>
        <w:spacing w:line="590" w:lineRule="auto" w:before="0"/>
        <w:ind w:left="512" w:right="3376" w:firstLine="0"/>
        <w:jc w:val="left"/>
        <w:rPr>
          <w:rFonts w:ascii="宋体" w:hAnsi="宋体" w:cs="宋体" w:eastAsia="宋体" w:hint="default"/>
          <w:sz w:val="18"/>
          <w:szCs w:val="18"/>
        </w:rPr>
      </w:pPr>
      <w:bookmarkStart w:name="1.资产负债表日存在的重要或有事项" w:id="365"/>
      <w:bookmarkEnd w:id="365"/>
      <w:r>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资产负债表日存在的重要或有事项</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日，本公司不存在应披露的重要的未决诉讼、对外担保等或有事项。 </w:t>
      </w:r>
      <w:bookmarkStart w:name="2.公司没有需要披露的重要或有事项，也应予以说明" w:id="366"/>
      <w:bookmarkEnd w:id="366"/>
      <w:r>
        <w:rPr>
          <w:rFonts w:ascii="宋体" w:hAnsi="宋体" w:cs="宋体" w:eastAsia="宋体" w:hint="default"/>
          <w:sz w:val="18"/>
          <w:szCs w:val="18"/>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公司没有需要披露的重要或有事项，也应予以说明</w:t>
      </w:r>
      <w:r>
        <w:rPr>
          <w:rFonts w:ascii="宋体" w:hAnsi="宋体" w:cs="宋体" w:eastAsia="宋体" w:hint="default"/>
          <w:b/>
          <w:bCs/>
          <w:w w:val="99"/>
          <w:sz w:val="18"/>
          <w:szCs w:val="18"/>
        </w:rPr>
        <w:t> </w:t>
      </w:r>
      <w:r>
        <w:rPr>
          <w:rFonts w:ascii="宋体" w:hAnsi="宋体" w:cs="宋体" w:eastAsia="宋体" w:hint="default"/>
          <w:sz w:val="18"/>
          <w:szCs w:val="18"/>
        </w:rPr>
        <w:t>公司不存在需要披露的重要或有事项。</w:t>
      </w:r>
    </w:p>
    <w:p>
      <w:pPr>
        <w:pStyle w:val="Heading4"/>
        <w:spacing w:line="240" w:lineRule="auto" w:before="90"/>
        <w:ind w:right="986"/>
        <w:jc w:val="left"/>
        <w:rPr>
          <w:b w:val="0"/>
          <w:bCs w:val="0"/>
        </w:rPr>
      </w:pPr>
      <w:bookmarkStart w:name="3、其他" w:id="367"/>
      <w:bookmarkEnd w:id="367"/>
      <w:r>
        <w:rPr>
          <w:b w:val="0"/>
          <w:bCs w:val="0"/>
        </w:rPr>
      </w:r>
      <w:r>
        <w:rPr>
          <w:rFonts w:ascii="Times New Roman" w:hAnsi="Times New Roman" w:cs="Times New Roman" w:eastAsia="Times New Roman" w:hint="default"/>
        </w:rPr>
        <w:t>3</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986"/>
        <w:jc w:val="left"/>
        <w:rPr>
          <w:b w:val="0"/>
          <w:bCs w:val="0"/>
        </w:rPr>
      </w:pPr>
      <w:bookmarkStart w:name="十五、资产负债表日后事项" w:id="368"/>
      <w:bookmarkEnd w:id="368"/>
      <w:r>
        <w:rPr>
          <w:b w:val="0"/>
          <w:bCs w:val="0"/>
        </w:rPr>
      </w:r>
      <w:r>
        <w:rPr/>
        <w:t>十五、资产负债表日后事项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bookmarkStart w:name="十六、其他重要事项" w:id="369"/>
      <w:bookmarkEnd w:id="369"/>
      <w:r>
        <w:rPr>
          <w:b w:val="0"/>
          <w:bCs w:val="0"/>
        </w:rPr>
      </w:r>
      <w:r>
        <w:rPr/>
        <w:t>十六、其他重要事项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bookmarkStart w:name="十七、母公司财务报表主要项目注释" w:id="370"/>
      <w:bookmarkEnd w:id="370"/>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应收票据及应收账款" w:id="371"/>
      <w:bookmarkEnd w:id="371"/>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15,394,152.26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40,800,873.03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3,577,115,134.27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3,234,313,158.27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3,592,509,286.53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3,275,114,031.30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right="986"/>
        <w:jc w:val="left"/>
        <w:rPr>
          <w:b w:val="0"/>
          <w:bCs w:val="0"/>
        </w:rPr>
      </w:pPr>
      <w:bookmarkStart w:name="1.应收票据" w:id="372"/>
      <w:bookmarkEnd w:id="372"/>
      <w:r>
        <w:rPr>
          <w:b w:val="0"/>
          <w:bCs w:val="0"/>
        </w:rPr>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512" w:right="986"/>
        <w:jc w:val="left"/>
      </w:pPr>
      <w:r>
        <w:rPr/>
        <w:t>（</w:t>
      </w:r>
      <w:r>
        <w:rPr>
          <w:rFonts w:ascii="Times New Roman" w:hAnsi="Times New Roman" w:cs="Times New Roman" w:eastAsia="Times New Roman" w:hint="default"/>
        </w:rPr>
        <w:t>1</w:t>
      </w:r>
      <w:r>
        <w:rPr/>
        <w:t>）应收票据分类列示</w:t>
      </w:r>
    </w:p>
    <w:p>
      <w:pPr>
        <w:pStyle w:val="BodyText"/>
        <w:spacing w:line="240" w:lineRule="auto" w:before="101"/>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13,502,042.42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14,646,853.03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1,892,109.84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26,154,020.00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15,394,152.26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40,800,873.03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left="512" w:right="-18"/>
        <w:jc w:val="left"/>
      </w:pPr>
      <w:r>
        <w:rPr/>
        <w:t>（</w:t>
      </w:r>
      <w:r>
        <w:rPr>
          <w:rFonts w:ascii="Times New Roman" w:hAnsi="Times New Roman" w:cs="Times New Roman" w:eastAsia="Times New Roman" w:hint="default"/>
        </w:rPr>
        <w:t>2</w:t>
      </w:r>
      <w:r>
        <w:rPr/>
        <w:t>）期末公司已质押的应收票据</w:t>
      </w:r>
    </w:p>
    <w:p>
      <w:pPr>
        <w:pStyle w:val="BodyText"/>
        <w:spacing w:line="240" w:lineRule="auto" w:before="101"/>
        <w:ind w:left="51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18"/>
        <w:jc w:val="left"/>
      </w:pPr>
      <w:r>
        <w:rPr/>
        <w:t>（</w:t>
      </w: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512"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825" w:space="2643"/>
            <w:col w:w="2462"/>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6,709,912.32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6,709,912.32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12" w:right="986"/>
        <w:jc w:val="left"/>
      </w:pPr>
      <w:r>
        <w:rPr/>
        <w:t>（</w:t>
      </w: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right="986"/>
        <w:jc w:val="left"/>
        <w:rPr>
          <w:b w:val="0"/>
          <w:bCs w:val="0"/>
        </w:rPr>
      </w:pPr>
      <w:bookmarkStart w:name="2.应收账款" w:id="373"/>
      <w:bookmarkEnd w:id="373"/>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512" w:right="986"/>
        <w:jc w:val="left"/>
      </w:pPr>
      <w:r>
        <w:rPr/>
        <w:t>（</w:t>
      </w:r>
      <w:r>
        <w:rPr>
          <w:rFonts w:ascii="Times New Roman" w:hAnsi="Times New Roman" w:cs="Times New Roman" w:eastAsia="Times New Roman" w:hint="default"/>
        </w:rPr>
        <w:t>1</w:t>
      </w:r>
      <w:r>
        <w:rPr/>
        <w:t>）应收账款分类披露</w:t>
      </w:r>
    </w:p>
    <w:p>
      <w:pPr>
        <w:pStyle w:val="BodyText"/>
        <w:spacing w:line="240" w:lineRule="auto" w:before="103"/>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953"/>
        <w:gridCol w:w="574"/>
        <w:gridCol w:w="787"/>
        <w:gridCol w:w="655"/>
        <w:gridCol w:w="761"/>
        <w:gridCol w:w="1193"/>
        <w:gridCol w:w="55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3,920,95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8,379.66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343,843,24</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5.39</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8.77%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3,577,115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,134.27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3,493,3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67,885.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259,054,727.66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3,234,313,1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58.27</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3,920,95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8,379.66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343,843,24</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5.39</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8.77%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3,577,115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,134.27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3,493,3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67,885.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259,054,727.66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3,234,313,1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58.27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firstLine="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left="5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4"/>
            <w:col w:w="210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7075"/>
      </w:tblGrid>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1,646,244,554.47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16,462,445.54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1,003,333,278.97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50,166,663.95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573,429,892.25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57,342,989.22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395,220,264.23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118,566,079.27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287,750,460.48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86,325,138.15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14,979,929.26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14,979,929.26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3,920,958,379.66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343,843,245.39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8.77%</w:t>
            </w:r>
          </w:p>
        </w:tc>
      </w:tr>
    </w:tbl>
    <w:p>
      <w:pPr>
        <w:pStyle w:val="BodyText"/>
        <w:spacing w:line="240" w:lineRule="auto" w:before="51"/>
        <w:ind w:right="986"/>
        <w:jc w:val="left"/>
      </w:pPr>
      <w:r>
        <w:rPr/>
        <w:t>确定该组合依据的说明：</w:t>
      </w:r>
    </w:p>
    <w:p>
      <w:pPr>
        <w:spacing w:line="240" w:lineRule="auto" w:before="0"/>
        <w:rPr>
          <w:rFonts w:ascii="宋体" w:hAnsi="宋体" w:cs="宋体" w:eastAsia="宋体" w:hint="default"/>
          <w:sz w:val="15"/>
          <w:szCs w:val="15"/>
        </w:rPr>
      </w:pPr>
    </w:p>
    <w:p>
      <w:pPr>
        <w:pStyle w:val="BodyText"/>
        <w:spacing w:line="314" w:lineRule="auto"/>
        <w:ind w:right="986" w:firstLine="419"/>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BodyText"/>
        <w:spacing w:line="240" w:lineRule="auto" w:before="140"/>
        <w:ind w:right="986"/>
        <w:jc w:val="left"/>
      </w:pPr>
      <w:r>
        <w:rPr/>
        <w:t>组合中，采用余额百分比法计提坏账准备的应收账款：</w:t>
      </w:r>
    </w:p>
    <w:p>
      <w:pPr>
        <w:pStyle w:val="BodyText"/>
        <w:spacing w:line="340" w:lineRule="auto" w:before="117"/>
        <w:ind w:right="67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left="512" w:right="986"/>
        <w:jc w:val="left"/>
      </w:pPr>
      <w:r>
        <w:rPr/>
        <w:t>（</w:t>
      </w: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604" w:right="986"/>
        <w:jc w:val="left"/>
      </w:pPr>
      <w:r>
        <w:rPr/>
        <w:t>本期计提坏账准备金额</w:t>
      </w:r>
      <w:r>
        <w:rPr>
          <w:spacing w:val="-47"/>
        </w:rPr>
        <w:t> </w:t>
      </w:r>
      <w:r>
        <w:rPr>
          <w:rFonts w:ascii="Times New Roman" w:hAnsi="Times New Roman" w:cs="Times New Roman" w:eastAsia="Times New Roman" w:hint="default"/>
        </w:rPr>
        <w:t>84,788,517.73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2" w:right="986"/>
        <w:jc w:val="left"/>
      </w:pPr>
      <w:r>
        <w:rPr/>
        <w:t>（</w:t>
      </w:r>
      <w:r>
        <w:rPr>
          <w:rFonts w:ascii="Times New Roman" w:hAnsi="Times New Roman" w:cs="Times New Roman" w:eastAsia="Times New Roman" w:hint="default"/>
        </w:rPr>
        <w:t>3</w:t>
      </w:r>
      <w:r>
        <w:rPr/>
        <w:t>）本期实际核销的应收账款情况</w:t>
      </w:r>
    </w:p>
    <w:p>
      <w:pPr>
        <w:pStyle w:val="BodyText"/>
        <w:spacing w:line="240" w:lineRule="auto" w:before="101"/>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986"/>
        <w:jc w:val="left"/>
      </w:pPr>
      <w:r>
        <w:rPr/>
        <w:t>（</w:t>
      </w:r>
      <w:r>
        <w:rPr>
          <w:rFonts w:ascii="Times New Roman" w:hAnsi="Times New Roman" w:cs="Times New Roman" w:eastAsia="Times New Roman" w:hint="default"/>
        </w:rPr>
        <w:t>4</w:t>
      </w:r>
      <w:r>
        <w:rPr/>
        <w:t>）按欠款方归集的期末余额前五名的应收账款情况</w:t>
      </w:r>
    </w:p>
    <w:p>
      <w:pPr>
        <w:spacing w:line="240" w:lineRule="auto" w:before="2"/>
        <w:rPr>
          <w:rFonts w:ascii="宋体" w:hAnsi="宋体" w:cs="宋体" w:eastAsia="宋体" w:hint="default"/>
          <w:sz w:val="14"/>
          <w:szCs w:val="14"/>
        </w:rPr>
      </w:pPr>
    </w:p>
    <w:p>
      <w:pPr>
        <w:pStyle w:val="BodyText"/>
        <w:spacing w:line="240" w:lineRule="auto"/>
        <w:ind w:left="573" w:right="986"/>
        <w:jc w:val="left"/>
      </w:pPr>
      <w:r>
        <w:rPr>
          <w:spacing w:val="5"/>
        </w:rPr>
        <w:t>本报告期按欠款方归集的期末余额前五名应收账款汇总金额</w:t>
      </w:r>
      <w:r>
        <w:rPr>
          <w:rFonts w:ascii="Times New Roman" w:hAnsi="Times New Roman" w:cs="Times New Roman" w:eastAsia="Times New Roman" w:hint="default"/>
          <w:spacing w:val="5"/>
        </w:rPr>
        <w:t>378,683,444.84</w:t>
      </w:r>
      <w:r>
        <w:rPr>
          <w:spacing w:val="5"/>
        </w:rPr>
        <w:t>元，占应收账款期末余额合计数的比例</w:t>
      </w:r>
      <w:r>
        <w:rPr/>
      </w:r>
    </w:p>
    <w:p>
      <w:pPr>
        <w:pStyle w:val="BodyText"/>
        <w:spacing w:line="240" w:lineRule="auto" w:before="60"/>
        <w:ind w:left="153" w:right="986"/>
        <w:jc w:val="left"/>
      </w:pPr>
      <w:r>
        <w:rPr>
          <w:rFonts w:ascii="Times New Roman" w:hAnsi="Times New Roman" w:cs="Times New Roman" w:eastAsia="Times New Roman" w:hint="default"/>
        </w:rPr>
        <w:t>9.66%</w:t>
      </w:r>
      <w:r>
        <w:rPr/>
        <w:t>，相应计提的坏账准备期末余额汇总金额</w:t>
      </w:r>
      <w:r>
        <w:rPr>
          <w:rFonts w:ascii="Times New Roman" w:hAnsi="Times New Roman" w:cs="Times New Roman" w:eastAsia="Times New Roman" w:hint="default"/>
        </w:rPr>
        <w:t>20,741,964.82</w:t>
      </w:r>
      <w:r>
        <w:rPr/>
        <w:t>元。</w:t>
      </w:r>
    </w:p>
    <w:p>
      <w:pPr>
        <w:spacing w:line="240" w:lineRule="auto" w:before="13"/>
        <w:rPr>
          <w:rFonts w:ascii="宋体" w:hAnsi="宋体" w:cs="宋体" w:eastAsia="宋体" w:hint="default"/>
          <w:sz w:val="13"/>
          <w:szCs w:val="13"/>
        </w:rPr>
      </w:pPr>
    </w:p>
    <w:p>
      <w:pPr>
        <w:pStyle w:val="BodyText"/>
        <w:spacing w:line="340" w:lineRule="auto"/>
        <w:ind w:left="513" w:right="6883"/>
        <w:jc w:val="left"/>
      </w:pPr>
      <w:r>
        <w:rPr/>
        <w:t>（</w:t>
      </w:r>
      <w:r>
        <w:rPr>
          <w:rFonts w:ascii="Times New Roman" w:hAnsi="Times New Roman" w:cs="Times New Roman" w:eastAsia="Times New Roman" w:hint="default"/>
        </w:rPr>
        <w:t>5</w:t>
      </w:r>
      <w:r>
        <w:rPr/>
        <w:t>）因金融资产转移而终止确认的应收账款 无</w:t>
      </w:r>
    </w:p>
    <w:p>
      <w:pPr>
        <w:pStyle w:val="BodyText"/>
        <w:spacing w:line="340" w:lineRule="auto" w:before="39"/>
        <w:ind w:left="513" w:right="6163"/>
        <w:jc w:val="left"/>
      </w:pPr>
      <w:r>
        <w:rPr/>
        <w:t>（</w:t>
      </w:r>
      <w:r>
        <w:rPr>
          <w:rFonts w:ascii="Times New Roman" w:hAnsi="Times New Roman" w:cs="Times New Roman" w:eastAsia="Times New Roman" w:hint="default"/>
        </w:rPr>
        <w:t>6</w:t>
      </w:r>
      <w:r>
        <w:rPr/>
        <w:t>）转移应收账款且继续涉入形成的资产、负债金额 无</w:t>
      </w:r>
    </w:p>
    <w:p>
      <w:pPr>
        <w:spacing w:line="240" w:lineRule="auto" w:before="3"/>
        <w:rPr>
          <w:rFonts w:ascii="宋体" w:hAnsi="宋体" w:cs="宋体" w:eastAsia="宋体" w:hint="default"/>
          <w:sz w:val="21"/>
          <w:szCs w:val="21"/>
        </w:rPr>
      </w:pPr>
    </w:p>
    <w:p>
      <w:pPr>
        <w:pStyle w:val="Heading4"/>
        <w:spacing w:line="240" w:lineRule="auto"/>
        <w:ind w:right="986"/>
        <w:jc w:val="left"/>
        <w:rPr>
          <w:b w:val="0"/>
          <w:bCs w:val="0"/>
        </w:rPr>
      </w:pPr>
      <w:bookmarkStart w:name="2、其他应收款" w:id="374"/>
      <w:bookmarkEnd w:id="37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1,267,434,141.69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684,910,163.57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1,267,434,141.69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684,910,163.57</w:t>
            </w:r>
            <w:r>
              <w:rPr>
                <w:rFonts w:ascii="Times New Roman"/>
                <w:sz w:val="18"/>
              </w:rPr>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1.应收利息" w:id="375"/>
      <w:bookmarkEnd w:id="375"/>
      <w:r>
        <w:rPr>
          <w:b w:val="0"/>
          <w:bCs w:val="0"/>
        </w:rPr>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right="986"/>
        <w:jc w:val="left"/>
        <w:rPr>
          <w:b w:val="0"/>
          <w:bCs w:val="0"/>
        </w:rPr>
      </w:pPr>
      <w:bookmarkStart w:name="2.应收股利" w:id="376"/>
      <w:bookmarkEnd w:id="376"/>
      <w:r>
        <w:rPr>
          <w:b w:val="0"/>
          <w:bCs w:val="0"/>
        </w:rPr>
      </w:r>
      <w:r>
        <w:rPr>
          <w:rFonts w:ascii="Times New Roman" w:hAnsi="Times New Roman" w:cs="Times New Roman" w:eastAsia="Times New Roman" w:hint="default"/>
        </w:rPr>
        <w:t>2.</w:t>
      </w:r>
      <w:r>
        <w:rPr/>
        <w:t>应收股利</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7"/>
        <w:ind w:right="986"/>
        <w:jc w:val="left"/>
        <w:rPr>
          <w:b w:val="0"/>
          <w:bCs w:val="0"/>
        </w:rPr>
      </w:pPr>
      <w:bookmarkStart w:name="3.其他应收款" w:id="377"/>
      <w:bookmarkEnd w:id="377"/>
      <w:r>
        <w:rPr>
          <w:b w:val="0"/>
          <w:bCs w:val="0"/>
        </w:rPr>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512" w:right="986"/>
        <w:jc w:val="left"/>
      </w:pPr>
      <w:r>
        <w:rPr/>
        <w:t>（</w:t>
      </w: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1,367,93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1,713.28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100,497,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571.59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1,267,434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,141.69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761,332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,819.86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76,422,65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684,910,16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1,367,93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1,713.28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center"/>
              <w:rPr>
                <w:rFonts w:ascii="Times New Roman" w:hAnsi="Times New Roman" w:cs="Times New Roman" w:eastAsia="Times New Roman" w:hint="default"/>
                <w:sz w:val="18"/>
                <w:szCs w:val="18"/>
              </w:rPr>
            </w:pPr>
            <w:r>
              <w:rPr>
                <w:rFonts w:ascii="Times New Roman"/>
                <w:sz w:val="18"/>
              </w:rPr>
              <w:t>100,497,</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571.59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18"/>
                <w:szCs w:val="18"/>
              </w:rPr>
            </w:pPr>
            <w:r>
              <w:rPr>
                <w:rFonts w:ascii="Times New Roman"/>
                <w:sz w:val="18"/>
              </w:rPr>
              <w:t>1,267,434</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,141.69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761,332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,819.86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76,422,65</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6.29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684,910,16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3.57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4"/>
            <w:col w:w="210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1,021,589,546.05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10,215,895.46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161,200,973.61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8,060,048.68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60,217,122.86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6,021,712.29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40,943,475.69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12,283,042.71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28,662,460.89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8,598,738.27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55,318,134.18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55,318,134.18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1,367,931,713.28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100,497,571.59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7.35%</w:t>
            </w:r>
          </w:p>
        </w:tc>
      </w:tr>
    </w:tbl>
    <w:p>
      <w:pPr>
        <w:pStyle w:val="BodyText"/>
        <w:spacing w:line="240" w:lineRule="auto" w:before="51"/>
        <w:ind w:right="986"/>
        <w:jc w:val="left"/>
      </w:pPr>
      <w:r>
        <w:rPr/>
        <w:t>确定该组合依据的说明：</w:t>
      </w:r>
    </w:p>
    <w:p>
      <w:pPr>
        <w:spacing w:line="240" w:lineRule="auto" w:before="3"/>
        <w:rPr>
          <w:rFonts w:ascii="宋体" w:hAnsi="宋体" w:cs="宋体" w:eastAsia="宋体" w:hint="default"/>
          <w:sz w:val="15"/>
          <w:szCs w:val="15"/>
        </w:rPr>
      </w:pPr>
    </w:p>
    <w:p>
      <w:pPr>
        <w:pStyle w:val="BodyText"/>
        <w:spacing w:line="314" w:lineRule="auto"/>
        <w:ind w:right="986" w:firstLine="420"/>
        <w:jc w:val="left"/>
      </w:pPr>
      <w:r>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pStyle w:val="BodyText"/>
        <w:spacing w:line="240" w:lineRule="auto" w:before="140"/>
        <w:ind w:right="986"/>
        <w:jc w:val="left"/>
      </w:pPr>
      <w:r>
        <w:rPr/>
        <w:t>组合中，采用余额百分比法计提坏账准备的其他应收款：</w:t>
      </w:r>
    </w:p>
    <w:p>
      <w:pPr>
        <w:pStyle w:val="BodyText"/>
        <w:spacing w:line="338" w:lineRule="auto" w:before="117"/>
        <w:ind w:right="6614" w:firstLine="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7" w:top="1060" w:bottom="1160" w:left="980" w:right="0"/>
        </w:sectPr>
      </w:pPr>
    </w:p>
    <w:p>
      <w:pPr>
        <w:pStyle w:val="BodyText"/>
        <w:spacing w:line="240" w:lineRule="auto" w:before="44"/>
        <w:ind w:left="512" w:right="-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10"/>
        <w:jc w:val="left"/>
      </w:pPr>
      <w:r>
        <w:rPr/>
        <w:t>（</w:t>
      </w:r>
      <w:r>
        <w:rPr>
          <w:rFonts w:ascii="Times New Roman" w:hAnsi="Times New Roman" w:cs="Times New Roman" w:eastAsia="Times New Roman" w:hint="default"/>
        </w:rPr>
        <w:t>2</w:t>
      </w:r>
      <w:r>
        <w:rPr/>
        <w:t>）本期计提、收回或转回的坏账准备情况</w:t>
      </w:r>
    </w:p>
    <w:p>
      <w:pPr>
        <w:pStyle w:val="BodyText"/>
        <w:spacing w:line="240" w:lineRule="auto" w:before="101"/>
        <w:ind w:left="512" w:right="-10"/>
        <w:jc w:val="left"/>
      </w:pPr>
      <w:r>
        <w:rPr/>
        <w:t>本期计提坏账准备金额</w:t>
      </w:r>
      <w:r>
        <w:rPr>
          <w:spacing w:val="-47"/>
        </w:rPr>
        <w:t> </w:t>
      </w:r>
      <w:r>
        <w:rPr>
          <w:rFonts w:ascii="Times New Roman" w:hAnsi="Times New Roman" w:cs="Times New Roman" w:eastAsia="Times New Roman" w:hint="default"/>
        </w:rPr>
        <w:t>24,074,915.30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2" w:right="-10"/>
        <w:jc w:val="left"/>
      </w:pPr>
      <w:r>
        <w:rPr/>
        <w:t>（</w:t>
      </w:r>
      <w:r>
        <w:rPr>
          <w:rFonts w:ascii="Times New Roman" w:hAnsi="Times New Roman" w:cs="Times New Roman" w:eastAsia="Times New Roman" w:hint="default"/>
        </w:rPr>
        <w:t>3</w:t>
      </w:r>
      <w:r>
        <w:rPr/>
        <w:t>）本期实际核销的其他应收款情况</w:t>
      </w:r>
    </w:p>
    <w:p>
      <w:pPr>
        <w:pStyle w:val="BodyText"/>
        <w:spacing w:line="240" w:lineRule="auto" w:before="103"/>
        <w:ind w:left="512" w:right="-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2" w:right="-10"/>
        <w:jc w:val="left"/>
      </w:pPr>
      <w:r>
        <w:rPr/>
        <w:t>（</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left="512"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907" w:space="1560"/>
            <w:col w:w="246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109,801,965.27</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87,383,438.33</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130,216,568.07</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114,550,533.12</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130,820,495.77</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115,839,131.34</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951,654,844.86</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377,844,431.52</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45,437,839.31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51,105,483.55</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14,609,802.00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1,367,931,713.28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761,332,819.86</w:t>
            </w:r>
            <w:r>
              <w:rPr>
                <w:rFonts w:ascii="Times New Roman"/>
                <w:sz w:val="18"/>
              </w:rPr>
            </w:r>
          </w:p>
        </w:tc>
      </w:tr>
    </w:tbl>
    <w:p>
      <w:pPr>
        <w:pStyle w:val="BodyText"/>
        <w:spacing w:line="240" w:lineRule="auto" w:before="51"/>
        <w:ind w:left="512" w:right="986"/>
        <w:jc w:val="left"/>
      </w:pPr>
      <w:r>
        <w:rPr/>
        <w:t>（</w:t>
      </w: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深圳市至高科技通信 技术发展有限公司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378,029,488.28</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3,780,294.88</w:t>
            </w:r>
            <w:r>
              <w:rPr>
                <w:rFonts w:ascii="Times New Roman"/>
                <w:sz w:val="18"/>
              </w:rPr>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142,734,029.85</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1,427,340.30</w:t>
            </w:r>
            <w:r>
              <w:rPr>
                <w:rFonts w:ascii="Times New Roman"/>
                <w:sz w:val="18"/>
              </w:rPr>
            </w:r>
          </w:p>
        </w:tc>
      </w:tr>
      <w:tr>
        <w:trPr>
          <w:trHeight w:val="133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108,380,288.54</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84,485,000.00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23,895,288.54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2,039,614.43</w:t>
            </w:r>
            <w:r>
              <w:rPr>
                <w:rFonts w:ascii="Times New Roman"/>
                <w:sz w:val="18"/>
              </w:rPr>
            </w: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泰安东华合创软件有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70,525,031.47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61,448,619.86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9,076,411.61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1,068,306.78</w:t>
            </w:r>
            <w:r>
              <w:rPr>
                <w:rFonts w:ascii="Times New Roman"/>
                <w:sz w:val="18"/>
              </w:rPr>
            </w:r>
          </w:p>
        </w:tc>
      </w:tr>
      <w:tr>
        <w:trPr>
          <w:trHeight w:val="133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北京东华易时科技有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64,594,658.37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41,115,000.00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23,479,658.37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1,585,132.92</w:t>
            </w:r>
            <w:r>
              <w:rPr>
                <w:rFonts w:ascii="Times New Roman"/>
                <w:sz w:val="18"/>
              </w:rPr>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764,263,496.51</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9,900,689.31</w:t>
            </w:r>
            <w:r>
              <w:rPr>
                <w:rFonts w:ascii="Times New Roman"/>
                <w:sz w:val="18"/>
              </w:rPr>
            </w:r>
          </w:p>
        </w:tc>
      </w:tr>
    </w:tbl>
    <w:p>
      <w:pPr>
        <w:pStyle w:val="BodyText"/>
        <w:spacing w:line="240" w:lineRule="auto" w:before="51"/>
        <w:ind w:left="512" w:right="986"/>
        <w:jc w:val="left"/>
      </w:pPr>
      <w:r>
        <w:rPr/>
        <w:t>（</w:t>
      </w:r>
      <w:r>
        <w:rPr>
          <w:rFonts w:ascii="Times New Roman" w:hAnsi="Times New Roman" w:cs="Times New Roman" w:eastAsia="Times New Roman" w:hint="default"/>
        </w:rPr>
        <w:t>6</w:t>
      </w:r>
      <w:r>
        <w:rPr/>
        <w:t>）涉及政府补助的应收款项</w:t>
      </w:r>
    </w:p>
    <w:p>
      <w:pPr>
        <w:pStyle w:val="BodyText"/>
        <w:spacing w:line="240" w:lineRule="auto" w:before="103"/>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2" w:right="986"/>
        <w:jc w:val="left"/>
      </w:pPr>
      <w:r>
        <w:rPr/>
        <w:t>（</w:t>
      </w:r>
      <w:r>
        <w:rPr>
          <w:rFonts w:ascii="Times New Roman" w:hAnsi="Times New Roman" w:cs="Times New Roman" w:eastAsia="Times New Roman" w:hint="default"/>
        </w:rPr>
        <w:t>7</w:t>
      </w:r>
      <w:r>
        <w:rPr/>
        <w:t>）因金融资产转移而终止确认的其他应收款</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2" w:right="986"/>
        <w:jc w:val="left"/>
      </w:pPr>
      <w:r>
        <w:rPr/>
        <w:t>无</w:t>
      </w:r>
    </w:p>
    <w:p>
      <w:pPr>
        <w:pStyle w:val="BodyText"/>
        <w:spacing w:line="338" w:lineRule="auto" w:before="117"/>
        <w:ind w:left="512" w:right="5984"/>
        <w:jc w:val="left"/>
      </w:pPr>
      <w:r>
        <w:rPr/>
        <w:t>（</w:t>
      </w:r>
      <w:r>
        <w:rPr>
          <w:rFonts w:ascii="Times New Roman" w:hAnsi="Times New Roman" w:cs="Times New Roman" w:eastAsia="Times New Roman" w:hint="default"/>
        </w:rPr>
        <w:t>8</w:t>
      </w:r>
      <w:r>
        <w:rPr/>
        <w:t>）转移其他应收款且继续涉入形成的资产、负债金额 无</w:t>
      </w:r>
    </w:p>
    <w:p>
      <w:pPr>
        <w:spacing w:line="240" w:lineRule="auto" w:before="5"/>
        <w:rPr>
          <w:rFonts w:ascii="宋体" w:hAnsi="宋体" w:cs="宋体" w:eastAsia="宋体" w:hint="default"/>
          <w:sz w:val="21"/>
          <w:szCs w:val="21"/>
        </w:rPr>
      </w:pPr>
    </w:p>
    <w:p>
      <w:pPr>
        <w:pStyle w:val="Heading4"/>
        <w:spacing w:line="240" w:lineRule="auto"/>
        <w:ind w:right="986"/>
        <w:jc w:val="left"/>
        <w:rPr>
          <w:b w:val="0"/>
          <w:bCs w:val="0"/>
        </w:rPr>
      </w:pPr>
      <w:bookmarkStart w:name="3、长期股权投资" w:id="378"/>
      <w:bookmarkEnd w:id="37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3,712,604,848.88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550,273,061.24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3,162,331,787.64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3,537,252,208.60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197,960,000.00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3,339,292,208.60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89,017,833.33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89,017,833.33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7,176,900.22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7,176,900.22</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3,801,622,682.21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550,273,061.24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3,251,349,620.97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3,544,429,108.82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197,960,000.00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3,346,469,108.82</w:t>
            </w: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1.对子公司投资" w:id="379"/>
      <w:bookmarkEnd w:id="379"/>
      <w:r>
        <w:rPr>
          <w:b w:val="0"/>
          <w:bCs w:val="0"/>
        </w:rPr>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广州东华软件有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972,155.63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972,155.63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27,998,593.90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27,998,593.90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292,675,400.00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292,675,400.00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88,699.51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88,699.51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109,890,000.00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109,890,000.00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东华合创科技有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沈阳普林科技有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东华医为科技有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430,000.00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天津东华博雅软 件股份有限公司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85,220,000.00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583,000,000.00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135,191,847.25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155,101,847.25</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兰州东华软件有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4,950,000.00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7"/>
              <w:jc w:val="left"/>
              <w:rPr>
                <w:rFonts w:ascii="宋体" w:hAnsi="宋体" w:cs="宋体" w:eastAsia="宋体" w:hint="default"/>
                <w:sz w:val="18"/>
                <w:szCs w:val="18"/>
              </w:rPr>
            </w:pPr>
            <w:r>
              <w:rPr>
                <w:rFonts w:ascii="宋体" w:hAnsi="宋体" w:cs="宋体" w:eastAsia="宋体" w:hint="default"/>
                <w:sz w:val="18"/>
                <w:szCs w:val="18"/>
              </w:rPr>
              <w:t>合力东华（北京）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东华互联宜家数 据服务有限公司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东华博育云有限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苏州东华软件科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内蒙古东华软件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12,873,662.84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35,163,000.00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48,036,662.84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海南东华软件有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东华网络股份公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165,186,081.06</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261,686,081.06</w:t>
            </w:r>
            <w:r>
              <w:rPr>
                <w:rFonts w:ascii="Times New Roman"/>
                <w:sz w:val="18"/>
              </w:rPr>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51,935,132.93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133,485,132.93</w:t>
            </w:r>
            <w:r>
              <w:rPr>
                <w:rFonts w:ascii="Times New Roman"/>
                <w:sz w:val="18"/>
              </w:rPr>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东华智中能源互 联网有限公司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3,230,000.00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7,650,000.00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吉林省东华软件 信息工程有限公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华金在线股份公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5,290,000.00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北京东华福蝉信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z w:val="18"/>
                <w:szCs w:val="18"/>
              </w:rPr>
              <w:t>贵州东华云数据 科技有限责任公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12,281,000.00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44,092,000.00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56,373,000.00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东华金云网络股 份公司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5,101,000.00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6,046,000.00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11,147,000.00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东华软件威海有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3,641,696.72</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1,859,303.28</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5,501,000.00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河北东华冀通软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1,215,000.00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1,665,000.00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南京东华科创信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郑州东华诚信软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7,190,000.00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7,290,000.00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三亚东华云信数 据服务有限公司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云南东合数据信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北京国能智研信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6,860,000.00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6,860,000.00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安阳东华软件有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z w:val="18"/>
                <w:szCs w:val="18"/>
              </w:rPr>
              <w:t>广西东华云数据 信息技术有限责 任公司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16,674,800.00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16,674,800.00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东华智城云计算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29,953,977.00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29,953,977.00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东华至高通信技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567,000.00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567,000.00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安徽东华智慧城 市信息技术有限 责任公司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陕西空港云谷科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11,718,560.00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11,718,560.00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3,537,252,208.60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201,352,640.28</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3,712,604,848.88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0" w:right="0"/>
              <w:jc w:val="left"/>
              <w:rPr>
                <w:rFonts w:ascii="Times New Roman" w:hAnsi="Times New Roman" w:cs="Times New Roman" w:eastAsia="Times New Roman" w:hint="default"/>
                <w:sz w:val="18"/>
                <w:szCs w:val="18"/>
              </w:rPr>
            </w:pPr>
            <w:r>
              <w:rPr>
                <w:rFonts w:ascii="Times New Roman"/>
                <w:sz w:val="18"/>
              </w:rPr>
              <w:t>352,313,061.24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0" w:right="0"/>
              <w:jc w:val="left"/>
              <w:rPr>
                <w:rFonts w:ascii="Times New Roman" w:hAnsi="Times New Roman" w:cs="Times New Roman" w:eastAsia="Times New Roman" w:hint="default"/>
                <w:sz w:val="18"/>
                <w:szCs w:val="18"/>
              </w:rPr>
            </w:pPr>
            <w:r>
              <w:rPr>
                <w:rFonts w:ascii="Times New Roman"/>
                <w:sz w:val="18"/>
              </w:rPr>
              <w:t>550,273,061.24</w:t>
            </w:r>
          </w:p>
        </w:tc>
      </w:tr>
    </w:tbl>
    <w:p>
      <w:pPr>
        <w:spacing w:line="240" w:lineRule="auto" w:before="4"/>
        <w:rPr>
          <w:rFonts w:ascii="Times New Roman" w:hAnsi="Times New Roman" w:cs="Times New Roman" w:eastAsia="Times New Roman" w:hint="default"/>
          <w:sz w:val="23"/>
          <w:szCs w:val="23"/>
        </w:rPr>
      </w:pPr>
    </w:p>
    <w:p>
      <w:pPr>
        <w:pStyle w:val="Heading5"/>
        <w:spacing w:line="240" w:lineRule="auto" w:before="44"/>
        <w:ind w:right="986"/>
        <w:jc w:val="left"/>
        <w:rPr>
          <w:b w:val="0"/>
          <w:bCs w:val="0"/>
        </w:rPr>
      </w:pPr>
      <w:bookmarkStart w:name="2.对联营、合营企业投资" w:id="380"/>
      <w:bookmarkEnd w:id="380"/>
      <w:r>
        <w:rPr>
          <w:b w:val="0"/>
          <w:bCs w:val="0"/>
        </w:rPr>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瑞客东华 转化医学 研究中心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1,679.40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1,679.40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5,676,900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213,361.3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5,890,261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北京中能 博泰科技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72,794,43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-13,996,2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60,298,20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北京东软 慧聚信息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-10,209,7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7,037,420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22,827,68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7,176,900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98,794,43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-23,990,9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7,037,420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89,017,83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7,176,900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98,794,43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-23,990,9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7,037,420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89,017,83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5"/>
        <w:spacing w:line="240" w:lineRule="auto" w:before="44"/>
        <w:ind w:right="986"/>
        <w:jc w:val="left"/>
        <w:rPr>
          <w:b w:val="0"/>
          <w:bCs w:val="0"/>
        </w:rPr>
      </w:pPr>
      <w:bookmarkStart w:name="3.其他说明" w:id="381"/>
      <w:bookmarkEnd w:id="381"/>
      <w:r>
        <w:rPr>
          <w:b w:val="0"/>
          <w:bCs w:val="0"/>
        </w:rPr>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6"/>
        <w:jc w:val="left"/>
        <w:rPr>
          <w:b w:val="0"/>
          <w:bCs w:val="0"/>
        </w:rPr>
      </w:pPr>
      <w:bookmarkStart w:name="4、营业收入和营业成本" w:id="382"/>
      <w:bookmarkEnd w:id="38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4,046,015,274.97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2,850,756,653.58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3,191,568,377.26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1,900,607,046.36</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937,568.04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937,568.04</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4,046,015,274.97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2,851,694,221.62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3,191,568,377.26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1,901,544,614.40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投资收益" w:id="383"/>
      <w:bookmarkEnd w:id="38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81,153,200.00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39,448,700.00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-23,990,918.89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1,039,974.01</w:t>
            </w:r>
            <w:r>
              <w:rPr>
                <w:rFonts w:ascii="Times New Roman"/>
                <w:sz w:val="18"/>
              </w:rPr>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7,037,420.00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-6,100,000.00</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-17,947.40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359,319,234.85</w:t>
            </w:r>
            <w:r>
              <w:rPr>
                <w:rFonts w:ascii="Times New Roman"/>
                <w:sz w:val="18"/>
              </w:rPr>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-685,393.26</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64,181,753.71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393,022,515.60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其他" w:id="384"/>
      <w:bookmarkEnd w:id="384"/>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986"/>
        <w:jc w:val="left"/>
        <w:rPr>
          <w:b w:val="0"/>
          <w:bCs w:val="0"/>
        </w:rPr>
      </w:pPr>
      <w:bookmarkStart w:name="十八、补充资料" w:id="385"/>
      <w:bookmarkEnd w:id="385"/>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当期非经常性损益明细表" w:id="386"/>
      <w:bookmarkEnd w:id="38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w:t>
      </w:r>
      <w:r>
        <w:rPr>
          <w:spacing w:val="1"/>
        </w:rPr>
        <w:t> </w:t>
      </w:r>
      <w:r>
        <w:rPr/>
        <w:t>元</w:t>
      </w:r>
    </w:p>
    <w:p>
      <w:pPr>
        <w:spacing w:after="0" w:line="240" w:lineRule="auto"/>
        <w:jc w:val="right"/>
        <w:sectPr>
          <w:pgSz w:w="11910" w:h="16840"/>
          <w:pgMar w:header="748"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5,735,320.90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38,052,964.50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-17,947.40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302,722,431.51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业绩补偿款等</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14,169,543.94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367,306.08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331,955,919.49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12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净资产收益率及每股收益" w:id="387"/>
      <w:bookmarkEnd w:id="38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403" w:hRule="exact"/>
        </w:trPr>
        <w:tc>
          <w:tcPr>
            <w:tcW w:w="2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2" w:type="dxa"/>
            <w:vMerge/>
            <w:tcBorders>
              <w:left w:val="single" w:sz="4" w:space="0" w:color="000000"/>
              <w:bottom w:val="single" w:sz="4" w:space="0" w:color="000000"/>
              <w:right w:val="single" w:sz="4" w:space="0" w:color="000000"/>
            </w:tcBorders>
            <w:shd w:val="clear" w:color="auto" w:fill="D4D4D4"/>
          </w:tcPr>
          <w:p>
            <w:pPr/>
          </w:p>
        </w:tc>
        <w:tc>
          <w:tcPr>
            <w:tcW w:w="3082" w:type="dxa"/>
            <w:vMerge/>
            <w:tcBorders>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0.2575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0.2575</w:t>
            </w:r>
            <w:r>
              <w:rPr>
                <w:rFonts w:ascii="Times New Roman"/>
                <w:sz w:val="18"/>
              </w:rPr>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0.1515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0.1515</w:t>
            </w:r>
            <w:r>
              <w:rPr>
                <w:rFonts w:ascii="Times New Roman"/>
                <w:sz w:val="18"/>
              </w:rPr>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3、境内外会计准则下会计数据差异" w:id="388"/>
      <w:bookmarkEnd w:id="38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986"/>
        <w:jc w:val="left"/>
        <w:rPr>
          <w:b w:val="0"/>
          <w:bCs w:val="0"/>
        </w:rPr>
      </w:pPr>
      <w:bookmarkStart w:name="1.同时按照国际会计准则与按中国会计准则披露的财务报告中净利润和净资产差异情况" w:id="389"/>
      <w:bookmarkEnd w:id="389"/>
      <w:r>
        <w:rPr>
          <w:b w:val="0"/>
          <w:bCs w:val="0"/>
        </w:rPr>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right="986"/>
        <w:jc w:val="left"/>
        <w:rPr>
          <w:b w:val="0"/>
          <w:bCs w:val="0"/>
        </w:rPr>
      </w:pPr>
      <w:bookmarkStart w:name="2.同时按照境外会计准则与按中国会计准则披露的财务报告中净利润和净资产差异情况" w:id="390"/>
      <w:bookmarkEnd w:id="390"/>
      <w:r>
        <w:rPr>
          <w:b w:val="0"/>
          <w:bCs w:val="0"/>
        </w:rPr>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512"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4"/>
          <w:szCs w:val="24"/>
        </w:rPr>
      </w:pPr>
    </w:p>
    <w:p>
      <w:pPr>
        <w:pStyle w:val="Heading5"/>
        <w:spacing w:line="240" w:lineRule="auto" w:before="44"/>
        <w:ind w:right="986"/>
        <w:jc w:val="left"/>
        <w:rPr>
          <w:b w:val="0"/>
          <w:bCs w:val="0"/>
        </w:rPr>
      </w:pPr>
      <w:bookmarkStart w:name="3.境内外会计准则下会计数据差异原因说明，对已经境外审计机构审计的数据进行差异调" w:id="391"/>
      <w:bookmarkEnd w:id="391"/>
      <w:r>
        <w:rPr>
          <w:b w:val="0"/>
          <w:bCs w:val="0"/>
        </w:rPr>
      </w:r>
      <w:r>
        <w:rPr>
          <w:rFonts w:ascii="Times New Roman" w:hAnsi="Times New Roman" w:cs="Times New Roman" w:eastAsia="Times New Roman" w:hint="default"/>
        </w:rPr>
        <w:t>3.</w:t>
      </w:r>
      <w:r>
        <w:rPr/>
        <w:t>境内外会计准则下会计数据差异原因说明，对已经境外审计机构审计的数据进行差异调节的，应注明该境外机构的名</w:t>
      </w:r>
      <w:r>
        <w:rPr>
          <w:b w:val="0"/>
          <w:bCs w:val="0"/>
        </w:rPr>
      </w:r>
    </w:p>
    <w:p>
      <w:pPr>
        <w:pStyle w:val="Heading5"/>
        <w:spacing w:line="240" w:lineRule="auto" w:before="65"/>
        <w:ind w:left="152" w:right="986"/>
        <w:jc w:val="left"/>
        <w:rPr>
          <w:b w:val="0"/>
          <w:bCs w:val="0"/>
        </w:rPr>
      </w:pPr>
      <w:r>
        <w:rPr>
          <w:w w:val="99"/>
        </w:rPr>
        <w:t>称</w:t>
      </w:r>
      <w:r>
        <w:rPr>
          <w:b w:val="0"/>
          <w:bCs w:val="0"/>
        </w:rPr>
      </w:r>
    </w:p>
    <w:p>
      <w:pPr>
        <w:spacing w:line="240" w:lineRule="auto" w:before="3"/>
        <w:rPr>
          <w:rFonts w:ascii="宋体" w:hAnsi="宋体" w:cs="宋体" w:eastAsia="宋体" w:hint="default"/>
          <w:b/>
          <w:bCs/>
          <w:sz w:val="24"/>
          <w:szCs w:val="24"/>
        </w:rPr>
      </w:pPr>
    </w:p>
    <w:p>
      <w:pPr>
        <w:pStyle w:val="Heading4"/>
        <w:spacing w:line="240" w:lineRule="auto" w:before="36"/>
        <w:ind w:right="986"/>
        <w:jc w:val="left"/>
        <w:rPr>
          <w:b w:val="0"/>
          <w:bCs w:val="0"/>
        </w:rPr>
      </w:pPr>
      <w:bookmarkStart w:name="4、其他" w:id="392"/>
      <w:bookmarkEnd w:id="39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986"/>
        <w:jc w:val="left"/>
        <w:rPr>
          <w:b w:val="0"/>
          <w:bCs w:val="0"/>
        </w:rPr>
      </w:pPr>
      <w:bookmarkStart w:name="第十二节 备查文件目录" w:id="393"/>
      <w:bookmarkEnd w:id="393"/>
      <w:r>
        <w:rPr>
          <w:b w:val="0"/>
          <w:bCs w:val="0"/>
        </w:rPr>
      </w:r>
      <w:bookmarkStart w:name="_bookmark10" w:id="394"/>
      <w:bookmarkEnd w:id="394"/>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986"/>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2018</w:t>
      </w:r>
      <w:r>
        <w:rPr/>
        <w:t>年年度报告文本原件。</w:t>
      </w:r>
    </w:p>
    <w:p>
      <w:pPr>
        <w:pStyle w:val="BodyText"/>
        <w:spacing w:line="240" w:lineRule="auto" w:before="62"/>
        <w:ind w:right="986"/>
        <w:jc w:val="left"/>
      </w:pPr>
      <w:r>
        <w:rPr>
          <w:rFonts w:ascii="Times New Roman" w:hAnsi="Times New Roman" w:cs="Times New Roman" w:eastAsia="Times New Roman" w:hint="default"/>
        </w:rPr>
        <w:t>2</w:t>
      </w:r>
      <w:r>
        <w:rPr/>
        <w:t>、载有公司法定代表人、主管会计工作负责人及会计机构负责人签名并盖章的会计报表。</w:t>
      </w:r>
    </w:p>
    <w:p>
      <w:pPr>
        <w:pStyle w:val="BodyText"/>
        <w:spacing w:line="240" w:lineRule="auto" w:before="62"/>
        <w:ind w:right="986"/>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2"/>
        <w:ind w:right="986"/>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BodyText"/>
        <w:spacing w:line="240" w:lineRule="auto" w:before="62"/>
        <w:ind w:right="986"/>
        <w:jc w:val="left"/>
        <w:rPr>
          <w:rFonts w:ascii="宋体" w:hAnsi="宋体" w:cs="宋体" w:eastAsia="宋体" w:hint="default"/>
        </w:rPr>
      </w:pPr>
      <w:r>
        <w:rPr>
          <w:rFonts w:ascii="Times New Roman" w:hAnsi="Times New Roman" w:cs="Times New Roman" w:eastAsia="Times New Roman" w:hint="default"/>
        </w:rPr>
        <w:t>5</w:t>
      </w:r>
      <w:r>
        <w:rPr/>
        <w:t>、其他备查文件。</w:t>
      </w:r>
      <w:r>
        <w:rPr>
          <w:rFonts w:ascii="宋体" w:hAnsi="宋体" w:cs="宋体" w:eastAsia="宋体" w:hint="default"/>
        </w:rPr>
        <w:t> </w:t>
      </w:r>
    </w:p>
    <w:p>
      <w:pPr>
        <w:pStyle w:val="BodyText"/>
        <w:spacing w:line="240" w:lineRule="auto" w:before="62"/>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398" w:lineRule="auto" w:before="36"/>
        <w:ind w:left="7204" w:right="1555" w:firstLine="408"/>
        <w:jc w:val="right"/>
        <w:rPr>
          <w:b w:val="0"/>
          <w:bCs w:val="0"/>
        </w:rPr>
      </w:pPr>
      <w:r>
        <w:rPr>
          <w:spacing w:val="-1"/>
        </w:rPr>
        <w:t>法定代表人</w:t>
      </w:r>
      <w:r>
        <w:rPr>
          <w:rFonts w:ascii="Times New Roman" w:hAnsi="Times New Roman" w:cs="Times New Roman" w:eastAsia="Times New Roman" w:hint="default"/>
          <w:spacing w:val="-1"/>
        </w:rPr>
        <w:t>:</w:t>
      </w:r>
      <w:r>
        <w:rPr>
          <w:spacing w:val="-1"/>
        </w:rPr>
        <w:t>薛向东</w:t>
      </w:r>
      <w:r>
        <w:rPr>
          <w:w w:val="100"/>
        </w:rPr>
        <w:t> </w:t>
      </w:r>
      <w:r>
        <w:rPr/>
        <w:t>东华软件股份公司</w:t>
      </w:r>
      <w:r>
        <w:rPr>
          <w:w w:val="100"/>
        </w:rPr>
        <w:t> </w:t>
      </w:r>
      <w:r>
        <w:rPr>
          <w:spacing w:val="-1"/>
        </w:rPr>
        <w:t>二零一九年四月三十日</w:t>
      </w:r>
      <w:r>
        <w:rPr>
          <w:b w:val="0"/>
          <w:bCs w:val="0"/>
          <w:spacing w:val="-1"/>
        </w:rPr>
      </w:r>
    </w:p>
    <w:sectPr>
      <w:pgSz w:w="11910" w:h="16840"/>
      <w:pgMar w:header="748" w:footer="977"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4008" type="#_x0000_t75" stroked="false">
          <v:imagedata r:id="rId1" o:title=""/>
        </v:shape>
      </w:pict>
    </w:r>
    <w:r>
      <w:rPr/>
      <w:pict>
        <v:shape style="position:absolute;margin-left:533pt;margin-top:795.757935pt;width:6.5pt;height:11pt;mso-position-horizontal-relative:page;mso-position-vertical-relative:page;z-index:-943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3960" type="#_x0000_t75" stroked="false">
          <v:imagedata r:id="rId1" o:title=""/>
        </v:shape>
      </w:pict>
    </w:r>
    <w:r>
      <w:rPr/>
      <w:pict>
        <v:shape style="position:absolute;margin-left:527.559998pt;margin-top:782.077942pt;width:13.15pt;height:11pt;mso-position-horizontal-relative:page;mso-position-vertical-relative:page;z-index:-943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3912" type="#_x0000_t75" stroked="false">
          <v:imagedata r:id="rId1" o:title=""/>
        </v:shape>
      </w:pict>
    </w:r>
    <w:r>
      <w:rPr/>
      <w:pict>
        <v:shape style="position:absolute;margin-left:524pt;margin-top:782.077942pt;width:15.7pt;height:11pt;mso-position-horizontal-relative:page;mso-position-vertical-relative:page;z-index:-943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3864" type="#_x0000_t75" stroked="false">
          <v:imagedata r:id="rId1" o:title=""/>
        </v:shape>
      </w:pict>
    </w:r>
    <w:r>
      <w:rPr/>
      <w:pict>
        <v:shape style="position:absolute;margin-left:523pt;margin-top:782.077942pt;width:17.7pt;height:11pt;mso-position-horizontal-relative:page;mso-position-vertical-relative:page;z-index:-943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3816" type="#_x0000_t75" stroked="false">
          <v:imagedata r:id="rId1" o:title=""/>
        </v:shape>
      </w:pict>
    </w:r>
    <w:r>
      <w:rPr/>
      <w:pict>
        <v:shape style="position:absolute;margin-left:523.359985pt;margin-top:782.077942pt;width:17.3pt;height:11pt;mso-position-horizontal-relative:page;mso-position-vertical-relative:page;z-index:-943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3768" type="#_x0000_t75" stroked="false">
          <v:imagedata r:id="rId1" o:title=""/>
        </v:shape>
      </w:pict>
    </w:r>
    <w:r>
      <w:rPr/>
      <w:pict>
        <v:shape style="position:absolute;margin-left:523pt;margin-top:782.077942pt;width:17.7pt;height:11pt;mso-position-horizontal-relative:page;mso-position-vertical-relative:page;z-index:-943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pt;margin-top:36.385609pt;width:159.6pt;height:11.5pt;mso-position-horizontal-relative:page;mso-position-vertical-relative:page;z-index:-944032" type="#_x0000_t202" filled="false" stroked="false">
          <v:textbox inset="0,0,0,0">
            <w:txbxContent>
              <w:p>
                <w:pPr>
                  <w:pStyle w:val="BodyText"/>
                  <w:spacing w:line="214" w:lineRule="exact"/>
                  <w:ind w:left="20" w:right="0"/>
                  <w:jc w:val="left"/>
                </w:pPr>
                <w:r>
                  <w:rPr/>
                  <w:t>东华软件股份公司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4"/>
      <w:outlineLvl w:val="1"/>
    </w:pPr>
    <w:rPr>
      <w:rFonts w:ascii="宋体" w:hAnsi="宋体" w:eastAsia="宋体"/>
      <w:b/>
      <w:bCs/>
      <w:sz w:val="32"/>
      <w:szCs w:val="32"/>
    </w:rPr>
  </w:style>
  <w:style w:styleId="Heading2" w:type="paragraph">
    <w:name w:val="Heading 2"/>
    <w:basedOn w:val="Normal"/>
    <w:uiPriority w:val="1"/>
    <w:qFormat/>
    <w:pPr>
      <w:spacing w:before="162"/>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dhcc.com.cn/" TargetMode="External"/><Relationship Id="rId10" Type="http://schemas.openxmlformats.org/officeDocument/2006/relationships/hyperlink" Target="mailto:strongyang@dhcc.com.cn" TargetMode="External"/><Relationship Id="rId11" Type="http://schemas.openxmlformats.org/officeDocument/2006/relationships/hyperlink" Target="mailto:zhangwen_cw@dhcc.com.cn" TargetMode="External"/><Relationship Id="rId12" Type="http://schemas.openxmlformats.org/officeDocument/2006/relationships/hyperlink" Target="http://cninfo.com.cn/"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hyperlink" Target="http://www.cninfo.com/"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东华软件股份公司</dc:creator>
  <dc:title>东华软件股份公司2018年年度报告全文</dc:title>
  <dcterms:created xsi:type="dcterms:W3CDTF">2020-05-05T04:49:02Z</dcterms:created>
  <dcterms:modified xsi:type="dcterms:W3CDTF">2020-05-05T04:49:02Z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Acrobat PDFMaker 11 Word 版</vt:lpwstr>
  </property>
  <property fmtid="{D5CDD505-2E9C-101B-9397-08002B2CF9AE}" pid="4" name="LastSaved">
    <vt:filetime>2020-05-04T00:00:00Z</vt:filetime>
  </property>
</Properties>
</file>