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333" w:right="1315" w:firstLine="0"/>
        <w:jc w:val="center"/>
        <w:rPr>
          <w:rFonts w:ascii="宋体" w:hAnsi="宋体" w:cs="宋体" w:eastAsia="宋体" w:hint="default"/>
          <w:sz w:val="36"/>
          <w:szCs w:val="36"/>
        </w:rPr>
      </w:pPr>
      <w:r>
        <w:rPr/>
        <w:pict>
          <v:group style="position:absolute;margin-left:55.200001pt;margin-top:-90.551247pt;width:484.9pt;height:.1pt;mso-position-horizontal-relative:page;mso-position-vertical-relative:paragraph;z-index:0" coordorigin="1104,-1811" coordsize="9698,2">
            <v:shape style="position:absolute;left:1104;top:-1811;width:9698;height:2" coordorigin="1104,-1811" coordsize="9698,0" path="m1104,-1811l10802,-1811e" filled="false" stroked="true" strokeweight=".72pt" strokecolor="#000000">
              <v:path arrowok="t"/>
            </v:shape>
            <w10:wrap type="none"/>
          </v:group>
        </w:pict>
      </w:r>
      <w:r>
        <w:rPr>
          <w:rFonts w:ascii="宋体" w:hAnsi="宋体" w:cs="宋体" w:eastAsia="宋体" w:hint="default"/>
          <w:b/>
          <w:bCs/>
          <w:sz w:val="36"/>
          <w:szCs w:val="36"/>
        </w:rPr>
        <w:t>东华软件股份公司</w:t>
      </w:r>
      <w:r>
        <w:rPr>
          <w:rFonts w:ascii="宋体" w:hAnsi="宋体" w:cs="宋体" w:eastAsia="宋体" w:hint="default"/>
          <w:sz w:val="36"/>
          <w:szCs w:val="36"/>
        </w:rPr>
      </w:r>
    </w:p>
    <w:p>
      <w:pPr>
        <w:spacing w:line="240" w:lineRule="auto" w:before="3"/>
        <w:rPr>
          <w:rFonts w:ascii="宋体" w:hAnsi="宋体" w:cs="宋体" w:eastAsia="宋体" w:hint="default"/>
          <w:b/>
          <w:bCs/>
          <w:sz w:val="30"/>
          <w:szCs w:val="30"/>
        </w:rPr>
      </w:pPr>
    </w:p>
    <w:p>
      <w:pPr>
        <w:spacing w:before="0"/>
        <w:ind w:left="333" w:right="1316"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2019</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3014" w:lineRule="exact"/>
        <w:ind w:left="325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182060" cy="19141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82060" cy="1914144"/>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line="240" w:lineRule="auto" w:before="0"/>
        <w:rPr>
          <w:rFonts w:ascii="宋体" w:hAnsi="宋体" w:cs="宋体" w:eastAsia="宋体" w:hint="default"/>
          <w:b/>
          <w:bCs/>
          <w:sz w:val="38"/>
          <w:szCs w:val="38"/>
        </w:rPr>
      </w:pPr>
    </w:p>
    <w:p>
      <w:pPr>
        <w:spacing w:before="340"/>
        <w:ind w:left="333" w:right="13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9"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986"/>
        <w:jc w:val="left"/>
        <w:rPr>
          <w:b w:val="0"/>
          <w:bCs w:val="0"/>
        </w:rPr>
      </w:pPr>
      <w:bookmarkStart w:name="_TOC_250012"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7"/>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3"/>
        <w:ind w:right="1131" w:firstLine="562"/>
        <w:jc w:val="both"/>
        <w:rPr>
          <w:b w:val="0"/>
          <w:bCs w:val="0"/>
        </w:rPr>
      </w:pPr>
      <w:r>
        <w:rPr>
          <w:w w:val="95"/>
        </w:rPr>
        <w:t>公司负责人薛向东、主管会计工作负责人叶莉及会计机构负责人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初美伶声明：保证年度报告中财务报告的真实、准确、完整。</w:t>
      </w:r>
      <w:r>
        <w:rPr>
          <w:b w:val="0"/>
          <w:bCs w:val="0"/>
        </w:rPr>
      </w:r>
    </w:p>
    <w:p>
      <w:pPr>
        <w:pStyle w:val="Heading2"/>
        <w:spacing w:line="472" w:lineRule="auto" w:before="148"/>
        <w:ind w:left="714" w:right="986"/>
        <w:jc w:val="left"/>
        <w:rPr>
          <w:b w:val="0"/>
          <w:bCs w:val="0"/>
        </w:rPr>
      </w:pPr>
      <w:r>
        <w:rPr/>
        <w:t>所有董事均已出席了审议本报告的董事会会议。</w:t>
      </w:r>
      <w:r>
        <w:rPr>
          <w:w w:val="99"/>
        </w:rPr>
        <w:t> </w:t>
      </w:r>
      <w:r>
        <w:rPr>
          <w:spacing w:val="2"/>
        </w:rPr>
        <w:t>本报告中所涉及未来的经营计划和经营目标，并不代表公司的盈利预测，</w:t>
      </w:r>
      <w:r>
        <w:rPr>
          <w:b w:val="0"/>
          <w:bCs w:val="0"/>
          <w:spacing w:val="2"/>
        </w:rPr>
      </w:r>
    </w:p>
    <w:p>
      <w:pPr>
        <w:pStyle w:val="Heading2"/>
        <w:spacing w:line="408" w:lineRule="auto"/>
        <w:ind w:right="986"/>
        <w:jc w:val="left"/>
        <w:rPr>
          <w:b w:val="0"/>
          <w:bCs w:val="0"/>
        </w:rPr>
      </w:pPr>
      <w:r>
        <w:rPr>
          <w:spacing w:val="-2"/>
        </w:rPr>
        <w:t>也不构成公司对投资者的实质承诺，能否实现取决于市场状况变化等多种因素，</w:t>
      </w:r>
      <w:r>
        <w:rPr>
          <w:spacing w:val="-133"/>
        </w:rPr>
        <w:t> </w:t>
      </w:r>
      <w:r>
        <w:rPr>
          <w:spacing w:val="-133"/>
        </w:rPr>
      </w:r>
      <w:r>
        <w:rPr/>
        <w:t>存在不确定性，请投资者注意投资风险。</w:t>
      </w:r>
      <w:r>
        <w:rPr>
          <w:b w:val="0"/>
          <w:bCs w:val="0"/>
        </w:rPr>
      </w:r>
    </w:p>
    <w:p>
      <w:pPr>
        <w:pStyle w:val="Heading2"/>
        <w:spacing w:line="386" w:lineRule="auto" w:before="162"/>
        <w:ind w:right="1131" w:firstLine="562"/>
        <w:jc w:val="both"/>
        <w:rPr>
          <w:b w:val="0"/>
          <w:bCs w:val="0"/>
        </w:rPr>
      </w:pPr>
      <w:r>
        <w:rPr>
          <w:spacing w:val="10"/>
        </w:rPr>
        <w:t>公司在本报告第四节</w:t>
      </w:r>
      <w:r>
        <w:rPr>
          <w:rFonts w:ascii="Times New Roman" w:hAnsi="Times New Roman" w:cs="Times New Roman" w:eastAsia="Times New Roman" w:hint="default"/>
          <w:spacing w:val="10"/>
        </w:rPr>
        <w:t>“</w:t>
      </w:r>
      <w:r>
        <w:rPr>
          <w:spacing w:val="10"/>
        </w:rPr>
        <w:t>经营情况讨论与分析</w:t>
      </w:r>
      <w:r>
        <w:rPr>
          <w:rFonts w:ascii="Times New Roman" w:hAnsi="Times New Roman" w:cs="Times New Roman" w:eastAsia="Times New Roman" w:hint="default"/>
          <w:spacing w:val="10"/>
        </w:rPr>
        <w:t>”</w:t>
      </w:r>
      <w:r>
        <w:rPr>
          <w:spacing w:val="10"/>
        </w:rPr>
        <w:t>中</w:t>
      </w:r>
      <w:r>
        <w:rPr>
          <w:rFonts w:ascii="Times New Roman" w:hAnsi="Times New Roman" w:cs="Times New Roman" w:eastAsia="Times New Roman" w:hint="default"/>
          <w:spacing w:val="10"/>
        </w:rPr>
        <w:t>“</w:t>
      </w:r>
      <w:r>
        <w:rPr>
          <w:spacing w:val="10"/>
        </w:rPr>
        <w:t>公司未来发展的展望</w:t>
      </w:r>
      <w:r>
        <w:rPr>
          <w:rFonts w:ascii="Times New Roman" w:hAnsi="Times New Roman" w:cs="Times New Roman" w:eastAsia="Times New Roman" w:hint="default"/>
          <w:spacing w:val="10"/>
        </w:rPr>
        <w:t>”</w:t>
      </w:r>
      <w:r>
        <w:rPr>
          <w:spacing w:val="10"/>
        </w:rPr>
        <w:t>部</w:t>
      </w:r>
      <w:r>
        <w:rPr>
          <w:w w:val="99"/>
        </w:rPr>
        <w:t> </w:t>
      </w:r>
      <w:r>
        <w:rPr/>
        <w:t>分，描述了公司未来经营中可能面临的风险以及</w:t>
      </w:r>
      <w:r>
        <w:rPr>
          <w:spacing w:val="-8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spacing w:val="-3"/>
        </w:rPr>
        <w:t>年度经营计划，敬请广大</w:t>
      </w:r>
      <w:r>
        <w:rPr>
          <w:w w:val="99"/>
        </w:rPr>
        <w:t> </w:t>
      </w:r>
      <w:r>
        <w:rPr/>
        <w:t>投资者注意查阅</w:t>
      </w:r>
      <w:r>
        <w:rPr>
          <w:b w:val="0"/>
          <w:bCs w:val="0"/>
        </w:rPr>
      </w:r>
    </w:p>
    <w:p>
      <w:pPr>
        <w:pStyle w:val="Heading2"/>
        <w:spacing w:line="240" w:lineRule="auto" w:before="187"/>
        <w:ind w:left="714" w:right="986"/>
        <w:jc w:val="left"/>
        <w:rPr>
          <w:b w:val="0"/>
          <w:bCs w:val="0"/>
        </w:rPr>
      </w:pPr>
      <w:r>
        <w:rPr/>
        <w:t>公司经本次董事会审议通过的利润分配预案为：以</w:t>
      </w:r>
      <w:r>
        <w:rPr>
          <w:spacing w:val="-66"/>
        </w:rPr>
        <w:t> </w:t>
      </w:r>
      <w:r>
        <w:rPr>
          <w:rFonts w:ascii="Times New Roman" w:hAnsi="Times New Roman" w:cs="Times New Roman" w:eastAsia="Times New Roman" w:hint="default"/>
        </w:rPr>
        <w:t>3,115,482,375</w:t>
      </w:r>
      <w:r>
        <w:rPr>
          <w:rFonts w:ascii="Times New Roman" w:hAnsi="Times New Roman" w:cs="Times New Roman" w:eastAsia="Times New Roman" w:hint="default"/>
          <w:spacing w:val="5"/>
        </w:rPr>
        <w:t> </w:t>
      </w:r>
      <w:r>
        <w:rPr/>
        <w:t>为基数，</w:t>
      </w:r>
      <w:r>
        <w:rPr>
          <w:b w:val="0"/>
          <w:bCs w:val="0"/>
        </w:rPr>
      </w:r>
    </w:p>
    <w:p>
      <w:pPr>
        <w:pStyle w:val="Heading2"/>
        <w:spacing w:line="386" w:lineRule="auto" w:before="237"/>
        <w:ind w:right="1128"/>
        <w:jc w:val="left"/>
        <w:rPr>
          <w:b w:val="0"/>
          <w:bCs w:val="0"/>
        </w:rPr>
      </w:pPr>
      <w:r>
        <w:rPr>
          <w:w w:val="99"/>
        </w:rPr>
        <w:t>向全体股东每</w:t>
      </w:r>
      <w:r>
        <w:rPr>
          <w:spacing w:val="-67"/>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99"/>
        </w:rPr>
        <w:t>股派发现金红利</w:t>
      </w:r>
      <w:r>
        <w:rPr>
          <w:spacing w:val="-67"/>
          <w:w w:val="99"/>
        </w:rPr>
        <w:t> </w:t>
      </w:r>
      <w:r>
        <w:rPr>
          <w:rFonts w:ascii="Times New Roman" w:hAnsi="Times New Roman" w:cs="Times New Roman" w:eastAsia="Times New Roman" w:hint="default"/>
          <w:w w:val="100"/>
        </w:rPr>
        <w:t>0.5</w:t>
      </w:r>
      <w:r>
        <w:rPr>
          <w:rFonts w:ascii="Times New Roman" w:hAnsi="Times New Roman" w:cs="Times New Roman" w:eastAsia="Times New Roman" w:hint="default"/>
          <w:spacing w:val="1"/>
          <w:w w:val="100"/>
        </w:rPr>
        <w:t> </w:t>
      </w:r>
      <w:r>
        <w:rPr>
          <w:spacing w:val="-16"/>
          <w:w w:val="99"/>
        </w:rPr>
        <w:t>元（含税），送红股</w:t>
      </w:r>
      <w:r>
        <w:rPr>
          <w:spacing w:val="-65"/>
          <w:w w:val="9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 </w:t>
      </w:r>
      <w:r>
        <w:rPr>
          <w:spacing w:val="-16"/>
          <w:w w:val="99"/>
        </w:rPr>
        <w:t>股（含税），不以公</w:t>
      </w:r>
      <w:r>
        <w:rPr>
          <w:w w:val="99"/>
        </w:rPr>
        <w:t> </w:t>
      </w:r>
      <w:r>
        <w:rPr/>
        <w:t>积金转增股本。</w:t>
      </w:r>
      <w:r>
        <w:rPr>
          <w:b w:val="0"/>
          <w:bCs w:val="0"/>
        </w:rPr>
      </w:r>
    </w:p>
    <w:p>
      <w:pPr>
        <w:spacing w:after="0" w:line="386" w:lineRule="auto"/>
        <w:jc w:val="left"/>
        <w:sectPr>
          <w:footerReference w:type="default" r:id="rId8"/>
          <w:pgSz w:w="11910" w:h="16840"/>
          <w:pgMar w:footer="979"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33" w:right="13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10">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07">
            <w:r>
              <w:rPr/>
              <w:t>第六节股份变动及股东情况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TOC_250006">
            <w:r>
              <w:rPr/>
              <w:t>第七节优先股相关情况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第八节可转换公司债券相关情况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04">
            <w:r>
              <w:rPr/>
              <w:t>第九节董事、监事、高级管理人员和员工情况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TOC_250001">
            <w:r>
              <w:rPr/>
              <w:t>第十二节</w:t>
            </w:r>
            <w:r>
              <w:rPr>
                <w:spacing w:val="-2"/>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2"/>
              </w:rPr>
              <w:t> </w:t>
            </w:r>
            <w:r>
              <w:rPr/>
              <w:t>备查文件目录</w:t>
            </w:r>
            <w:r>
              <w:rPr>
                <w:rFonts w:ascii="Times New Roman" w:hAnsi="Times New Roman" w:cs="Times New Roman" w:eastAsia="Times New Roman" w:hint="default"/>
              </w:rPr>
              <w:tab/>
              <w:t>209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9" w:top="1060" w:bottom="1160" w:left="980" w:right="0"/>
        </w:sectPr>
      </w:pPr>
    </w:p>
    <w:p>
      <w:pPr>
        <w:spacing w:before="942"/>
        <w:ind w:left="333" w:right="13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w:t>
            </w:r>
            <w:r>
              <w:rPr>
                <w:rFonts w:ascii="Times New Roman" w:hAnsi="Times New Roman" w:cs="Times New Roman" w:eastAsia="Times New Roman" w:hint="default"/>
                <w:sz w:val="18"/>
                <w:szCs w:val="18"/>
              </w:rPr>
              <w:t>/</w:t>
            </w: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公司会计师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诚信电脑</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诚信投资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建水同欣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建水同欣奋斗企业管理中心（有限合伙）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万兴软件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东华医为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北京东华医为科技有限公司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中登</w:t>
            </w:r>
            <w:r>
              <w:rPr>
                <w:rFonts w:ascii="Times New Roman" w:hAnsi="Times New Roman" w:cs="Times New Roman" w:eastAsia="Times New Roman" w:hint="default"/>
                <w:sz w:val="18"/>
                <w:szCs w:val="18"/>
              </w:rPr>
              <w:t>/</w:t>
            </w:r>
            <w:r>
              <w:rPr>
                <w:rFonts w:ascii="宋体" w:hAnsi="宋体" w:cs="宋体" w:eastAsia="宋体" w:hint="default"/>
                <w:sz w:val="18"/>
                <w:szCs w:val="18"/>
              </w:rPr>
              <w:t>中登深证分公司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138pt;margin-top:272.809998pt;width:396.95pt;height:19.6pt;mso-position-horizontal-relative:page;mso-position-vertical-relative:page;z-index:-1079896"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986"/>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002065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DHC Software</w:t>
            </w:r>
            <w:r>
              <w:rPr>
                <w:rFonts w:ascii="Times New Roman"/>
                <w:spacing w:val="-6"/>
                <w:sz w:val="18"/>
              </w:rPr>
              <w:t> </w:t>
            </w:r>
            <w:r>
              <w:rPr>
                <w:rFonts w:ascii="Times New Roman"/>
                <w:sz w:val="18"/>
              </w:rPr>
              <w:t>Co.,Ltd.</w:t>
            </w:r>
          </w:p>
        </w:tc>
      </w:tr>
      <w:tr>
        <w:trPr>
          <w:trHeight w:val="401"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DHCC</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http://www.dhcc.com.cn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r>
        <w:rPr/>
        <w:t>二、联系人和联系方式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1"/>
                <w:sz w:val="18"/>
                <w:szCs w:val="18"/>
              </w:rPr>
              <w:t> </w:t>
            </w:r>
            <w:r>
              <w:rPr>
                <w:rFonts w:ascii="宋体" w:hAnsi="宋体" w:cs="宋体" w:eastAsia="宋体" w:hint="default"/>
                <w:sz w:val="18"/>
                <w:szCs w:val="18"/>
              </w:rPr>
              <w:t>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1"/>
                <w:sz w:val="18"/>
                <w:szCs w:val="18"/>
              </w:rPr>
              <w:t> </w:t>
            </w:r>
            <w:r>
              <w:rPr>
                <w:rFonts w:ascii="宋体" w:hAnsi="宋体" w:cs="宋体" w:eastAsia="宋体" w:hint="default"/>
                <w:sz w:val="18"/>
                <w:szCs w:val="18"/>
              </w:rPr>
              <w:t>雯</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010-62662188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010-62662188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010-62662299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010-62662299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zhangwen_cw@dhcc.com.cn</w:t>
              </w:r>
            </w:hyperlink>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层公司证券部</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986"/>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3"/>
        <w:gridCol w:w="6167"/>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92"/>
              <w:jc w:val="right"/>
              <w:rPr>
                <w:rFonts w:ascii="宋体" w:hAnsi="宋体" w:cs="宋体" w:eastAsia="宋体" w:hint="default"/>
                <w:sz w:val="18"/>
                <w:szCs w:val="18"/>
              </w:rPr>
            </w:pPr>
            <w:r>
              <w:rPr>
                <w:rFonts w:ascii="宋体" w:hAnsi="宋体" w:cs="宋体" w:eastAsia="宋体" w:hint="default"/>
                <w:sz w:val="18"/>
                <w:szCs w:val="18"/>
              </w:rPr>
              <w:t>无变化</w:t>
            </w:r>
          </w:p>
        </w:tc>
      </w:tr>
      <w:tr>
        <w:trPr>
          <w:trHeight w:val="403" w:hRule="exact"/>
        </w:trPr>
        <w:tc>
          <w:tcPr>
            <w:tcW w:w="340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67"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49"/>
              <w:ind w:left="-148" w:right="5580"/>
              <w:jc w:val="right"/>
              <w:rPr>
                <w:rFonts w:ascii="宋体" w:hAnsi="宋体" w:cs="宋体" w:eastAsia="宋体" w:hint="default"/>
                <w:sz w:val="18"/>
                <w:szCs w:val="18"/>
              </w:rPr>
            </w:pPr>
            <w:r>
              <w:rPr>
                <w:rFonts w:ascii="宋体" w:hAnsi="宋体" w:cs="宋体" w:eastAsia="宋体" w:hint="default"/>
                <w:spacing w:val="-4"/>
                <w:w w:val="95"/>
                <w:sz w:val="18"/>
                <w:szCs w:val="18"/>
              </w:rPr>
              <w:t>）无变化</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92"/>
              <w:jc w:val="right"/>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轩菲、史继欣</w:t>
            </w:r>
          </w:p>
        </w:tc>
      </w:tr>
    </w:tbl>
    <w:p>
      <w:pPr>
        <w:pStyle w:val="BodyText"/>
        <w:spacing w:line="240" w:lineRule="auto" w:before="10"/>
        <w:ind w:right="986"/>
        <w:jc w:val="left"/>
      </w:pPr>
      <w:r>
        <w:rPr/>
        <w:t>公司聘请的报告期内履行持续督导职责的保荐机构</w:t>
      </w:r>
    </w:p>
    <w:p>
      <w:pPr>
        <w:pStyle w:val="BodyText"/>
        <w:spacing w:line="300" w:lineRule="auto" w:before="76"/>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t>公司是否需追溯调整或重述以前年度会计数据</w:t>
      </w:r>
    </w:p>
    <w:p>
      <w:pPr>
        <w:pStyle w:val="BodyText"/>
        <w:spacing w:line="240" w:lineRule="auto" w:before="115"/>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1702"/>
        <w:gridCol w:w="1419"/>
        <w:gridCol w:w="1738"/>
        <w:gridCol w:w="1735"/>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8,849,012,664.06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8,470,591,084.10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7,290,128,453.42</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583,701,772.02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806,409,576.38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663,799,645.53</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487,336,020.71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474,453,656.89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304,804,425.64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302,404,355.69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351,460,807.64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167,677,716.04</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0.2114</w:t>
            </w:r>
            <w:r>
              <w:rPr>
                <w:rFonts w:ascii="Times New Roman"/>
                <w:sz w:val="18"/>
              </w:rPr>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0.2114</w:t>
            </w:r>
            <w:r>
              <w:rPr>
                <w:rFonts w:ascii="Times New Roman"/>
                <w:sz w:val="18"/>
              </w:rPr>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7.49%</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16,835,002,423.20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16,005,650,937.10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14,154,048,899.04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9,523,851,201.80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9,175,030,210.24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8,894,807,143.21</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451"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13"/>
          <w:szCs w:val="13"/>
        </w:rPr>
      </w:pPr>
    </w:p>
    <w:p>
      <w:pPr>
        <w:pStyle w:val="Heading3"/>
        <w:spacing w:line="240" w:lineRule="auto"/>
        <w:ind w:right="986"/>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1,638,024,012.88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1,955,046,914.75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2,140,373,059.27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3,115,568,677.16</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154,795,109.80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232,031,126.11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366,641,601.54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-169,766,065.43</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154,598,860.81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206,103,666.23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364,918,135.72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-238,284,642.05</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-845,178,960.26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-29,172,842.62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-22,378,466.63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1,199,134,625.20</w:t>
            </w:r>
          </w:p>
        </w:tc>
      </w:tr>
    </w:tbl>
    <w:p>
      <w:pPr>
        <w:pStyle w:val="BodyText"/>
        <w:spacing w:line="240" w:lineRule="auto" w:before="10"/>
        <w:ind w:right="986"/>
        <w:jc w:val="left"/>
      </w:pPr>
      <w:r>
        <w:rPr/>
        <w:t>上述财务指标或其加总数是否与公司已披露季度报告、半年度报告相关财务指标存在重大差异</w:t>
      </w:r>
    </w:p>
    <w:p>
      <w:pPr>
        <w:pStyle w:val="BodyText"/>
        <w:spacing w:line="240" w:lineRule="auto" w:before="76"/>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421"/>
        <w:gridCol w:w="1419"/>
        <w:gridCol w:w="1913"/>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11,220,949.94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5,735,320.90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12,383,097.54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49,943,784.61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38,052,964.50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32,516,542.21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18,681,234.46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-17,947.40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359,319,234.85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2,606,931.99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302,722,431.51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-5,866,114.44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19,495,252.39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-685,393.26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购买日之前原持有股权 按照公允价值重新计量 产生的利得或损失</w:t>
            </w:r>
          </w:p>
        </w:tc>
      </w:tr>
    </w:tbl>
    <w:p>
      <w:pPr>
        <w:spacing w:after="0" w:line="319" w:lineRule="auto"/>
        <w:jc w:val="both"/>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421"/>
        <w:gridCol w:w="1419"/>
        <w:gridCol w:w="1913"/>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5,653,781.11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14,169,543.94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37,659,465.95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-71,379.03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367,306.08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1,012,681.06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96,365,751.31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331,955,919.49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358,995,219.89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3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00" w:lineRule="auto" w:before="6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17"/>
        <w:jc w:val="center"/>
        <w:rPr>
          <w:b w:val="0"/>
          <w:bCs w:val="0"/>
        </w:rPr>
      </w:pPr>
      <w:bookmarkStart w:name="_TOC_250010" w:id="3"/>
      <w:r>
        <w:rPr/>
        <w:t>第三节公司业务概要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r>
        <w:rPr/>
        <w:t>一、报告期内公司从事的主要业务</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513" w:right="98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92" w:lineRule="exact" w:before="36"/>
        <w:ind w:left="513" w:right="986"/>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公司自成立以来，长期专注于综合性行业应用软件开发、计算机信息系统集成和信息技术服务，致力于为客户持续提供</w:t>
      </w:r>
    </w:p>
    <w:p>
      <w:pPr>
        <w:pStyle w:val="BodyText"/>
        <w:spacing w:line="179" w:lineRule="exact"/>
        <w:ind w:right="0"/>
        <w:jc w:val="both"/>
      </w:pPr>
      <w:r>
        <w:rPr>
          <w:spacing w:val="-4"/>
        </w:rPr>
        <w:t>行业整体解决方案和信息化服务。经过多年业务积累，公司的应用软件、行业解决方案及技术服务已广泛应用于医疗、金融、</w:t>
      </w:r>
    </w:p>
    <w:p>
      <w:pPr>
        <w:pStyle w:val="BodyText"/>
        <w:spacing w:line="232" w:lineRule="exact" w:before="23"/>
        <w:ind w:right="1136"/>
        <w:jc w:val="both"/>
      </w:pPr>
      <w:r>
        <w:rPr>
          <w:spacing w:val="-2"/>
        </w:rPr>
        <w:t>智慧城市、电力、政府、通讯、运输物流等行业，积累了丰富的技术与优质的客户资源，赢得了良好的业界口碑。公司的主</w:t>
      </w:r>
      <w:r>
        <w:rPr>
          <w:spacing w:val="-73"/>
        </w:rPr>
        <w:t> </w:t>
      </w:r>
      <w:r>
        <w:rPr>
          <w:spacing w:val="-73"/>
        </w:rPr>
      </w:r>
      <w:r>
        <w:rPr/>
        <w:t>要产品及服务包括：</w:t>
      </w:r>
    </w:p>
    <w:p>
      <w:pPr>
        <w:pStyle w:val="BodyText"/>
        <w:spacing w:line="370" w:lineRule="atLeast" w:before="13"/>
        <w:ind w:left="513" w:right="986"/>
        <w:jc w:val="left"/>
      </w:pPr>
      <w:r>
        <w:rPr>
          <w:rFonts w:ascii="Times New Roman" w:hAnsi="Times New Roman" w:cs="Times New Roman" w:eastAsia="Times New Roman" w:hint="default"/>
          <w:b/>
          <w:bCs/>
        </w:rPr>
        <w:t>1</w:t>
      </w:r>
      <w:r>
        <w:rPr>
          <w:rFonts w:ascii="宋体" w:hAnsi="宋体" w:cs="宋体" w:eastAsia="宋体" w:hint="default"/>
          <w:b/>
          <w:bCs/>
        </w:rPr>
        <w:t>、应用软件开发</w:t>
      </w:r>
      <w:r>
        <w:rPr>
          <w:rFonts w:ascii="宋体" w:hAnsi="宋体" w:cs="宋体" w:eastAsia="宋体" w:hint="default"/>
          <w:b/>
          <w:bCs/>
          <w:w w:val="99"/>
        </w:rPr>
        <w:t> </w:t>
      </w:r>
      <w:r>
        <w:rPr>
          <w:spacing w:val="-2"/>
        </w:rPr>
        <w:t>应用软件开发业务主要是公司基于成熟的软件开发管理体系，根据对不同行业客户的深度理解开发出不同行业的系列软</w:t>
      </w:r>
    </w:p>
    <w:p>
      <w:pPr>
        <w:pStyle w:val="BodyText"/>
        <w:spacing w:line="232" w:lineRule="auto" w:before="3"/>
        <w:ind w:right="1130"/>
        <w:jc w:val="both"/>
      </w:pPr>
      <w:r>
        <w:rPr>
          <w:spacing w:val="-2"/>
        </w:rPr>
        <w:t>件，每种系列软件产品又包含若干细分软件产品，其开发模式包括自主软件开发和定制软件开发。公司应用软件开发业务的</w:t>
      </w:r>
      <w:r>
        <w:rPr>
          <w:spacing w:val="-63"/>
        </w:rPr>
        <w:t> </w:t>
      </w:r>
      <w:r>
        <w:rPr>
          <w:spacing w:val="-63"/>
        </w:rPr>
      </w:r>
      <w:r>
        <w:rPr/>
        <w:t>主要产品及服务包括：医院信息平台、</w:t>
      </w:r>
      <w:r>
        <w:rPr>
          <w:rFonts w:ascii="Times New Roman" w:hAnsi="Times New Roman" w:cs="Times New Roman" w:eastAsia="Times New Roman" w:hint="default"/>
        </w:rPr>
        <w:t>DRG</w:t>
      </w:r>
      <w:r>
        <w:rPr/>
        <w:t>医保支付系统、商业银行业务集成平台、东华智慧城市超级大脑、东华智慧教</w:t>
      </w:r>
      <w:r>
        <w:rPr>
          <w:spacing w:val="-24"/>
        </w:rPr>
        <w:t> </w:t>
      </w:r>
      <w:r>
        <w:rPr>
          <w:spacing w:val="-24"/>
        </w:rPr>
      </w:r>
      <w:r>
        <w:rPr/>
        <w:t>育服务平台、智能物流系统、流量管理系统、桌面安全管理系统、厚盾全面预算管理平台等。</w:t>
      </w:r>
    </w:p>
    <w:p>
      <w:pPr>
        <w:pStyle w:val="BodyText"/>
        <w:spacing w:line="370" w:lineRule="atLeast" w:before="33"/>
        <w:ind w:left="513" w:right="986"/>
        <w:jc w:val="left"/>
      </w:pPr>
      <w:r>
        <w:rPr>
          <w:rFonts w:ascii="Times New Roman" w:hAnsi="Times New Roman" w:cs="Times New Roman" w:eastAsia="Times New Roman" w:hint="default"/>
          <w:b/>
          <w:bCs/>
        </w:rPr>
        <w:t>2</w:t>
      </w:r>
      <w:r>
        <w:rPr>
          <w:rFonts w:ascii="宋体" w:hAnsi="宋体" w:cs="宋体" w:eastAsia="宋体" w:hint="default"/>
          <w:b/>
          <w:bCs/>
        </w:rPr>
        <w:t>、信息技术服务</w:t>
      </w:r>
      <w:r>
        <w:rPr>
          <w:rFonts w:ascii="宋体" w:hAnsi="宋体" w:cs="宋体" w:eastAsia="宋体" w:hint="default"/>
          <w:b/>
          <w:bCs/>
          <w:w w:val="99"/>
        </w:rPr>
        <w:t> </w:t>
      </w:r>
      <w:r>
        <w:rPr>
          <w:spacing w:val="-2"/>
        </w:rPr>
        <w:t>信息技术服务业务主要是为客户提供系统解决方案及相关产品后，为客户提供长期的系统维护。公司拥有科学的服务质</w:t>
      </w:r>
    </w:p>
    <w:p>
      <w:pPr>
        <w:pStyle w:val="BodyText"/>
        <w:spacing w:line="232" w:lineRule="exact" w:before="24"/>
        <w:ind w:right="1079"/>
        <w:jc w:val="both"/>
      </w:pPr>
      <w:r>
        <w:rPr>
          <w:spacing w:val="-2"/>
        </w:rPr>
        <w:t>量保证和交付管理体系，通过客户热线、定期巡检、远程诊断、现场支持、常驻外派、预约值守等各种方式，保证客户系统</w:t>
      </w:r>
      <w:r>
        <w:rPr>
          <w:spacing w:val="-73"/>
        </w:rPr>
        <w:t> </w:t>
      </w:r>
      <w:r>
        <w:rPr>
          <w:spacing w:val="-73"/>
        </w:rPr>
      </w:r>
      <w:r>
        <w:rPr/>
        <w:t>的稳定运行。公司信息技术服务业务的主要产品及服务包括：</w:t>
      </w:r>
      <w:r>
        <w:rPr>
          <w:rFonts w:ascii="Times New Roman" w:hAnsi="Times New Roman" w:cs="Times New Roman" w:eastAsia="Times New Roman" w:hint="default"/>
        </w:rPr>
        <w:t>IT</w:t>
      </w:r>
      <w:r>
        <w:rPr/>
        <w:t>咨询规划、</w:t>
      </w:r>
      <w:r>
        <w:rPr>
          <w:rFonts w:ascii="Times New Roman" w:hAnsi="Times New Roman" w:cs="Times New Roman" w:eastAsia="Times New Roman" w:hint="default"/>
        </w:rPr>
        <w:t>IT</w:t>
      </w:r>
      <w:r>
        <w:rPr/>
        <w:t>运维管理、</w:t>
      </w:r>
      <w:r>
        <w:rPr>
          <w:rFonts w:ascii="Times New Roman" w:hAnsi="Times New Roman" w:cs="Times New Roman" w:eastAsia="Times New Roman" w:hint="default"/>
        </w:rPr>
        <w:t>IT</w:t>
      </w:r>
      <w:r>
        <w:rPr/>
        <w:t>业务外包、大型软件定制实施、 系统数据移植、云托管等。</w:t>
      </w:r>
    </w:p>
    <w:p>
      <w:pPr>
        <w:pStyle w:val="BodyText"/>
        <w:spacing w:line="230" w:lineRule="auto" w:before="141"/>
        <w:ind w:right="1130" w:firstLine="360"/>
        <w:jc w:val="both"/>
      </w:pPr>
      <w:r>
        <w:rPr/>
        <w:t>在做大做强传统业务的基础上，公司在技术、产品、业务模式等方面不断创新，逐步实现</w:t>
      </w:r>
      <w:r>
        <w:rPr>
          <w:rFonts w:ascii="Times New Roman" w:hAnsi="Times New Roman" w:cs="Times New Roman" w:eastAsia="Times New Roman" w:hint="default"/>
        </w:rPr>
        <w:t>“</w:t>
      </w:r>
      <w:r>
        <w:rPr/>
        <w:t>东华</w:t>
      </w:r>
      <w:r>
        <w:rPr>
          <w:rFonts w:ascii="Times New Roman" w:hAnsi="Times New Roman" w:cs="Times New Roman" w:eastAsia="Times New Roman" w:hint="default"/>
        </w:rPr>
        <w:t>+”</w:t>
      </w:r>
      <w:r>
        <w:rPr/>
        <w:t>的战略计划。在业务 </w:t>
      </w:r>
      <w:r>
        <w:rPr>
          <w:spacing w:val="-2"/>
        </w:rPr>
        <w:t>层面上，公司不断调整传统项目型经营模式，通过与腾讯在智慧金融、智慧医疗、智慧城市等领域的战略合作，加强公司平</w:t>
      </w:r>
      <w:r>
        <w:rPr>
          <w:spacing w:val="-67"/>
        </w:rPr>
        <w:t> </w:t>
      </w:r>
      <w:r>
        <w:rPr>
          <w:spacing w:val="-67"/>
        </w:rPr>
      </w:r>
      <w:r>
        <w:rPr/>
        <w:t>台型产品的竞争力，加速</w:t>
      </w:r>
      <w:r>
        <w:rPr>
          <w:rFonts w:ascii="Times New Roman" w:hAnsi="Times New Roman" w:cs="Times New Roman" w:eastAsia="Times New Roman" w:hint="default"/>
        </w:rPr>
        <w:t>B2C</w:t>
      </w:r>
      <w:r>
        <w:rPr/>
        <w:t>产品线的研发与推广，逐步向下游延伸增值服务及产品，并在</w:t>
      </w:r>
      <w:r>
        <w:rPr>
          <w:rFonts w:ascii="Times New Roman" w:hAnsi="Times New Roman" w:cs="Times New Roman" w:eastAsia="Times New Roman" w:hint="default"/>
        </w:rPr>
        <w:t>C</w:t>
      </w:r>
      <w:r>
        <w:rPr/>
        <w:t>端客户中形成网络效应。在技</w:t>
      </w:r>
      <w:r>
        <w:rPr>
          <w:spacing w:val="-85"/>
        </w:rPr>
        <w:t> </w:t>
      </w:r>
      <w:r>
        <w:rPr>
          <w:spacing w:val="-85"/>
        </w:rPr>
      </w:r>
      <w:r>
        <w:rPr>
          <w:spacing w:val="-2"/>
        </w:rPr>
        <w:t>术层面上，公司积极关注、拥抱新技术，在云计算、物联网、人工智能、大数据、工业互联网、区块链等技术研发和行业应</w:t>
      </w:r>
      <w:r>
        <w:rPr>
          <w:spacing w:val="-65"/>
        </w:rPr>
        <w:t> </w:t>
      </w:r>
      <w:r>
        <w:rPr>
          <w:spacing w:val="-65"/>
        </w:rPr>
      </w:r>
      <w:r>
        <w:rPr/>
        <w:t>用方面都有所突破。通过深入实施</w:t>
      </w:r>
      <w:r>
        <w:rPr>
          <w:rFonts w:ascii="Times New Roman" w:hAnsi="Times New Roman" w:cs="Times New Roman" w:eastAsia="Times New Roman" w:hint="default"/>
        </w:rPr>
        <w:t>“</w:t>
      </w:r>
      <w:r>
        <w:rPr/>
        <w:t>东华</w:t>
      </w:r>
      <w:r>
        <w:rPr>
          <w:rFonts w:ascii="Times New Roman" w:hAnsi="Times New Roman" w:cs="Times New Roman" w:eastAsia="Times New Roman" w:hint="default"/>
        </w:rPr>
        <w:t>+”</w:t>
      </w:r>
      <w:r>
        <w:rPr/>
        <w:t>的战略计划，逐步展现出公司的新布局、新状态、新技术、新风采，为公司带来</w:t>
      </w:r>
      <w:r>
        <w:rPr>
          <w:spacing w:val="-74"/>
        </w:rPr>
        <w:t> </w:t>
      </w:r>
      <w:r>
        <w:rPr>
          <w:spacing w:val="-74"/>
        </w:rPr>
      </w:r>
      <w:r>
        <w:rPr/>
        <w:t>新的发展动力与机会。</w:t>
      </w:r>
    </w:p>
    <w:p>
      <w:pPr>
        <w:pStyle w:val="BodyText"/>
        <w:spacing w:line="390" w:lineRule="atLeast" w:before="13"/>
        <w:ind w:left="513" w:right="986"/>
        <w:jc w:val="left"/>
      </w:pPr>
      <w:r>
        <w:rPr>
          <w:rFonts w:ascii="Times New Roman" w:hAnsi="Times New Roman" w:cs="Times New Roman" w:eastAsia="Times New Roman" w:hint="default"/>
          <w:b/>
          <w:bCs/>
        </w:rPr>
        <w:t>3</w:t>
      </w:r>
      <w:r>
        <w:rPr>
          <w:rFonts w:ascii="宋体" w:hAnsi="宋体" w:cs="宋体" w:eastAsia="宋体" w:hint="default"/>
          <w:b/>
          <w:bCs/>
        </w:rPr>
        <w:t>、计算机信息系统集成</w:t>
      </w:r>
      <w:r>
        <w:rPr>
          <w:rFonts w:ascii="宋体" w:hAnsi="宋体" w:cs="宋体" w:eastAsia="宋体" w:hint="default"/>
          <w:b/>
          <w:bCs/>
          <w:w w:val="99"/>
        </w:rPr>
        <w:t> </w:t>
      </w:r>
      <w:r>
        <w:rPr>
          <w:spacing w:val="-2"/>
        </w:rPr>
        <w:t>计算机信息系统集成业务主要是公司根据客户需求，为其产品设计和升级提供咨询规划、</w:t>
      </w:r>
      <w:r>
        <w:rPr>
          <w:rFonts w:ascii="Times New Roman" w:hAnsi="Times New Roman" w:cs="Times New Roman" w:eastAsia="Times New Roman" w:hint="default"/>
          <w:spacing w:val="-2"/>
        </w:rPr>
        <w:t>IT</w:t>
      </w:r>
      <w:r>
        <w:rPr>
          <w:spacing w:val="-2"/>
        </w:rPr>
        <w:t>系统架构、软硬件选型与集</w:t>
      </w:r>
    </w:p>
    <w:p>
      <w:pPr>
        <w:pStyle w:val="BodyText"/>
        <w:spacing w:line="236" w:lineRule="exact" w:before="5"/>
        <w:ind w:right="1129"/>
        <w:jc w:val="both"/>
      </w:pPr>
      <w:r>
        <w:rPr/>
        <w:t>成，将相关的软硬件有机地结合在一起。公司的计算机系统集成业务主要产品及服务包括</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网络工程、数据储存与容灾、信 息安全、智能建筑、远程会议、安防系统等。</w:t>
      </w:r>
    </w:p>
    <w:p>
      <w:pPr>
        <w:pStyle w:val="Heading5"/>
        <w:spacing w:line="240" w:lineRule="auto" w:before="131"/>
        <w:ind w:right="986"/>
        <w:jc w:val="left"/>
        <w:rPr>
          <w:b w:val="0"/>
          <w:bCs w:val="0"/>
        </w:rPr>
      </w:pPr>
      <w:r>
        <w:rPr/>
        <w:t>（二）公司所处行业发展情况</w:t>
      </w:r>
      <w:r>
        <w:rPr>
          <w:b w:val="0"/>
          <w:bCs w:val="0"/>
        </w:rPr>
      </w:r>
    </w:p>
    <w:p>
      <w:pPr>
        <w:spacing w:line="240" w:lineRule="auto" w:before="9"/>
        <w:rPr>
          <w:rFonts w:ascii="宋体" w:hAnsi="宋体" w:cs="宋体" w:eastAsia="宋体" w:hint="default"/>
          <w:b/>
          <w:bCs/>
          <w:sz w:val="12"/>
          <w:szCs w:val="12"/>
        </w:rPr>
      </w:pPr>
    </w:p>
    <w:p>
      <w:pPr>
        <w:pStyle w:val="BodyText"/>
        <w:spacing w:line="225" w:lineRule="auto"/>
        <w:ind w:right="1130" w:firstLine="360"/>
        <w:jc w:val="both"/>
      </w:pPr>
      <w:r>
        <w:rPr/>
        <w:t>根据工业和信息化部公布的《</w:t>
      </w:r>
      <w:r>
        <w:rPr>
          <w:rFonts w:ascii="Times New Roman" w:hAnsi="Times New Roman" w:cs="Times New Roman" w:eastAsia="Times New Roman" w:hint="default"/>
        </w:rPr>
        <w:t>2019</w:t>
      </w:r>
      <w:r>
        <w:rPr/>
        <w:t>年软件和信息技术服务业统计公报》，</w:t>
      </w:r>
      <w:r>
        <w:rPr>
          <w:rFonts w:ascii="Times New Roman" w:hAnsi="Times New Roman" w:cs="Times New Roman" w:eastAsia="Times New Roman" w:hint="default"/>
        </w:rPr>
        <w:t>2015-2019</w:t>
      </w:r>
      <w:r>
        <w:rPr/>
        <w:t>年我国软件业务收入持续增长，增 </w:t>
      </w:r>
      <w:r>
        <w:rPr>
          <w:spacing w:val="-4"/>
        </w:rPr>
        <w:t>速趋于平稳。</w:t>
      </w:r>
      <w:r>
        <w:rPr>
          <w:rFonts w:ascii="Times New Roman" w:hAnsi="Times New Roman" w:cs="Times New Roman" w:eastAsia="Times New Roman" w:hint="default"/>
          <w:spacing w:val="-4"/>
        </w:rPr>
        <w:t>2019</w:t>
      </w:r>
      <w:r>
        <w:rPr>
          <w:spacing w:val="-4"/>
        </w:rPr>
        <w:t>年，我国软件和信息技术服务业呈现平稳向好发展态势，累计收入</w:t>
      </w:r>
      <w:r>
        <w:rPr>
          <w:rFonts w:ascii="Times New Roman" w:hAnsi="Times New Roman" w:cs="Times New Roman" w:eastAsia="Times New Roman" w:hint="default"/>
          <w:spacing w:val="-4"/>
        </w:rPr>
        <w:t>7.18</w:t>
      </w:r>
      <w:r>
        <w:rPr>
          <w:spacing w:val="-4"/>
        </w:rPr>
        <w:t>万亿元，同比增长</w:t>
      </w:r>
      <w:r>
        <w:rPr>
          <w:rFonts w:ascii="Times New Roman" w:hAnsi="Times New Roman" w:cs="Times New Roman" w:eastAsia="Times New Roman" w:hint="default"/>
          <w:spacing w:val="-4"/>
        </w:rPr>
        <w:t>15.4%</w:t>
      </w:r>
      <w:r>
        <w:rPr>
          <w:spacing w:val="-4"/>
        </w:rPr>
        <w:t>，利润</w:t>
      </w:r>
      <w:r>
        <w:rPr>
          <w:rFonts w:ascii="Times New Roman" w:hAnsi="Times New Roman" w:cs="Times New Roman" w:eastAsia="Times New Roman" w:hint="default"/>
          <w:spacing w:val="-4"/>
        </w:rPr>
        <w:t>9,362</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1"/>
        </w:rPr>
        <w:t>亿元，同比增长</w:t>
      </w:r>
      <w:r>
        <w:rPr>
          <w:rFonts w:ascii="Times New Roman" w:hAnsi="Times New Roman" w:cs="Times New Roman" w:eastAsia="Times New Roman" w:hint="default"/>
          <w:spacing w:val="-1"/>
        </w:rPr>
        <w:t>9.9%</w:t>
      </w:r>
      <w:r>
        <w:rPr>
          <w:spacing w:val="-1"/>
        </w:rPr>
        <w:t>。行业整体表现出信息技术服务云化，软件应用服务化、平台化的发展趋势。</w:t>
      </w:r>
      <w:r>
        <w:rPr>
          <w:rFonts w:ascii="Times New Roman" w:hAnsi="Times New Roman" w:cs="Times New Roman" w:eastAsia="Times New Roman" w:hint="default"/>
          <w:spacing w:val="-1"/>
        </w:rPr>
        <w:t>IDC</w:t>
      </w:r>
      <w:r>
        <w:rPr>
          <w:spacing w:val="-1"/>
        </w:rPr>
        <w:t>预测，到</w:t>
      </w:r>
      <w:r>
        <w:rPr>
          <w:rFonts w:ascii="Times New Roman" w:hAnsi="Times New Roman" w:cs="Times New Roman" w:eastAsia="Times New Roman" w:hint="default"/>
          <w:spacing w:val="-1"/>
        </w:rPr>
        <w:t>2023</w:t>
      </w:r>
      <w:r>
        <w:rPr>
          <w:spacing w:val="-1"/>
        </w:rPr>
        <w:t>年，全</w:t>
      </w:r>
      <w:r>
        <w:rPr>
          <w:spacing w:val="-84"/>
        </w:rPr>
        <w:t> </w:t>
      </w:r>
      <w:r>
        <w:rPr>
          <w:spacing w:val="-84"/>
        </w:rPr>
      </w:r>
      <w:r>
        <w:rPr>
          <w:spacing w:val="-1"/>
        </w:rPr>
        <w:t>球计算产业投资空间</w:t>
      </w:r>
      <w:r>
        <w:rPr>
          <w:rFonts w:ascii="Times New Roman" w:hAnsi="Times New Roman" w:cs="Times New Roman" w:eastAsia="Times New Roman" w:hint="default"/>
          <w:spacing w:val="-1"/>
        </w:rPr>
        <w:t>1.14</w:t>
      </w:r>
      <w:r>
        <w:rPr>
          <w:spacing w:val="-1"/>
        </w:rPr>
        <w:t>万亿美元。中国计算产业投资空间</w:t>
      </w:r>
      <w:r>
        <w:rPr>
          <w:rFonts w:ascii="Times New Roman" w:hAnsi="Times New Roman" w:cs="Times New Roman" w:eastAsia="Times New Roman" w:hint="default"/>
          <w:spacing w:val="-1"/>
        </w:rPr>
        <w:t>1043</w:t>
      </w:r>
      <w:r>
        <w:rPr>
          <w:spacing w:val="-1"/>
        </w:rPr>
        <w:t>亿美元，接近全球的</w:t>
      </w:r>
      <w:r>
        <w:rPr>
          <w:rFonts w:ascii="Times New Roman" w:hAnsi="Times New Roman" w:cs="Times New Roman" w:eastAsia="Times New Roman" w:hint="default"/>
          <w:spacing w:val="-1"/>
        </w:rPr>
        <w:t>10%</w:t>
      </w:r>
      <w:r>
        <w:rPr>
          <w:spacing w:val="-1"/>
        </w:rPr>
        <w:t>，是全球计算产业发展的主要推动</w:t>
      </w:r>
      <w:r>
        <w:rPr>
          <w:spacing w:val="-44"/>
        </w:rPr>
        <w:t> </w:t>
      </w:r>
      <w:r>
        <w:rPr>
          <w:spacing w:val="-44"/>
        </w:rPr>
      </w:r>
      <w:r>
        <w:rPr>
          <w:spacing w:val="-3"/>
        </w:rPr>
        <w:t>力和增长引擎。到</w:t>
      </w:r>
      <w:r>
        <w:rPr>
          <w:rFonts w:ascii="Times New Roman" w:hAnsi="Times New Roman" w:cs="Times New Roman" w:eastAsia="Times New Roman" w:hint="default"/>
          <w:spacing w:val="-3"/>
        </w:rPr>
        <w:t>2023</w:t>
      </w:r>
      <w:r>
        <w:rPr>
          <w:spacing w:val="-3"/>
        </w:rPr>
        <w:t>年，全球企业应用软件市场空间</w:t>
      </w:r>
      <w:r>
        <w:rPr>
          <w:rFonts w:ascii="Times New Roman" w:hAnsi="Times New Roman" w:cs="Times New Roman" w:eastAsia="Times New Roman" w:hint="default"/>
          <w:spacing w:val="-3"/>
        </w:rPr>
        <w:t>4020.2</w:t>
      </w:r>
      <w:r>
        <w:rPr>
          <w:spacing w:val="-3"/>
        </w:rPr>
        <w:t>亿美元，</w:t>
      </w:r>
      <w:r>
        <w:rPr>
          <w:rFonts w:ascii="Times New Roman" w:hAnsi="Times New Roman" w:cs="Times New Roman" w:eastAsia="Times New Roman" w:hint="default"/>
          <w:spacing w:val="-3"/>
        </w:rPr>
        <w:t>5</w:t>
      </w:r>
      <w:r>
        <w:rPr>
          <w:spacing w:val="-3"/>
        </w:rPr>
        <w:t>年复合增长率</w:t>
      </w:r>
      <w:r>
        <w:rPr>
          <w:rFonts w:ascii="Times New Roman" w:hAnsi="Times New Roman" w:cs="Times New Roman" w:eastAsia="Times New Roman" w:hint="default"/>
          <w:spacing w:val="-3"/>
        </w:rPr>
        <w:t>8.2%</w:t>
      </w:r>
      <w:r>
        <w:rPr>
          <w:spacing w:val="-3"/>
        </w:rPr>
        <w:t>，中国企业应用软件市场空间</w:t>
      </w:r>
      <w:r>
        <w:rPr>
          <w:rFonts w:ascii="Times New Roman" w:hAnsi="Times New Roman" w:cs="Times New Roman" w:eastAsia="Times New Roman" w:hint="default"/>
          <w:spacing w:val="-3"/>
        </w:rPr>
        <w:t>155.8</w:t>
      </w:r>
      <w:r>
        <w:rPr>
          <w:rFonts w:ascii="Times New Roman" w:hAnsi="Times New Roman" w:cs="Times New Roman" w:eastAsia="Times New Roman" w:hint="default"/>
        </w:rPr>
        <w:t> </w:t>
      </w:r>
      <w:r>
        <w:rPr/>
        <w:t>亿美元，</w:t>
      </w:r>
      <w:r>
        <w:rPr>
          <w:rFonts w:ascii="Times New Roman" w:hAnsi="Times New Roman" w:cs="Times New Roman" w:eastAsia="Times New Roman" w:hint="default"/>
        </w:rPr>
        <w:t>5</w:t>
      </w:r>
      <w:r>
        <w:rPr/>
        <w:t>年复合增长率</w:t>
      </w:r>
      <w:r>
        <w:rPr>
          <w:rFonts w:ascii="Times New Roman" w:hAnsi="Times New Roman" w:cs="Times New Roman" w:eastAsia="Times New Roman" w:hint="default"/>
        </w:rPr>
        <w:t>11.7%</w:t>
      </w:r>
      <w:r>
        <w:rPr/>
        <w:t>。在中国数字化浪潮的推动下，</w:t>
      </w:r>
      <w:r>
        <w:rPr>
          <w:rFonts w:ascii="Times New Roman" w:hAnsi="Times New Roman" w:cs="Times New Roman" w:eastAsia="Times New Roman" w:hint="default"/>
        </w:rPr>
        <w:t>IT</w:t>
      </w:r>
      <w:r>
        <w:rPr/>
        <w:t>企业将迎来巨大的发展机遇。</w:t>
      </w:r>
    </w:p>
    <w:p>
      <w:pPr>
        <w:pStyle w:val="BodyText"/>
        <w:spacing w:line="388" w:lineRule="exact" w:before="42"/>
        <w:ind w:left="513" w:right="986"/>
        <w:jc w:val="left"/>
      </w:pPr>
      <w:r>
        <w:rPr>
          <w:rFonts w:ascii="宋体" w:hAnsi="宋体" w:cs="宋体" w:eastAsia="宋体" w:hint="default"/>
          <w:b/>
          <w:bCs/>
        </w:rPr>
        <w:t>（三）公司所处行业地位</w:t>
      </w:r>
      <w:r>
        <w:rPr>
          <w:rFonts w:ascii="宋体" w:hAnsi="宋体" w:cs="宋体" w:eastAsia="宋体" w:hint="default"/>
          <w:b/>
          <w:bCs/>
          <w:w w:val="99"/>
        </w:rPr>
        <w:t> </w:t>
      </w:r>
      <w:r>
        <w:rPr>
          <w:spacing w:val="-2"/>
        </w:rPr>
        <w:t>公司作为中国市场上大型的综合性行业应用软件开发、计算机信息系统集成和信息技术服务提供商，是国内最早通过软</w:t>
      </w:r>
    </w:p>
    <w:p>
      <w:pPr>
        <w:pStyle w:val="BodyText"/>
        <w:spacing w:line="187" w:lineRule="exact"/>
        <w:ind w:right="0"/>
        <w:jc w:val="both"/>
      </w:pPr>
      <w:r>
        <w:rPr/>
        <w:t>件能力成熟度集成（</w:t>
      </w:r>
      <w:r>
        <w:rPr>
          <w:rFonts w:ascii="Times New Roman" w:hAnsi="Times New Roman" w:cs="Times New Roman" w:eastAsia="Times New Roman" w:hint="default"/>
        </w:rPr>
        <w:t>CMMI</w:t>
      </w:r>
      <w:r>
        <w:rPr/>
        <w:t>）</w:t>
      </w:r>
      <w:r>
        <w:rPr>
          <w:rFonts w:ascii="Times New Roman" w:hAnsi="Times New Roman" w:cs="Times New Roman" w:eastAsia="Times New Roman" w:hint="default"/>
        </w:rPr>
        <w:t>5</w:t>
      </w:r>
      <w:r>
        <w:rPr/>
        <w:t>级认证的软件企业之一，是国家首批信息系统集成及服务大型一级企业。公司拥有国家信息</w:t>
      </w:r>
    </w:p>
    <w:p>
      <w:pPr>
        <w:pStyle w:val="BodyText"/>
        <w:spacing w:line="228" w:lineRule="auto" w:before="3"/>
        <w:ind w:right="1031"/>
        <w:jc w:val="left"/>
      </w:pPr>
      <w:r>
        <w:rPr>
          <w:spacing w:val="-2"/>
        </w:rPr>
        <w:t>安全测评信息安全服务资质（安全工程类一级）、安防工程企业一级资质、软件安全开发三级服务资质、信息系统运行维护</w:t>
      </w:r>
      <w:r>
        <w:rPr>
          <w:spacing w:val="-67"/>
        </w:rPr>
        <w:t> </w:t>
      </w:r>
      <w:r>
        <w:rPr>
          <w:spacing w:val="-67"/>
        </w:rPr>
      </w:r>
      <w:r>
        <w:rPr/>
        <w:t>一级资质、</w:t>
      </w:r>
      <w:r>
        <w:rPr>
          <w:rFonts w:ascii="Times New Roman" w:hAnsi="Times New Roman" w:cs="Times New Roman" w:eastAsia="Times New Roman" w:hint="default"/>
        </w:rPr>
        <w:t>ITSS</w:t>
      </w:r>
      <w:r>
        <w:rPr/>
        <w:t>二级证书等，并取得了</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ISO20000</w:t>
      </w:r>
      <w:r>
        <w:rPr/>
        <w:t>、</w:t>
      </w:r>
      <w:r>
        <w:rPr>
          <w:rFonts w:ascii="Times New Roman" w:hAnsi="Times New Roman" w:cs="Times New Roman" w:eastAsia="Times New Roman" w:hint="default"/>
        </w:rPr>
        <w:t>ISO27001</w:t>
      </w:r>
      <w:r>
        <w:rPr/>
        <w:t>、</w:t>
      </w:r>
      <w:r>
        <w:rPr>
          <w:rFonts w:ascii="Times New Roman" w:hAnsi="Times New Roman" w:cs="Times New Roman" w:eastAsia="Times New Roman" w:hint="default"/>
        </w:rPr>
        <w:t>ISO9001</w:t>
      </w:r>
      <w:r>
        <w:rPr/>
        <w:t>等质量体系认证，拥有</w:t>
      </w:r>
      <w:r>
        <w:rPr>
          <w:rFonts w:ascii="Times New Roman" w:hAnsi="Times New Roman" w:cs="Times New Roman" w:eastAsia="Times New Roman" w:hint="default"/>
        </w:rPr>
        <w:t>1,500</w:t>
      </w:r>
      <w:r>
        <w:rPr/>
        <w:t>余项软件著</w:t>
      </w:r>
      <w:r>
        <w:rPr>
          <w:spacing w:val="-55"/>
        </w:rPr>
        <w:t> </w:t>
      </w:r>
      <w:r>
        <w:rPr>
          <w:spacing w:val="-55"/>
        </w:rPr>
      </w:r>
      <w:r>
        <w:rPr/>
        <w:t>作版权。另外，公司为北京高新技术企业、中关村高新技术企业、北京市信用</w:t>
      </w:r>
      <w:r>
        <w:rPr>
          <w:rFonts w:ascii="Times New Roman" w:hAnsi="Times New Roman" w:cs="Times New Roman" w:eastAsia="Times New Roman" w:hint="default"/>
        </w:rPr>
        <w:t>AAA</w:t>
      </w:r>
      <w:r>
        <w:rPr/>
        <w:t>级企业、中国软件行业协会企业信用等</w:t>
      </w:r>
      <w:r>
        <w:rPr>
          <w:spacing w:val="-33"/>
        </w:rPr>
        <w:t> </w:t>
      </w:r>
      <w:r>
        <w:rPr>
          <w:spacing w:val="-33"/>
        </w:rPr>
      </w:r>
      <w:r>
        <w:rPr>
          <w:spacing w:val="-3"/>
        </w:rPr>
        <w:t>级证书</w:t>
      </w:r>
      <w:r>
        <w:rPr>
          <w:rFonts w:ascii="Times New Roman" w:hAnsi="Times New Roman" w:cs="Times New Roman" w:eastAsia="Times New Roman" w:hint="default"/>
          <w:spacing w:val="-3"/>
        </w:rPr>
        <w:t>AAA</w:t>
      </w:r>
      <w:r>
        <w:rPr>
          <w:spacing w:val="-3"/>
        </w:rPr>
        <w:t>、北京安全防范行业协会会员单位、</w:t>
      </w:r>
      <w:r>
        <w:rPr>
          <w:rFonts w:ascii="Times New Roman" w:hAnsi="Times New Roman" w:cs="Times New Roman" w:eastAsia="Times New Roman" w:hint="default"/>
          <w:spacing w:val="-3"/>
        </w:rPr>
        <w:t>ITSS</w:t>
      </w:r>
      <w:r>
        <w:rPr>
          <w:spacing w:val="-3"/>
        </w:rPr>
        <w:t>理事单位等，荣获</w:t>
      </w:r>
      <w:r>
        <w:rPr>
          <w:rFonts w:ascii="Times New Roman" w:hAnsi="Times New Roman" w:cs="Times New Roman" w:eastAsia="Times New Roman" w:hint="default"/>
          <w:spacing w:val="-3"/>
        </w:rPr>
        <w:t>2019</w:t>
      </w:r>
      <w:r>
        <w:rPr>
          <w:spacing w:val="-3"/>
        </w:rPr>
        <w:t>北京软件和信息技术服务综合实力百强企业（连</w:t>
      </w:r>
      <w:r>
        <w:rPr>
          <w:spacing w:val="-44"/>
        </w:rPr>
        <w:t> </w:t>
      </w:r>
      <w:r>
        <w:rPr>
          <w:spacing w:val="-44"/>
        </w:rPr>
      </w:r>
      <w:r>
        <w:rPr>
          <w:spacing w:val="-3"/>
        </w:rPr>
        <w:t>续四年）、</w:t>
      </w:r>
      <w:r>
        <w:rPr>
          <w:rFonts w:ascii="Times New Roman" w:hAnsi="Times New Roman" w:cs="Times New Roman" w:eastAsia="Times New Roman" w:hint="default"/>
          <w:spacing w:val="-3"/>
        </w:rPr>
        <w:t>2019</w:t>
      </w:r>
      <w:r>
        <w:rPr>
          <w:spacing w:val="-3"/>
        </w:rPr>
        <w:t>北京市软件企业核心竞争力（规模型）企业、</w:t>
      </w:r>
      <w:r>
        <w:rPr>
          <w:rFonts w:ascii="Times New Roman" w:hAnsi="Times New Roman" w:cs="Times New Roman" w:eastAsia="Times New Roman" w:hint="default"/>
          <w:spacing w:val="-3"/>
        </w:rPr>
        <w:t>2019</w:t>
      </w:r>
      <w:r>
        <w:rPr>
          <w:spacing w:val="-3"/>
        </w:rPr>
        <w:t>年电子信息行业社会贡献影响力企业等。经过长期的耕耘，</w:t>
      </w:r>
      <w:r>
        <w:rPr/>
        <w:t> </w:t>
      </w:r>
      <w:r>
        <w:rPr>
          <w:spacing w:val="-2"/>
        </w:rPr>
        <w:t>公司在主营业务领域具有较为全面的资质、项目管理体系，丰富的企业客户服务经验，与供应商、客户建立了良好、稳定的</w:t>
      </w:r>
    </w:p>
    <w:p>
      <w:pPr>
        <w:spacing w:after="0" w:line="228" w:lineRule="auto"/>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986"/>
        <w:jc w:val="left"/>
      </w:pPr>
      <w:r>
        <w:rPr/>
        <w:t>合作关系，为公司业绩稳定增长提供了有力的支撑。</w:t>
      </w:r>
    </w:p>
    <w:p>
      <w:pPr>
        <w:spacing w:line="240" w:lineRule="auto" w:before="4"/>
        <w:rPr>
          <w:rFonts w:ascii="宋体" w:hAnsi="宋体" w:cs="宋体" w:eastAsia="宋体" w:hint="default"/>
          <w:sz w:val="22"/>
          <w:szCs w:val="22"/>
        </w:rPr>
      </w:pPr>
    </w:p>
    <w:p>
      <w:pPr>
        <w:pStyle w:val="Heading3"/>
        <w:spacing w:line="240" w:lineRule="auto"/>
        <w:ind w:right="986"/>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98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1138"/>
        <w:jc w:val="right"/>
      </w:pPr>
      <w:r>
        <w:rPr/>
        <w:pict>
          <v:shape style="position:absolute;margin-left:56.400002pt;margin-top:-137.178284pt;width:479.3pt;height:36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7302"/>
                  </w:tblGrid>
                  <w:tr>
                    <w:trPr>
                      <w:trHeight w:val="7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股权资产较上年度末减少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2.72%</w:t>
                        </w:r>
                        <w:r>
                          <w:rPr>
                            <w:rFonts w:ascii="宋体" w:hAnsi="宋体" w:cs="宋体" w:eastAsia="宋体" w:hint="default"/>
                            <w:sz w:val="18"/>
                            <w:szCs w:val="18"/>
                          </w:rPr>
                          <w:t>，主要原因系公司对外投资减少所致。</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固定资产较上年度末减少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16.10%</w:t>
                        </w:r>
                        <w:r>
                          <w:rPr>
                            <w:rFonts w:ascii="宋体" w:hAnsi="宋体" w:cs="宋体" w:eastAsia="宋体" w:hint="default"/>
                            <w:sz w:val="18"/>
                            <w:szCs w:val="18"/>
                          </w:rPr>
                          <w:t>，主要原因系固定资产计提折旧所致。</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无形资产较上年度末减少了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31.12%</w:t>
                        </w:r>
                        <w:r>
                          <w:rPr>
                            <w:rFonts w:ascii="宋体" w:hAnsi="宋体" w:cs="宋体" w:eastAsia="宋体" w:hint="default"/>
                            <w:sz w:val="18"/>
                            <w:szCs w:val="18"/>
                          </w:rPr>
                          <w:t>，主要原因系本期无形资产摊销增加所致。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在建工程较上年度末增加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129.11%</w:t>
                        </w:r>
                        <w:r>
                          <w:rPr>
                            <w:rFonts w:ascii="宋体" w:hAnsi="宋体" w:cs="宋体" w:eastAsia="宋体" w:hint="default"/>
                            <w:sz w:val="18"/>
                            <w:szCs w:val="18"/>
                          </w:rPr>
                          <w:t>，主要原因系子公司建造泰安软件园及马鞍山金云产业园 支出增加所致。</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长期应收款较上年度末增加</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127.12%</w:t>
                        </w:r>
                        <w:r>
                          <w:rPr>
                            <w:rFonts w:ascii="宋体" w:hAnsi="宋体" w:cs="宋体" w:eastAsia="宋体" w:hint="default"/>
                            <w:sz w:val="18"/>
                            <w:szCs w:val="18"/>
                          </w:rPr>
                          <w:t>，主要原因系公司承接长期分期收款销售项目增加所致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长期股权投资较上年度末减少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31.95%</w:t>
                        </w:r>
                        <w:r>
                          <w:rPr>
                            <w:rFonts w:ascii="宋体" w:hAnsi="宋体" w:cs="宋体" w:eastAsia="宋体" w:hint="default"/>
                            <w:sz w:val="18"/>
                            <w:szCs w:val="18"/>
                          </w:rPr>
                          <w:t>，主要原因系公司转让参股公司奇秦科技（北京）股份 有限公司股权减少所致。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投资性房地产较上年度末增加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343.93%</w:t>
                        </w:r>
                        <w:r>
                          <w:rPr>
                            <w:rFonts w:ascii="宋体" w:hAnsi="宋体" w:cs="宋体" w:eastAsia="宋体" w:hint="default"/>
                            <w:sz w:val="18"/>
                            <w:szCs w:val="18"/>
                          </w:rPr>
                          <w:t>，主要原因系所属子公司上海智诚云计算有限公司出 租房屋增加所致。</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其他非流动金融资产较上年度末增加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，同时可供出售金融资产较上年度减少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 要原因系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年按照新金融工具政策，可供出售金融资产放入其他非流动金融资产核算。</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应付票据较上年度末增加了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105.30%</w:t>
                        </w:r>
                        <w:r>
                          <w:rPr>
                            <w:rFonts w:ascii="宋体" w:hAnsi="宋体" w:cs="宋体" w:eastAsia="宋体" w:hint="default"/>
                            <w:sz w:val="18"/>
                            <w:szCs w:val="18"/>
                          </w:rPr>
                          <w:t>，主要原因系公司签订的合同项目增加，为之所采购的 项目存货所支付银行承兑汇票及商业承兑汇票增加所致。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一年内到期的非流动负债较上年度末增加了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571.64%</w:t>
                        </w:r>
                        <w:r>
                          <w:rPr>
                            <w:rFonts w:ascii="宋体" w:hAnsi="宋体" w:cs="宋体" w:eastAsia="宋体" w:hint="default"/>
                            <w:sz w:val="18"/>
                            <w:szCs w:val="18"/>
                          </w:rPr>
                          <w:t>，主要原因系所属子公司东华互联宜家 数据服务有限公司应收账款的债权保理及所属子公司神州新桥融资租赁导致增加所致。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递延所得税负债较上年度末增加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544.49%</w:t>
                        </w:r>
                        <w:r>
                          <w:rPr>
                            <w:rFonts w:ascii="宋体" w:hAnsi="宋体" w:cs="宋体" w:eastAsia="宋体" w:hint="default"/>
                            <w:sz w:val="18"/>
                            <w:szCs w:val="18"/>
                          </w:rPr>
                          <w:t>，主要原因系公司根据新金融工具准则，将可供出 售金融资产权益投资调整至其他非流动金融资产，因采用公允价值计量调整增加所致。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before="26"/>
        <w:ind w:right="98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三、核心竞争力分析</w:t>
      </w:r>
      <w:r>
        <w:rPr>
          <w:b w:val="0"/>
          <w:bCs w:val="0"/>
        </w:rPr>
      </w:r>
    </w:p>
    <w:p>
      <w:pPr>
        <w:spacing w:line="450" w:lineRule="atLeast" w:before="14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、持续的技术自主研发与创新</w:t>
      </w:r>
      <w:r>
        <w:rPr>
          <w:rFonts w:ascii="宋体" w:hAnsi="宋体" w:cs="宋体" w:eastAsia="宋体" w:hint="default"/>
          <w:b/>
          <w:bCs/>
          <w:w w:val="99"/>
          <w:sz w:val="18"/>
          <w:szCs w:val="18"/>
        </w:rPr>
        <w:t> </w:t>
      </w:r>
      <w:r>
        <w:rPr>
          <w:rFonts w:ascii="宋体" w:hAnsi="宋体" w:cs="宋体" w:eastAsia="宋体" w:hint="default"/>
          <w:spacing w:val="-2"/>
          <w:sz w:val="18"/>
          <w:szCs w:val="18"/>
        </w:rPr>
        <w:t>公司在技术研发方面坚持注重自主研发与创新，先后成立了软件研究院、企业管理研究院，参与了多个软件和系统集成</w:t>
      </w:r>
    </w:p>
    <w:p>
      <w:pPr>
        <w:pStyle w:val="BodyText"/>
        <w:spacing w:line="316" w:lineRule="auto" w:before="76"/>
        <w:ind w:right="986"/>
        <w:jc w:val="left"/>
      </w:pPr>
      <w:r>
        <w:rPr>
          <w:spacing w:val="-2"/>
        </w:rPr>
        <w:t>专业技术委员会、联合实验室和合作研发机构，建立了博士后工作站、雄安全球研发中心、区块链技术研究院、医疗大数据</w:t>
      </w:r>
      <w:r>
        <w:rPr>
          <w:spacing w:val="-67"/>
        </w:rPr>
        <w:t> </w:t>
      </w:r>
      <w:r>
        <w:rPr>
          <w:spacing w:val="-67"/>
        </w:rPr>
      </w:r>
      <w:r>
        <w:rPr/>
        <w:t>和</w:t>
      </w:r>
      <w:r>
        <w:rPr>
          <w:rFonts w:ascii="Times New Roman" w:hAnsi="Times New Roman" w:cs="Times New Roman" w:eastAsia="Times New Roman" w:hint="default"/>
        </w:rPr>
        <w:t>AI</w:t>
      </w:r>
      <w:r>
        <w:rPr/>
        <w:t>研究院等，汇集了大量具有丰富的项目实施经验及技术创新能力的人才。</w:t>
      </w:r>
    </w:p>
    <w:p>
      <w:pPr>
        <w:pStyle w:val="Heading5"/>
        <w:spacing w:line="240" w:lineRule="auto" w:before="155"/>
        <w:ind w:right="986"/>
        <w:jc w:val="left"/>
        <w:rPr>
          <w:b w:val="0"/>
          <w:bCs w:val="0"/>
        </w:rPr>
      </w:pPr>
      <w:r>
        <w:rPr>
          <w:rFonts w:ascii="Times New Roman" w:hAnsi="Times New Roman" w:cs="Times New Roman" w:eastAsia="Times New Roman" w:hint="default"/>
        </w:rPr>
        <w:t>2</w:t>
      </w:r>
      <w:r>
        <w:rPr/>
        <w:t>、丰富的产品及服务</w:t>
      </w:r>
      <w:r>
        <w:rPr>
          <w:b w:val="0"/>
          <w:bCs w:val="0"/>
        </w:rPr>
      </w:r>
    </w:p>
    <w:p>
      <w:pPr>
        <w:spacing w:line="240" w:lineRule="auto" w:before="10"/>
        <w:rPr>
          <w:rFonts w:ascii="宋体" w:hAnsi="宋体" w:cs="宋体" w:eastAsia="宋体" w:hint="default"/>
          <w:b/>
          <w:bCs/>
          <w:sz w:val="16"/>
          <w:szCs w:val="16"/>
        </w:rPr>
      </w:pPr>
    </w:p>
    <w:p>
      <w:pPr>
        <w:pStyle w:val="BodyText"/>
        <w:spacing w:line="316" w:lineRule="auto"/>
        <w:ind w:right="986" w:firstLine="360"/>
        <w:jc w:val="left"/>
      </w:pPr>
      <w:r>
        <w:rPr>
          <w:spacing w:val="-2"/>
        </w:rPr>
        <w:t>公司基于近二十年来在各行业积累的经验与市场优势，依托大数据、人工智能、云计算、物联网、区块链等新兴技术的</w:t>
      </w:r>
      <w:r>
        <w:rPr/>
        <w:t> </w:t>
      </w:r>
      <w:r>
        <w:rPr>
          <w:spacing w:val="-2"/>
        </w:rPr>
        <w:t>支撑，逐步构建完善的产品及服务生态圈，在全国拥有</w:t>
      </w:r>
      <w:r>
        <w:rPr>
          <w:rFonts w:ascii="Times New Roman" w:hAnsi="Times New Roman" w:cs="Times New Roman" w:eastAsia="Times New Roman" w:hint="default"/>
          <w:spacing w:val="-2"/>
        </w:rPr>
        <w:t>80</w:t>
      </w:r>
      <w:r>
        <w:rPr>
          <w:spacing w:val="-2"/>
        </w:rPr>
        <w:t>余家分支机构，产品及服务涉及多个行业，项目涵盖多种产品及解</w:t>
      </w:r>
    </w:p>
    <w:p>
      <w:pPr>
        <w:spacing w:after="0" w:line="316" w:lineRule="auto"/>
        <w:jc w:val="left"/>
        <w:sectPr>
          <w:footerReference w:type="default" r:id="rId13"/>
          <w:pgSz w:w="11910" w:h="16840"/>
          <w:pgMar w:footer="979" w:header="748" w:top="1060" w:bottom="1160" w:left="980" w:right="0"/>
          <w:pgNumType w:start="1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决方案，已为数千个用户提供了优秀的软件和信息系统解决方案。</w:t>
      </w:r>
    </w:p>
    <w:p>
      <w:pPr>
        <w:spacing w:line="450" w:lineRule="atLeast" w:before="31"/>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、深度的市场理解与精准的产品定位</w:t>
      </w:r>
      <w:r>
        <w:rPr>
          <w:rFonts w:ascii="宋体" w:hAnsi="宋体" w:cs="宋体" w:eastAsia="宋体" w:hint="default"/>
          <w:b/>
          <w:bCs/>
          <w:w w:val="99"/>
          <w:sz w:val="18"/>
          <w:szCs w:val="18"/>
        </w:rPr>
        <w:t> </w:t>
      </w:r>
      <w:r>
        <w:rPr>
          <w:rFonts w:ascii="宋体" w:hAnsi="宋体" w:cs="宋体" w:eastAsia="宋体" w:hint="default"/>
          <w:spacing w:val="-2"/>
          <w:sz w:val="18"/>
          <w:szCs w:val="18"/>
        </w:rPr>
        <w:t>企业软件市场的特点是客户需求个性化、产品质量要求高、技术水平更迭快，深度的理解市场需求对企业软件提供商至</w:t>
      </w:r>
    </w:p>
    <w:p>
      <w:pPr>
        <w:pStyle w:val="BodyText"/>
        <w:spacing w:line="316" w:lineRule="auto" w:before="76"/>
        <w:ind w:right="1130"/>
        <w:jc w:val="both"/>
      </w:pPr>
      <w:r>
        <w:rPr>
          <w:spacing w:val="-2"/>
        </w:rPr>
        <w:t>关重要。公司自成立以来坚持行业的深耕细作，全面地了解市场形势、捕捉市场份额，通过与客户及时深度沟通和多渠道的</w:t>
      </w:r>
      <w:r>
        <w:rPr>
          <w:spacing w:val="-64"/>
        </w:rPr>
        <w:t> </w:t>
      </w:r>
      <w:r>
        <w:rPr>
          <w:spacing w:val="-64"/>
        </w:rPr>
      </w:r>
      <w:r>
        <w:rPr>
          <w:spacing w:val="-2"/>
        </w:rPr>
        <w:t>信息反馈机制，公司的产品有效地定位于满足行业用户的个性化需求。经过多年来不断的积累与完善，公司已建立了系统的</w:t>
      </w:r>
      <w:r>
        <w:rPr>
          <w:spacing w:val="-63"/>
        </w:rPr>
        <w:t> </w:t>
      </w:r>
      <w:r>
        <w:rPr>
          <w:spacing w:val="-63"/>
        </w:rPr>
      </w:r>
      <w:r>
        <w:rPr/>
        <w:t>产品迭代流程，根据反馈信息对产品进行持续优化、升级，不断提升产品与服务的质量。</w:t>
      </w:r>
    </w:p>
    <w:p>
      <w:pPr>
        <w:pStyle w:val="BodyText"/>
        <w:spacing w:line="468" w:lineRule="exact" w:before="10"/>
        <w:ind w:left="513" w:right="986"/>
        <w:jc w:val="left"/>
      </w:pPr>
      <w:r>
        <w:rPr>
          <w:rFonts w:ascii="Times New Roman" w:hAnsi="Times New Roman" w:cs="Times New Roman" w:eastAsia="Times New Roman" w:hint="default"/>
          <w:b/>
          <w:bCs/>
        </w:rPr>
        <w:t>4</w:t>
      </w:r>
      <w:r>
        <w:rPr>
          <w:rFonts w:ascii="宋体" w:hAnsi="宋体" w:cs="宋体" w:eastAsia="宋体" w:hint="default"/>
          <w:b/>
          <w:bCs/>
        </w:rPr>
        <w:t>、稳定的上下游资源</w:t>
      </w:r>
      <w:r>
        <w:rPr>
          <w:rFonts w:ascii="宋体" w:hAnsi="宋体" w:cs="宋体" w:eastAsia="宋体" w:hint="default"/>
          <w:b/>
          <w:bCs/>
          <w:w w:val="99"/>
        </w:rPr>
        <w:t> </w:t>
      </w:r>
      <w:r>
        <w:rPr/>
        <w:t>在上游资源方面，公司建立了稳定的战略合作伙伴体系</w:t>
      </w:r>
      <w:r>
        <w:rPr>
          <w:rFonts w:ascii="Times New Roman" w:hAnsi="Times New Roman" w:cs="Times New Roman" w:eastAsia="Times New Roman" w:hint="default"/>
        </w:rPr>
        <w:t>,</w:t>
      </w:r>
      <w:r>
        <w:rPr/>
        <w:t>通过与一流战略合作伙伴在最新技术与产品领域进行的深入合</w:t>
      </w:r>
    </w:p>
    <w:p>
      <w:pPr>
        <w:pStyle w:val="BodyText"/>
        <w:spacing w:line="319" w:lineRule="auto" w:before="8"/>
        <w:ind w:right="1131"/>
        <w:jc w:val="both"/>
      </w:pPr>
      <w:r>
        <w:rPr>
          <w:spacing w:val="-2"/>
        </w:rPr>
        <w:t>作，有力地提升了公司议价能力与综合竞争力。目前，公司通过与国内外核心部件供应商保持长期的战略合作关系，增强公</w:t>
      </w:r>
      <w:r>
        <w:rPr>
          <w:spacing w:val="-64"/>
        </w:rPr>
        <w:t> </w:t>
      </w:r>
      <w:r>
        <w:rPr>
          <w:spacing w:val="-64"/>
        </w:rPr>
      </w:r>
      <w:r>
        <w:rPr/>
        <w:t>司自身与供应商价格、供货周期、后续服务谈判能力，以此为客户提供优质可靠的产品及服务。</w:t>
      </w:r>
    </w:p>
    <w:p>
      <w:pPr>
        <w:spacing w:line="240" w:lineRule="auto" w:before="3"/>
        <w:rPr>
          <w:rFonts w:ascii="宋体" w:hAnsi="宋体" w:cs="宋体" w:eastAsia="宋体" w:hint="default"/>
          <w:sz w:val="13"/>
          <w:szCs w:val="13"/>
        </w:rPr>
      </w:pPr>
    </w:p>
    <w:p>
      <w:pPr>
        <w:pStyle w:val="BodyText"/>
        <w:spacing w:line="309" w:lineRule="auto"/>
        <w:ind w:right="1051" w:firstLine="360"/>
        <w:jc w:val="both"/>
      </w:pPr>
      <w:r>
        <w:rPr>
          <w:spacing w:val="-2"/>
        </w:rPr>
        <w:t>在下游资源方面，公司作为整体解决方案提供商，与客户长期保持沟通合作，提供持续服务，因而对客户业务现状、发</w:t>
      </w:r>
      <w:r>
        <w:rPr/>
        <w:t> 展趋势和本质性需求有着其他竞争者无法比拟的深刻了解，能够及时发现下游客户的需求</w:t>
      </w:r>
      <w:r>
        <w:rPr>
          <w:rFonts w:ascii="Times New Roman" w:hAnsi="Times New Roman" w:cs="Times New Roman" w:eastAsia="Times New Roman" w:hint="default"/>
        </w:rPr>
        <w:t>,</w:t>
      </w:r>
      <w:r>
        <w:rPr/>
        <w:t>不断纵向深耕业务。公司所拥有</w:t>
      </w:r>
      <w:r>
        <w:rPr>
          <w:spacing w:val="-43"/>
        </w:rPr>
        <w:t> </w:t>
      </w:r>
      <w:r>
        <w:rPr>
          <w:spacing w:val="-43"/>
        </w:rPr>
      </w:r>
      <w:r>
        <w:rPr/>
        <w:t>的客户在广度、深度上都具有明显优势，已形成了一定的网络效应，同时良好的客户口碑也为公司创造了交叉营销的机会。</w:t>
      </w:r>
    </w:p>
    <w:p>
      <w:pPr>
        <w:spacing w:line="468" w:lineRule="exact" w:before="16"/>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、始终如一的企业文化与理念</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公司始终秉承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唯实、创新、勤勉、诚信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的文化和理念，不断为客户提供创新、优秀的产品、解决方案与服务，提供高</w:t>
      </w:r>
    </w:p>
    <w:p>
      <w:pPr>
        <w:pStyle w:val="BodyText"/>
        <w:spacing w:line="240" w:lineRule="auto" w:before="8"/>
        <w:ind w:right="0"/>
        <w:jc w:val="both"/>
      </w:pPr>
      <w:r>
        <w:rPr/>
        <w:t>性价比的产品和便捷、高效的服务，提升客户对公司产品、服务质量的满意度和信任度。</w:t>
      </w:r>
    </w:p>
    <w:p>
      <w:pPr>
        <w:spacing w:line="240" w:lineRule="auto" w:before="10"/>
        <w:rPr>
          <w:rFonts w:ascii="宋体" w:hAnsi="宋体" w:cs="宋体" w:eastAsia="宋体" w:hint="default"/>
          <w:sz w:val="17"/>
          <w:szCs w:val="17"/>
        </w:rPr>
      </w:pPr>
    </w:p>
    <w:p>
      <w:pPr>
        <w:pStyle w:val="BodyText"/>
        <w:spacing w:line="300" w:lineRule="auto"/>
        <w:ind w:right="1135" w:firstLine="360"/>
        <w:jc w:val="both"/>
      </w:pPr>
      <w:r>
        <w:rPr>
          <w:spacing w:val="-2"/>
        </w:rPr>
        <w:t>公司企业文化以</w:t>
      </w:r>
      <w:r>
        <w:rPr>
          <w:rFonts w:ascii="Times New Roman" w:hAnsi="Times New Roman" w:cs="Times New Roman" w:eastAsia="Times New Roman" w:hint="default"/>
          <w:spacing w:val="-2"/>
        </w:rPr>
        <w:t>“</w:t>
      </w:r>
      <w:r>
        <w:rPr>
          <w:spacing w:val="-2"/>
        </w:rPr>
        <w:t>客户至上</w:t>
      </w:r>
      <w:r>
        <w:rPr>
          <w:rFonts w:ascii="Times New Roman" w:hAnsi="Times New Roman" w:cs="Times New Roman" w:eastAsia="Times New Roman" w:hint="default"/>
          <w:spacing w:val="-2"/>
        </w:rPr>
        <w:t>”</w:t>
      </w:r>
      <w:r>
        <w:rPr>
          <w:spacing w:val="-2"/>
        </w:rPr>
        <w:t>为核心，为及时发现与挖掘客户的潜在需求并快速响应，搭建了客户反馈平台，通过以客户</w:t>
      </w:r>
      <w:r>
        <w:rPr/>
        <w:t> 为中心、以需求为导向，持续用优质的服务积极发展并保持长期客户群。</w:t>
      </w:r>
    </w:p>
    <w:p>
      <w:pPr>
        <w:spacing w:after="0" w:line="300"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5"/>
        <w:ind w:left="2964" w:right="986"/>
        <w:jc w:val="left"/>
        <w:rPr>
          <w:b w:val="0"/>
          <w:bCs w:val="0"/>
        </w:rPr>
      </w:pPr>
      <w:bookmarkStart w:name="_TOC_250009" w:id="4"/>
      <w:r>
        <w:rPr/>
        <w:t>第四节</w:t>
      </w:r>
      <w:r>
        <w:rPr>
          <w:spacing w:val="-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r>
        <w:rPr/>
        <w:t>一、概述</w:t>
      </w:r>
      <w:r>
        <w:rPr>
          <w:b w:val="0"/>
          <w:bCs w:val="0"/>
        </w:rPr>
      </w:r>
    </w:p>
    <w:p>
      <w:pPr>
        <w:spacing w:line="240" w:lineRule="auto" w:before="5"/>
        <w:rPr>
          <w:rFonts w:ascii="宋体" w:hAnsi="宋体" w:cs="宋体" w:eastAsia="宋体" w:hint="default"/>
          <w:b/>
          <w:bCs/>
          <w:sz w:val="23"/>
          <w:szCs w:val="23"/>
        </w:rPr>
      </w:pPr>
    </w:p>
    <w:p>
      <w:pPr>
        <w:pStyle w:val="BodyText"/>
        <w:spacing w:line="241" w:lineRule="exact"/>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年，公司继续深挖金融、医疗、智慧城市、能源等领域的优质客户资源，拓展业务领域，实现营业收入</w:t>
      </w:r>
      <w:r>
        <w:rPr>
          <w:rFonts w:ascii="Times New Roman" w:hAnsi="Times New Roman" w:cs="Times New Roman" w:eastAsia="Times New Roman" w:hint="default"/>
        </w:rPr>
        <w:t>884,901.27</w:t>
      </w:r>
    </w:p>
    <w:p>
      <w:pPr>
        <w:pStyle w:val="BodyText"/>
        <w:spacing w:line="241" w:lineRule="exact"/>
        <w:ind w:right="986"/>
        <w:jc w:val="left"/>
      </w:pPr>
      <w:r>
        <w:rPr/>
        <w:t>万元，比上年同期增长</w:t>
      </w:r>
      <w:r>
        <w:rPr>
          <w:rFonts w:ascii="Times New Roman" w:hAnsi="Times New Roman" w:cs="Times New Roman" w:eastAsia="Times New Roman" w:hint="default"/>
        </w:rPr>
        <w:t>4.47%</w:t>
      </w:r>
      <w:r>
        <w:rPr/>
        <w:t>；归属于上市公司股东的净利润为</w:t>
      </w:r>
      <w:r>
        <w:rPr>
          <w:rFonts w:ascii="Times New Roman" w:hAnsi="Times New Roman" w:cs="Times New Roman" w:eastAsia="Times New Roman" w:hint="default"/>
        </w:rPr>
        <w:t>58,370.18</w:t>
      </w:r>
      <w:r>
        <w:rPr/>
        <w:t>万元，比上年同期下降</w:t>
      </w:r>
      <w:r>
        <w:rPr>
          <w:rFonts w:ascii="Times New Roman" w:hAnsi="Times New Roman" w:cs="Times New Roman" w:eastAsia="Times New Roman" w:hint="default"/>
        </w:rPr>
        <w:t>27.62%</w:t>
      </w:r>
      <w:r>
        <w:rPr/>
        <w:t>。</w:t>
      </w:r>
    </w:p>
    <w:p>
      <w:pPr>
        <w:pStyle w:val="BodyText"/>
        <w:spacing w:line="232" w:lineRule="auto" w:before="146"/>
        <w:ind w:right="986" w:firstLine="360"/>
        <w:jc w:val="left"/>
      </w:pPr>
      <w:r>
        <w:rPr>
          <w:spacing w:val="-2"/>
        </w:rPr>
        <w:t>报告期内，公司除了深耕传统业务领域，更依托在金融、医疗、智慧城市、能源等行业的广泛布局，加大云端市场科研</w:t>
      </w:r>
      <w:r>
        <w:rPr/>
        <w:t> </w:t>
      </w:r>
      <w:r>
        <w:rPr>
          <w:spacing w:val="-4"/>
        </w:rPr>
        <w:t>方面的大量投入，进一步推动云端市场的发展。</w:t>
      </w:r>
      <w:r>
        <w:rPr>
          <w:rFonts w:ascii="Times New Roman" w:hAnsi="Times New Roman" w:cs="Times New Roman" w:eastAsia="Times New Roman" w:hint="default"/>
          <w:spacing w:val="-4"/>
        </w:rPr>
        <w:t>2019</w:t>
      </w:r>
      <w:r>
        <w:rPr>
          <w:spacing w:val="-4"/>
        </w:rPr>
        <w:t>年度，公司成功签约全国人大私有云项目建设、三亚市政务云服务项目、</w:t>
      </w:r>
      <w:r>
        <w:rPr>
          <w:spacing w:val="-39"/>
        </w:rPr>
        <w:t> </w:t>
      </w:r>
      <w:r>
        <w:rPr>
          <w:spacing w:val="-39"/>
        </w:rPr>
      </w:r>
      <w:r>
        <w:rPr>
          <w:spacing w:val="-2"/>
        </w:rPr>
        <w:t>华夏银行云中心、住房租赁综合服务及公租房云平台优化、湖北公安云大数据中心、山西省智慧旅游云、村镇银行云托管平</w:t>
      </w:r>
      <w:r>
        <w:rPr>
          <w:spacing w:val="-65"/>
        </w:rPr>
        <w:t> </w:t>
      </w:r>
      <w:r>
        <w:rPr>
          <w:spacing w:val="-65"/>
        </w:rPr>
      </w:r>
      <w:r>
        <w:rPr/>
        <w:t>台等大型项目，助力各个行业向云服务的转型。</w:t>
      </w:r>
    </w:p>
    <w:p>
      <w:pPr>
        <w:pStyle w:val="BodyText"/>
        <w:spacing w:line="240" w:lineRule="auto" w:before="154"/>
        <w:ind w:left="513" w:right="986"/>
        <w:jc w:val="left"/>
      </w:pPr>
      <w:r>
        <w:rPr/>
        <w:t>以下，将通过各主要行业发展、软件产品开发及产品化、主要子公司三个板块对公司发展情况进行介绍：</w:t>
      </w:r>
    </w:p>
    <w:p>
      <w:pPr>
        <w:pStyle w:val="Heading5"/>
        <w:spacing w:line="240" w:lineRule="auto" w:before="155"/>
        <w:ind w:left="424" w:right="986"/>
        <w:jc w:val="left"/>
        <w:rPr>
          <w:b w:val="0"/>
          <w:bCs w:val="0"/>
        </w:rPr>
      </w:pPr>
      <w:r>
        <w:rPr/>
        <w:t>（一）主营业务情况</w:t>
      </w:r>
      <w:r>
        <w:rPr>
          <w:b w:val="0"/>
          <w:bCs w:val="0"/>
        </w:rPr>
      </w:r>
    </w:p>
    <w:p>
      <w:pPr>
        <w:pStyle w:val="BodyText"/>
        <w:spacing w:line="390" w:lineRule="atLeast" w:before="12"/>
        <w:ind w:left="513" w:right="1053"/>
        <w:jc w:val="left"/>
      </w:pPr>
      <w:r>
        <w:rPr>
          <w:rFonts w:ascii="Times New Roman" w:hAnsi="Times New Roman" w:cs="Times New Roman" w:eastAsia="Times New Roman" w:hint="default"/>
          <w:b/>
          <w:bCs/>
        </w:rPr>
        <w:t>1</w:t>
      </w:r>
      <w:r>
        <w:rPr>
          <w:rFonts w:ascii="宋体" w:hAnsi="宋体" w:cs="宋体" w:eastAsia="宋体" w:hint="default"/>
          <w:b/>
          <w:bCs/>
        </w:rPr>
        <w:t>、医疗行业</w:t>
      </w:r>
      <w:r>
        <w:rPr>
          <w:rFonts w:ascii="宋体" w:hAnsi="宋体" w:cs="宋体" w:eastAsia="宋体" w:hint="default"/>
          <w:b/>
          <w:bCs/>
          <w:w w:val="99"/>
        </w:rPr>
        <w:t> </w:t>
      </w:r>
      <w:r>
        <w:rPr/>
        <w:t>作为公司的全资子公司，东华医为顺应国家卫健委</w:t>
      </w:r>
      <w:r>
        <w:rPr>
          <w:rFonts w:ascii="Times New Roman" w:hAnsi="Times New Roman" w:cs="Times New Roman" w:eastAsia="Times New Roman" w:hint="default"/>
        </w:rPr>
        <w:t>“</w:t>
      </w:r>
      <w:r>
        <w:rPr/>
        <w:t>健康中国行动</w:t>
      </w:r>
      <w:r>
        <w:rPr>
          <w:rFonts w:ascii="Times New Roman" w:hAnsi="Times New Roman" w:cs="Times New Roman" w:eastAsia="Times New Roman" w:hint="default"/>
        </w:rPr>
        <w:t>“</w:t>
      </w:r>
      <w:r>
        <w:rPr/>
        <w:t>的发展战略方针，加快推进各省域内服务网络布局，</w:t>
      </w:r>
    </w:p>
    <w:p>
      <w:pPr>
        <w:pStyle w:val="BodyText"/>
        <w:spacing w:line="232" w:lineRule="auto"/>
        <w:ind w:right="986"/>
        <w:jc w:val="left"/>
      </w:pPr>
      <w:r>
        <w:rPr>
          <w:spacing w:val="-2"/>
        </w:rPr>
        <w:t>通过传统医院核心业务系统信息化与互联网医疗等创新业务的协同发展，扩大综合优势提高市场占有率，市场覆盖面横向纵</w:t>
      </w:r>
      <w:r>
        <w:rPr>
          <w:spacing w:val="-64"/>
        </w:rPr>
        <w:t> </w:t>
      </w:r>
      <w:r>
        <w:rPr>
          <w:spacing w:val="-64"/>
        </w:rPr>
      </w:r>
      <w:r>
        <w:rPr>
          <w:spacing w:val="-4"/>
        </w:rPr>
        <w:t>向延伸，新客户开发持续发力，目前服务网络遍及全国</w:t>
      </w:r>
      <w:r>
        <w:rPr>
          <w:rFonts w:ascii="Times New Roman" w:hAnsi="Times New Roman" w:cs="Times New Roman" w:eastAsia="Times New Roman" w:hint="default"/>
          <w:spacing w:val="-4"/>
        </w:rPr>
        <w:t>31</w:t>
      </w:r>
      <w:r>
        <w:rPr>
          <w:spacing w:val="-4"/>
        </w:rPr>
        <w:t>个省、自治区、直辖市。报告期内，千万级项目订单数量显著增加，</w:t>
      </w:r>
      <w:r>
        <w:rPr>
          <w:spacing w:val="-41"/>
        </w:rPr>
        <w:t> </w:t>
      </w:r>
      <w:r>
        <w:rPr>
          <w:spacing w:val="-41"/>
        </w:rPr>
      </w:r>
      <w:r>
        <w:rPr/>
        <w:t>总金额达到医疗板块整体营业额的</w:t>
      </w:r>
      <w:r>
        <w:rPr>
          <w:rFonts w:ascii="Times New Roman" w:hAnsi="Times New Roman" w:cs="Times New Roman" w:eastAsia="Times New Roman" w:hint="default"/>
        </w:rPr>
        <w:t>50%</w:t>
      </w:r>
      <w:r>
        <w:rPr/>
        <w:t>，签约客户中新客户占比达到</w:t>
      </w:r>
      <w:r>
        <w:rPr>
          <w:rFonts w:ascii="Times New Roman" w:hAnsi="Times New Roman" w:cs="Times New Roman" w:eastAsia="Times New Roman" w:hint="default"/>
        </w:rPr>
        <w:t>30%</w:t>
      </w:r>
      <w:r>
        <w:rPr/>
        <w:t>。</w:t>
      </w:r>
    </w:p>
    <w:p>
      <w:pPr>
        <w:pStyle w:val="BodyText"/>
        <w:spacing w:line="240" w:lineRule="auto" w:before="140"/>
        <w:ind w:left="513" w:right="986"/>
        <w:jc w:val="left"/>
      </w:pPr>
      <w:r>
        <w:rPr/>
        <w:t>报告期内，重点工作回顾：</w:t>
      </w:r>
    </w:p>
    <w:p>
      <w:pPr>
        <w:pStyle w:val="BodyText"/>
        <w:spacing w:line="390" w:lineRule="atLeast" w:before="15"/>
        <w:ind w:left="513" w:right="98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）智慧医院</w:t>
      </w:r>
      <w:r>
        <w:rPr>
          <w:rFonts w:ascii="宋体" w:hAnsi="宋体" w:cs="宋体" w:eastAsia="宋体" w:hint="default"/>
          <w:b/>
          <w:bCs/>
          <w:w w:val="99"/>
        </w:rPr>
        <w:t> </w:t>
      </w:r>
      <w:r>
        <w:rPr>
          <w:spacing w:val="-2"/>
        </w:rPr>
        <w:t>报告期内，基于良好的售前、售后服务体系，公司新增智慧医院用户</w:t>
      </w:r>
      <w:r>
        <w:rPr>
          <w:rFonts w:ascii="Times New Roman" w:hAnsi="Times New Roman" w:cs="Times New Roman" w:eastAsia="Times New Roman" w:hint="default"/>
          <w:spacing w:val="-2"/>
        </w:rPr>
        <w:t>81</w:t>
      </w:r>
      <w:r>
        <w:rPr>
          <w:spacing w:val="-2"/>
        </w:rPr>
        <w:t>家，其中三级医院</w:t>
      </w:r>
      <w:r>
        <w:rPr>
          <w:rFonts w:ascii="Times New Roman" w:hAnsi="Times New Roman" w:cs="Times New Roman" w:eastAsia="Times New Roman" w:hint="default"/>
          <w:spacing w:val="-2"/>
        </w:rPr>
        <w:t>32</w:t>
      </w:r>
      <w:r>
        <w:rPr>
          <w:spacing w:val="-2"/>
        </w:rPr>
        <w:t>家。报告期内，完成</w:t>
      </w:r>
      <w:r>
        <w:rPr>
          <w:rFonts w:ascii="Times New Roman" w:hAnsi="Times New Roman" w:cs="Times New Roman" w:eastAsia="Times New Roman" w:hint="default"/>
          <w:spacing w:val="-2"/>
        </w:rPr>
        <w:t>92</w:t>
      </w:r>
      <w:r>
        <w:rPr>
          <w:spacing w:val="-2"/>
        </w:rPr>
        <w:t>家医</w:t>
      </w:r>
    </w:p>
    <w:p>
      <w:pPr>
        <w:pStyle w:val="BodyText"/>
        <w:spacing w:line="232" w:lineRule="auto"/>
        <w:ind w:right="1128"/>
        <w:jc w:val="both"/>
      </w:pPr>
      <w:r>
        <w:rPr>
          <w:spacing w:val="-2"/>
        </w:rPr>
        <w:t>院主体业务实施工作，其中</w:t>
      </w:r>
      <w:r>
        <w:rPr>
          <w:rFonts w:ascii="Times New Roman" w:hAnsi="Times New Roman" w:cs="Times New Roman" w:eastAsia="Times New Roman" w:hint="default"/>
          <w:spacing w:val="-2"/>
        </w:rPr>
        <w:t>77</w:t>
      </w:r>
      <w:r>
        <w:rPr>
          <w:spacing w:val="-2"/>
        </w:rPr>
        <w:t>家智慧医院信息系统建设和</w:t>
      </w:r>
      <w:r>
        <w:rPr>
          <w:rFonts w:ascii="Times New Roman" w:hAnsi="Times New Roman" w:cs="Times New Roman" w:eastAsia="Times New Roman" w:hint="default"/>
          <w:spacing w:val="-2"/>
        </w:rPr>
        <w:t>15</w:t>
      </w:r>
      <w:r>
        <w:rPr>
          <w:spacing w:val="-2"/>
        </w:rPr>
        <w:t>家业务升级，其中已完成</w:t>
      </w:r>
      <w:r>
        <w:rPr>
          <w:rFonts w:ascii="Times New Roman" w:hAnsi="Times New Roman" w:cs="Times New Roman" w:eastAsia="Times New Roman" w:hint="default"/>
          <w:spacing w:val="-2"/>
        </w:rPr>
        <w:t>45</w:t>
      </w:r>
      <w:r>
        <w:rPr>
          <w:spacing w:val="-2"/>
        </w:rPr>
        <w:t>家医院项目验收。与众多新老客户签</w:t>
      </w:r>
      <w:r>
        <w:rPr>
          <w:spacing w:val="-60"/>
        </w:rPr>
        <w:t> </w:t>
      </w:r>
      <w:r>
        <w:rPr>
          <w:spacing w:val="-60"/>
        </w:rPr>
      </w:r>
      <w:r>
        <w:rPr>
          <w:spacing w:val="-2"/>
        </w:rPr>
        <w:t>订大型项目，凸显了公司在智慧医院整体解决方案方面的优势地位，进一步提升了公司在医疗行业竞争力和影响力。充足的</w:t>
      </w:r>
      <w:r>
        <w:rPr>
          <w:spacing w:val="-61"/>
        </w:rPr>
        <w:t> </w:t>
      </w:r>
      <w:r>
        <w:rPr>
          <w:spacing w:val="-61"/>
        </w:rPr>
      </w:r>
      <w:r>
        <w:rPr/>
        <w:t>人力、财力在为公司开展新技术的应用和新产品的研发提供保障的同时，也不断提高为新客户提供优质服务的能力。</w:t>
      </w:r>
    </w:p>
    <w:p>
      <w:pPr>
        <w:spacing w:line="240" w:lineRule="auto" w:before="7"/>
        <w:rPr>
          <w:rFonts w:ascii="宋体" w:hAnsi="宋体" w:cs="宋体" w:eastAsia="宋体" w:hint="default"/>
          <w:sz w:val="12"/>
          <w:szCs w:val="12"/>
        </w:rPr>
      </w:pPr>
    </w:p>
    <w:p>
      <w:pPr>
        <w:pStyle w:val="BodyText"/>
        <w:spacing w:line="228" w:lineRule="auto"/>
        <w:ind w:right="1130" w:firstLine="360"/>
        <w:jc w:val="both"/>
      </w:pPr>
      <w:r>
        <w:rPr>
          <w:rFonts w:ascii="Times New Roman" w:hAnsi="Times New Roman" w:cs="Times New Roman" w:eastAsia="Times New Roman" w:hint="default"/>
          <w:spacing w:val="-2"/>
        </w:rPr>
        <w:t>77</w:t>
      </w:r>
      <w:r>
        <w:rPr>
          <w:spacing w:val="-2"/>
        </w:rPr>
        <w:t>家新增的智慧医院客户包括北京友谊医院（通州院区）、新疆维吾尔自治区中医医院、西南医科大学附属医院、河北</w:t>
      </w:r>
      <w:r>
        <w:rPr/>
        <w:t> </w:t>
      </w:r>
      <w:r>
        <w:rPr>
          <w:spacing w:val="-2"/>
        </w:rPr>
        <w:t>省儿童医院、河南中医学院第一附属医院、马鞍山市人民医院、重庆市人民医院、合肥京东方医院、泰康集团下属三家医院</w:t>
      </w:r>
      <w:r>
        <w:rPr>
          <w:spacing w:val="-67"/>
        </w:rPr>
        <w:t> </w:t>
      </w:r>
      <w:r>
        <w:rPr>
          <w:spacing w:val="-67"/>
        </w:rPr>
      </w:r>
      <w:r>
        <w:rPr>
          <w:spacing w:val="-2"/>
        </w:rPr>
        <w:t>等。其中，北京友谊医院（通州院区）是北京市政府疏解非首都功能的一个实际行动，在该项目中，依托公司产品的高可配</w:t>
      </w:r>
      <w:r>
        <w:rPr>
          <w:spacing w:val="-70"/>
        </w:rPr>
        <w:t> </w:t>
      </w:r>
      <w:r>
        <w:rPr>
          <w:spacing w:val="-70"/>
        </w:rPr>
      </w:r>
      <w:r>
        <w:rPr/>
        <w:t>置性、集成平台强大的对接能力，仅用</w:t>
      </w:r>
      <w:r>
        <w:rPr>
          <w:rFonts w:ascii="Times New Roman" w:hAnsi="Times New Roman" w:cs="Times New Roman" w:eastAsia="Times New Roman" w:hint="default"/>
        </w:rPr>
        <w:t>3</w:t>
      </w:r>
      <w:r>
        <w:rPr/>
        <w:t>个月时间即完成友谊医院多院区一体化部署，大大缩短项目工期。完成泰康集团旗</w:t>
      </w:r>
      <w:r>
        <w:rPr>
          <w:spacing w:val="-83"/>
        </w:rPr>
        <w:t> </w:t>
      </w:r>
      <w:r>
        <w:rPr>
          <w:spacing w:val="-83"/>
        </w:rPr>
      </w:r>
      <w:r>
        <w:rPr/>
        <w:t>下申园、燕园、粤园三地三家康复医院的信息系统主体工程建设，为分布式集团化医院实施积累大量经验。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月，完</w:t>
      </w:r>
      <w:r>
        <w:rPr>
          <w:spacing w:val="-84"/>
        </w:rPr>
        <w:t> </w:t>
      </w:r>
      <w:r>
        <w:rPr>
          <w:spacing w:val="-84"/>
        </w:rPr>
      </w:r>
      <w:r>
        <w:rPr>
          <w:spacing w:val="-1"/>
        </w:rPr>
        <w:t>成全国首家云</w:t>
      </w:r>
      <w:r>
        <w:rPr>
          <w:rFonts w:ascii="Times New Roman" w:hAnsi="Times New Roman" w:cs="Times New Roman" w:eastAsia="Times New Roman" w:hint="default"/>
          <w:spacing w:val="-1"/>
        </w:rPr>
        <w:t>HIS</w:t>
      </w:r>
      <w:r>
        <w:rPr>
          <w:spacing w:val="-1"/>
        </w:rPr>
        <w:t>医院项目实施，安徽省长丰县人民医院医院管理系统。此后陆续签约上线河南滑县人民医院等多家医院云</w:t>
      </w:r>
      <w:r>
        <w:rPr>
          <w:spacing w:val="-48"/>
        </w:rPr>
        <w:t> </w:t>
      </w:r>
      <w:r>
        <w:rPr>
          <w:spacing w:val="-48"/>
        </w:rPr>
      </w:r>
      <w:r>
        <w:rPr>
          <w:rFonts w:ascii="Times New Roman" w:hAnsi="Times New Roman" w:cs="Times New Roman" w:eastAsia="Times New Roman" w:hint="default"/>
        </w:rPr>
        <w:t>HIS</w:t>
      </w:r>
      <w:r>
        <w:rPr/>
        <w:t>。</w:t>
      </w:r>
    </w:p>
    <w:p>
      <w:pPr>
        <w:spacing w:line="370" w:lineRule="atLeast" w:before="23"/>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）智慧卫生（区域医疗）</w:t>
      </w:r>
      <w:r>
        <w:rPr>
          <w:rFonts w:ascii="宋体" w:hAnsi="宋体" w:cs="宋体" w:eastAsia="宋体" w:hint="default"/>
          <w:b/>
          <w:bCs/>
          <w:w w:val="99"/>
          <w:sz w:val="18"/>
          <w:szCs w:val="18"/>
        </w:rPr>
        <w:t> </w:t>
      </w:r>
      <w:r>
        <w:rPr>
          <w:rFonts w:ascii="宋体" w:hAnsi="宋体" w:cs="宋体" w:eastAsia="宋体" w:hint="default"/>
          <w:spacing w:val="-2"/>
          <w:sz w:val="18"/>
          <w:szCs w:val="18"/>
        </w:rPr>
        <w:t>在智慧卫生领域，东华医为承接实施国家级信息化基础设施，国家全民健康保障信息化工程一期项目应用支撑平台的建</w:t>
      </w:r>
    </w:p>
    <w:p>
      <w:pPr>
        <w:pStyle w:val="BodyText"/>
        <w:spacing w:line="237" w:lineRule="auto"/>
        <w:ind w:right="1131"/>
        <w:jc w:val="both"/>
      </w:pPr>
      <w:r>
        <w:rPr>
          <w:spacing w:val="-2"/>
        </w:rPr>
        <w:t>设，以及山西省、北京市延庆区、大同市、滁州市和安康市等多个区域级全民健康信息平台项目，覆盖国家级、省级、地市</w:t>
      </w:r>
      <w:r>
        <w:rPr>
          <w:spacing w:val="-71"/>
        </w:rPr>
        <w:t> </w:t>
      </w:r>
      <w:r>
        <w:rPr>
          <w:spacing w:val="-71"/>
        </w:rPr>
      </w:r>
      <w:r>
        <w:rPr>
          <w:spacing w:val="-2"/>
        </w:rPr>
        <w:t>级和县级四级互联互通体系。其中，本年度内完成北京市延庆区全民健康信息平台的上线，实现了区域应急指挥、急救中心</w:t>
      </w:r>
      <w:r>
        <w:rPr>
          <w:spacing w:val="-64"/>
        </w:rPr>
        <w:t> </w:t>
      </w:r>
      <w:r>
        <w:rPr>
          <w:spacing w:val="-64"/>
        </w:rPr>
      </w:r>
      <w:r>
        <w:rPr/>
        <w:t>与医院之间的业务协同和数据共享，为世界园艺博览会的顺利召开提供了卫生应急保障。</w:t>
      </w:r>
    </w:p>
    <w:p>
      <w:pPr>
        <w:pStyle w:val="BodyText"/>
        <w:spacing w:line="232" w:lineRule="auto" w:before="160"/>
        <w:ind w:right="1130" w:firstLine="360"/>
        <w:jc w:val="both"/>
      </w:pPr>
      <w:r>
        <w:rPr>
          <w:spacing w:val="-2"/>
        </w:rPr>
        <w:t>在医养结合领域，公司紧跟国家《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健康老龄化规划》相关政策，结合自身医疗行业优势，打造了东华智慧医养</w:t>
      </w:r>
      <w:r>
        <w:rPr/>
        <w:t> </w:t>
      </w:r>
      <w:r>
        <w:rPr>
          <w:spacing w:val="-2"/>
        </w:rPr>
        <w:t>平台，开拓社区养老及居家养老业务应用模式，形成一套功能全面、理念先进、符合市场需要的整体医养解决方案，本年度</w:t>
      </w:r>
      <w:r>
        <w:rPr>
          <w:spacing w:val="-67"/>
        </w:rPr>
        <w:t> </w:t>
      </w:r>
      <w:r>
        <w:rPr>
          <w:spacing w:val="-67"/>
        </w:rPr>
      </w:r>
      <w:r>
        <w:rPr/>
        <w:t>已在上海地区多家养老机构上线。</w:t>
      </w:r>
    </w:p>
    <w:p>
      <w:pPr>
        <w:pStyle w:val="BodyText"/>
        <w:spacing w:line="370" w:lineRule="atLeast" w:before="33"/>
        <w:ind w:left="513" w:right="98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）智慧医保</w:t>
      </w:r>
      <w:r>
        <w:rPr>
          <w:rFonts w:ascii="宋体" w:hAnsi="宋体" w:cs="宋体" w:eastAsia="宋体" w:hint="default"/>
          <w:b/>
          <w:bCs/>
          <w:w w:val="99"/>
        </w:rPr>
        <w:t> </w:t>
      </w:r>
      <w:r>
        <w:rPr>
          <w:spacing w:val="-2"/>
        </w:rPr>
        <w:t>在医疗保障领域，先后中标国家医疗保障信息平台业务应用软件采购项目、国家医疗保障局网络安全设备采购项目，开</w:t>
      </w:r>
    </w:p>
    <w:p>
      <w:pPr>
        <w:pStyle w:val="BodyText"/>
        <w:spacing w:line="237" w:lineRule="auto"/>
        <w:ind w:right="1034"/>
        <w:jc w:val="left"/>
      </w:pPr>
      <w:r>
        <w:rPr/>
        <w:t>启了公司医保信息化的新旅程。在实施国家医疗保障局十四个业务系统和一个基础支撑平台的应用系统的总集工作过程中， </w:t>
      </w:r>
      <w:r>
        <w:rPr>
          <w:spacing w:val="-2"/>
        </w:rPr>
        <w:t>获得了国家医保层面的高度认可。报告期内，公司又先后中标山东省医疗保障局应用软件集成、青岛市即墨区医保局中标智</w:t>
      </w:r>
      <w:r>
        <w:rPr>
          <w:spacing w:val="-66"/>
        </w:rPr>
        <w:t> </w:t>
      </w:r>
      <w:r>
        <w:rPr>
          <w:spacing w:val="-66"/>
        </w:rPr>
      </w:r>
      <w:r>
        <w:rPr/>
        <w:t>能监控项目，立足于医疗保障行业长足发展。</w:t>
      </w:r>
    </w:p>
    <w:p>
      <w:pPr>
        <w:spacing w:line="240" w:lineRule="auto" w:before="8"/>
        <w:rPr>
          <w:rFonts w:ascii="宋体" w:hAnsi="宋体" w:cs="宋体" w:eastAsia="宋体" w:hint="default"/>
          <w:sz w:val="13"/>
          <w:szCs w:val="13"/>
        </w:rPr>
      </w:pPr>
    </w:p>
    <w:p>
      <w:pPr>
        <w:pStyle w:val="BodyText"/>
        <w:spacing w:line="232" w:lineRule="exact"/>
        <w:ind w:right="986" w:firstLine="360"/>
        <w:jc w:val="left"/>
      </w:pPr>
      <w:r>
        <w:rPr>
          <w:spacing w:val="-1"/>
        </w:rPr>
        <w:t>此外，在云</w:t>
      </w:r>
      <w:r>
        <w:rPr>
          <w:rFonts w:ascii="Times New Roman" w:hAnsi="Times New Roman" w:cs="Times New Roman" w:eastAsia="Times New Roman" w:hint="default"/>
          <w:spacing w:val="-1"/>
        </w:rPr>
        <w:t>HIS</w:t>
      </w:r>
      <w:r>
        <w:rPr>
          <w:spacing w:val="-1"/>
        </w:rPr>
        <w:t>监管、临床诊断监管、电子处方流转、药店智能监管、</w:t>
      </w:r>
      <w:r>
        <w:rPr>
          <w:rFonts w:ascii="Times New Roman" w:hAnsi="Times New Roman" w:cs="Times New Roman" w:eastAsia="Times New Roman" w:hint="default"/>
          <w:spacing w:val="-1"/>
        </w:rPr>
        <w:t>DRG</w:t>
      </w:r>
      <w:r>
        <w:rPr>
          <w:spacing w:val="-1"/>
        </w:rPr>
        <w:t>付费、医保信用管理及反欺诈等业务领域形</w:t>
      </w:r>
      <w:r>
        <w:rPr/>
        <w:t> 成整体解决方案，成功签约邯郸市医保局、中国人民健康保险股份有限公司、中国人民财产保险股份有限公司等单位。</w:t>
      </w:r>
    </w:p>
    <w:p>
      <w:pPr>
        <w:spacing w:after="0" w:line="232" w:lineRule="exact"/>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30" w:lineRule="auto" w:before="53"/>
        <w:ind w:right="1128" w:firstLine="360"/>
        <w:jc w:val="both"/>
      </w:pPr>
      <w:r>
        <w:rPr/>
        <w:t>在国家强力推动</w:t>
      </w:r>
      <w:r>
        <w:rPr>
          <w:rFonts w:ascii="Times New Roman" w:hAnsi="Times New Roman" w:cs="Times New Roman" w:eastAsia="Times New Roman" w:hint="default"/>
        </w:rPr>
        <w:t>DRG</w:t>
      </w:r>
      <w:r>
        <w:rPr/>
        <w:t>付费改革的背景下</w:t>
      </w:r>
      <w:r>
        <w:rPr>
          <w:rFonts w:ascii="Times New Roman" w:hAnsi="Times New Roman" w:cs="Times New Roman" w:eastAsia="Times New Roman" w:hint="default"/>
        </w:rPr>
        <w:t>,</w:t>
      </w:r>
      <w:r>
        <w:rPr/>
        <w:t>公司依托已有的</w:t>
      </w:r>
      <w:r>
        <w:rPr>
          <w:rFonts w:ascii="Times New Roman" w:hAnsi="Times New Roman" w:cs="Times New Roman" w:eastAsia="Times New Roman" w:hint="default"/>
        </w:rPr>
        <w:t>DRG</w:t>
      </w:r>
      <w:r>
        <w:rPr/>
        <w:t>核心分组技术，继续深入</w:t>
      </w:r>
      <w:r>
        <w:rPr>
          <w:rFonts w:ascii="Times New Roman" w:hAnsi="Times New Roman" w:cs="Times New Roman" w:eastAsia="Times New Roman" w:hint="default"/>
        </w:rPr>
        <w:t>DRG</w:t>
      </w:r>
      <w:r>
        <w:rPr/>
        <w:t>的研发与创新，已与</w:t>
      </w:r>
      <w:r>
        <w:rPr>
          <w:rFonts w:ascii="Times New Roman" w:hAnsi="Times New Roman" w:cs="Times New Roman" w:eastAsia="Times New Roman" w:hint="default"/>
        </w:rPr>
        <w:t>283</w:t>
      </w:r>
      <w:r>
        <w:rPr/>
        <w:t>家 医院开展了</w:t>
      </w:r>
      <w:r>
        <w:rPr>
          <w:rFonts w:ascii="Times New Roman" w:hAnsi="Times New Roman" w:cs="Times New Roman" w:eastAsia="Times New Roman" w:hint="default"/>
        </w:rPr>
        <w:t>DRG</w:t>
      </w:r>
      <w:r>
        <w:rPr/>
        <w:t>项目的合作。报告期内，公司新增加</w:t>
      </w:r>
      <w:r>
        <w:rPr>
          <w:rFonts w:ascii="Times New Roman" w:hAnsi="Times New Roman" w:cs="Times New Roman" w:eastAsia="Times New Roman" w:hint="default"/>
        </w:rPr>
        <w:t>12</w:t>
      </w:r>
      <w:r>
        <w:rPr/>
        <w:t>家</w:t>
      </w:r>
      <w:r>
        <w:rPr>
          <w:rFonts w:ascii="Times New Roman" w:hAnsi="Times New Roman" w:cs="Times New Roman" w:eastAsia="Times New Roman" w:hint="default"/>
        </w:rPr>
        <w:t>DRG</w:t>
      </w:r>
      <w:r>
        <w:rPr/>
        <w:t>客户，包括：天津中医院附属医院、江苏省肿瘤医院、安徽</w:t>
      </w:r>
      <w:r>
        <w:rPr>
          <w:spacing w:val="-42"/>
        </w:rPr>
        <w:t> </w:t>
      </w:r>
      <w:r>
        <w:rPr>
          <w:spacing w:val="-42"/>
        </w:rPr>
      </w:r>
      <w:r>
        <w:rPr>
          <w:spacing w:val="-2"/>
        </w:rPr>
        <w:t>医科大学第四附属医院、中山大学附属第六医院、武汉大学中南医院、湖北省中医院、宁夏医科大学总医院、天津中医药大</w:t>
      </w:r>
      <w:r>
        <w:rPr>
          <w:spacing w:val="-67"/>
        </w:rPr>
        <w:t> </w:t>
      </w:r>
      <w:r>
        <w:rPr>
          <w:spacing w:val="-67"/>
        </w:rPr>
      </w:r>
      <w:r>
        <w:rPr/>
        <w:t>学第一附属医院、青岛大学医学院附属医院、鄂尔多斯市中心医院、通辽市医院、广州中医药大学顺德医院项目。</w:t>
      </w:r>
    </w:p>
    <w:p>
      <w:pPr>
        <w:pStyle w:val="BodyText"/>
        <w:spacing w:line="390" w:lineRule="atLeast" w:before="13"/>
        <w:ind w:left="513" w:right="1123"/>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）互联网医疗</w:t>
      </w:r>
      <w:r>
        <w:rPr>
          <w:rFonts w:ascii="宋体" w:hAnsi="宋体" w:cs="宋体" w:eastAsia="宋体" w:hint="default"/>
          <w:b/>
          <w:bCs/>
          <w:w w:val="99"/>
        </w:rPr>
        <w:t> </w:t>
      </w:r>
      <w:r>
        <w:rPr/>
        <w:t>在互联网医疗领域，公司的核心品牌健康乐已为全国</w:t>
      </w:r>
      <w:r>
        <w:rPr>
          <w:rFonts w:ascii="Times New Roman" w:hAnsi="Times New Roman" w:cs="Times New Roman" w:eastAsia="Times New Roman" w:hint="default"/>
        </w:rPr>
        <w:t>100</w:t>
      </w:r>
      <w:r>
        <w:rPr/>
        <w:t>余家三甲医院的患者管理业务提供服务。截止到</w:t>
      </w:r>
      <w:r>
        <w:rPr>
          <w:rFonts w:ascii="Times New Roman" w:hAnsi="Times New Roman" w:cs="Times New Roman" w:eastAsia="Times New Roman" w:hint="default"/>
        </w:rPr>
        <w:t>2019</w:t>
      </w:r>
      <w:r>
        <w:rPr/>
        <w:t>年底，健</w:t>
      </w:r>
    </w:p>
    <w:p>
      <w:pPr>
        <w:pStyle w:val="BodyText"/>
        <w:spacing w:line="230" w:lineRule="auto"/>
        <w:ind w:right="1034"/>
        <w:jc w:val="left"/>
      </w:pPr>
      <w:r>
        <w:rPr>
          <w:spacing w:val="-2"/>
        </w:rPr>
        <w:t>康乐网站平台入驻医生几万人，已管理患者病例超过千万。健康乐平台围绕预约挂号、智能导诊、在线咨询、智能随访、医</w:t>
      </w:r>
      <w:r>
        <w:rPr>
          <w:spacing w:val="-68"/>
        </w:rPr>
        <w:t> </w:t>
      </w:r>
      <w:r>
        <w:rPr>
          <w:spacing w:val="-68"/>
        </w:rPr>
      </w:r>
      <w:r>
        <w:rPr>
          <w:spacing w:val="-2"/>
        </w:rPr>
        <w:t>药商城、健康档案等功能建设，可为患者提供覆盖诊前、诊中、诊后全流程的闭环服务体验。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月，健康乐获得互联</w:t>
      </w:r>
      <w:r>
        <w:rPr>
          <w:spacing w:val="-61"/>
        </w:rPr>
        <w:t> </w:t>
      </w:r>
      <w:r>
        <w:rPr>
          <w:spacing w:val="-61"/>
        </w:rPr>
      </w:r>
      <w:r>
        <w:rPr/>
        <w:t>网医院牌照及远程医疗中心执业许可证，标志着公司成为业内少数自建自营互联网医院并获批牌照资质的</w:t>
      </w:r>
      <w:r>
        <w:rPr>
          <w:rFonts w:ascii="Times New Roman" w:hAnsi="Times New Roman" w:cs="Times New Roman" w:eastAsia="Times New Roman" w:hint="default"/>
        </w:rPr>
        <w:t>HIS</w:t>
      </w:r>
      <w:r>
        <w:rPr>
          <w:rFonts w:ascii="Times New Roman" w:hAnsi="Times New Roman" w:cs="Times New Roman" w:eastAsia="Times New Roman" w:hint="default"/>
          <w:spacing w:val="11"/>
        </w:rPr>
        <w:t> </w:t>
      </w:r>
      <w:r>
        <w:rPr>
          <w:spacing w:val="-8"/>
        </w:rPr>
        <w:t>厂商。本年度</w:t>
      </w:r>
      <w:r>
        <w:rPr/>
        <w:t> 内，公司</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业务能力持续提升，患者、医疗、医药、医保的服务生态更加完善，具备了线下实体医疗机构</w:t>
      </w:r>
      <w:r>
        <w:rPr>
          <w:spacing w:val="-75"/>
        </w:rPr>
        <w:t> </w:t>
      </w:r>
      <w:r>
        <w:rPr>
          <w:spacing w:val="-75"/>
        </w:rPr>
      </w:r>
      <w:r>
        <w:rPr>
          <w:spacing w:val="-2"/>
        </w:rPr>
        <w:t>的门诊接诊及远程会诊、远程门诊、远程心电、远程病理、远程彩超等远程诊疗能力，同时，增加了针对慢病、常见病复诊</w:t>
      </w:r>
      <w:r>
        <w:rPr>
          <w:spacing w:val="-73"/>
        </w:rPr>
        <w:t> </w:t>
      </w:r>
      <w:r>
        <w:rPr>
          <w:spacing w:val="-73"/>
        </w:rPr>
      </w:r>
      <w:r>
        <w:rPr/>
        <w:t>患者的线上接诊及互联网诊疗能力。截止到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月底，公司已为南方医科大学南方医院、中国医科大学附属第一医院、 青岛大学附属医院、中信医疗集团、内蒙古自治区互联网医疗平台、兰州大学第二医院、北京市中医院、榆林市第二医院、 长治市第二医院等十几家医院提供了互联网信息化支撑。其中，助力南方医科大学南方医院、中国医科大学附属第一医院， 获得首批互联网医院牌。在南方医院实施的</w:t>
      </w:r>
      <w:r>
        <w:rPr>
          <w:rFonts w:ascii="Times New Roman" w:hAnsi="Times New Roman" w:cs="Times New Roman" w:eastAsia="Times New Roman" w:hint="default"/>
        </w:rPr>
        <w:t>“</w:t>
      </w:r>
      <w:r>
        <w:rPr/>
        <w:t>智慧门诊</w:t>
      </w:r>
      <w:r>
        <w:rPr>
          <w:rFonts w:ascii="Times New Roman" w:hAnsi="Times New Roman" w:cs="Times New Roman" w:eastAsia="Times New Roman" w:hint="default"/>
        </w:rPr>
        <w:t>—</w:t>
      </w:r>
      <w:r>
        <w:rPr/>
        <w:t>创新互联网全流程便民就医实践</w:t>
      </w:r>
      <w:r>
        <w:rPr>
          <w:rFonts w:ascii="Times New Roman" w:hAnsi="Times New Roman" w:cs="Times New Roman" w:eastAsia="Times New Roman" w:hint="default"/>
        </w:rPr>
        <w:t>”</w:t>
      </w:r>
      <w:r>
        <w:rPr/>
        <w:t>案例，入选人民日报</w:t>
      </w:r>
      <w:r>
        <w:rPr>
          <w:rFonts w:ascii="Times New Roman" w:hAnsi="Times New Roman" w:cs="Times New Roman" w:eastAsia="Times New Roman" w:hint="default"/>
        </w:rPr>
        <w:t>“</w:t>
      </w:r>
      <w:r>
        <w:rPr/>
        <w:t>十大智慧便</w:t>
      </w:r>
      <w:r>
        <w:rPr>
          <w:spacing w:val="-58"/>
        </w:rPr>
        <w:t> </w:t>
      </w:r>
      <w:r>
        <w:rPr>
          <w:spacing w:val="-58"/>
        </w:rPr>
      </w:r>
      <w:r>
        <w:rPr/>
        <w:t>民健康服务案例</w:t>
      </w:r>
      <w:r>
        <w:rPr>
          <w:rFonts w:ascii="Times New Roman" w:hAnsi="Times New Roman" w:cs="Times New Roman" w:eastAsia="Times New Roman" w:hint="default"/>
        </w:rPr>
        <w:t>”</w:t>
      </w:r>
      <w:r>
        <w:rPr/>
        <w:t>。助推青岛大学附属医院成为国家卫健委指定的互联网业务样板医院，并承办组织了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发展便民惠民服务大会。</w:t>
      </w:r>
    </w:p>
    <w:p>
      <w:pPr>
        <w:spacing w:line="240" w:lineRule="auto" w:before="6"/>
        <w:rPr>
          <w:rFonts w:ascii="宋体" w:hAnsi="宋体" w:cs="宋体" w:eastAsia="宋体" w:hint="default"/>
          <w:sz w:val="12"/>
          <w:szCs w:val="12"/>
        </w:rPr>
      </w:pPr>
    </w:p>
    <w:p>
      <w:pPr>
        <w:pStyle w:val="BodyText"/>
        <w:spacing w:line="232" w:lineRule="auto"/>
        <w:ind w:right="1034" w:firstLine="360"/>
        <w:jc w:val="left"/>
      </w:pPr>
      <w:r>
        <w:rPr/>
        <w:t>此外，在防范新型冠状病毒肺炎疫情扩散的战役中，催生公司互联网医疗业务快速发展。依托公司</w:t>
      </w:r>
      <w:r>
        <w:rPr>
          <w:rFonts w:ascii="Times New Roman" w:hAnsi="Times New Roman" w:cs="Times New Roman" w:eastAsia="Times New Roman" w:hint="default"/>
        </w:rPr>
        <w:t>iMedical</w:t>
      </w:r>
      <w:r>
        <w:rPr>
          <w:rFonts w:ascii="Times New Roman" w:hAnsi="Times New Roman" w:cs="Times New Roman" w:eastAsia="Times New Roman" w:hint="default"/>
          <w:spacing w:val="37"/>
        </w:rPr>
        <w:t> </w:t>
      </w:r>
      <w:r>
        <w:rPr>
          <w:rFonts w:ascii="Times New Roman" w:hAnsi="Times New Roman" w:cs="Times New Roman" w:eastAsia="Times New Roman" w:hint="default"/>
        </w:rPr>
        <w:t>Cloud</w:t>
      </w:r>
      <w:r>
        <w:rPr/>
        <w:t>生态 架构，快速升级互联网医疗的技术能力，推出两大解决方案： 一是搭建健康乐新型肺炎服务平台，与医生、医疗机构共筑</w:t>
      </w:r>
      <w:r>
        <w:rPr>
          <w:spacing w:val="-83"/>
        </w:rPr>
        <w:t> </w:t>
      </w:r>
      <w:r>
        <w:rPr>
          <w:spacing w:val="-83"/>
        </w:rPr>
      </w:r>
      <w:r>
        <w:rPr/>
        <w:t>互联网防疫网络；二是面向医疗机构</w:t>
      </w:r>
      <w:r>
        <w:rPr>
          <w:rFonts w:ascii="Times New Roman" w:hAnsi="Times New Roman" w:cs="Times New Roman" w:eastAsia="Times New Roman" w:hint="default"/>
        </w:rPr>
        <w:t>(</w:t>
      </w:r>
      <w:r>
        <w:rPr/>
        <w:t>互联网医院</w:t>
      </w:r>
      <w:r>
        <w:rPr>
          <w:rFonts w:ascii="Times New Roman" w:hAnsi="Times New Roman" w:cs="Times New Roman" w:eastAsia="Times New Roman" w:hint="default"/>
        </w:rPr>
        <w:t>)</w:t>
      </w:r>
      <w:r>
        <w:rPr/>
        <w:t>提供图文、视频问诊的技术服务能力。为百姓提供有效途径，在封闭或隔 </w:t>
      </w:r>
      <w:r>
        <w:rPr>
          <w:spacing w:val="-2"/>
        </w:rPr>
        <w:t>离状态下找到医生进行诊断，并且能够缓解医院患者交叉感染以及超负荷运行等棘手问题。同时，在解决各级医疗机构、政</w:t>
      </w:r>
      <w:r>
        <w:rPr>
          <w:spacing w:val="-66"/>
        </w:rPr>
        <w:t> </w:t>
      </w:r>
      <w:r>
        <w:rPr>
          <w:spacing w:val="-66"/>
        </w:rPr>
      </w:r>
      <w:r>
        <w:rPr/>
        <w:t>府机关对病情缺少统计与分析工具等问题上发挥重要作用。全国新型肺炎健康乐援助平台已在等多家医院持续上线。目前， 健康乐平台已为昌吉回族自治州人民医院、大同市第三人民医院、沧州人民医院等几十家医院建设了互联网医院生态系统， 业务咨询量高速增长。</w:t>
      </w:r>
    </w:p>
    <w:p>
      <w:pPr>
        <w:pStyle w:val="BodyText"/>
        <w:spacing w:line="390" w:lineRule="atLeast" w:before="13"/>
        <w:ind w:left="513" w:right="986"/>
        <w:jc w:val="left"/>
      </w:pPr>
      <w:r>
        <w:rPr>
          <w:rFonts w:ascii="Times New Roman" w:hAnsi="Times New Roman" w:cs="Times New Roman" w:eastAsia="Times New Roman" w:hint="default"/>
          <w:b/>
          <w:bCs/>
        </w:rPr>
        <w:t>2</w:t>
      </w:r>
      <w:r>
        <w:rPr>
          <w:rFonts w:ascii="宋体" w:hAnsi="宋体" w:cs="宋体" w:eastAsia="宋体" w:hint="default"/>
          <w:b/>
          <w:bCs/>
        </w:rPr>
        <w:t>、金融行业</w:t>
      </w:r>
      <w:r>
        <w:rPr>
          <w:rFonts w:ascii="宋体" w:hAnsi="宋体" w:cs="宋体" w:eastAsia="宋体" w:hint="default"/>
          <w:b/>
          <w:bCs/>
          <w:w w:val="99"/>
        </w:rPr>
        <w:t> </w:t>
      </w:r>
      <w:r>
        <w:rPr>
          <w:spacing w:val="-2"/>
        </w:rPr>
        <w:t>报告期内，公司凭借在软件开发与系统集成方面的行业优势，依靠</w:t>
      </w:r>
      <w:r>
        <w:rPr>
          <w:rFonts w:ascii="Times New Roman" w:hAnsi="Times New Roman" w:cs="Times New Roman" w:eastAsia="Times New Roman" w:hint="default"/>
          <w:spacing w:val="-2"/>
        </w:rPr>
        <w:t>IT</w:t>
      </w:r>
      <w:r>
        <w:rPr>
          <w:spacing w:val="-2"/>
        </w:rPr>
        <w:t>系统规划与建设方面的丰富经验，继续加大加深金</w:t>
      </w:r>
    </w:p>
    <w:p>
      <w:pPr>
        <w:pStyle w:val="BodyText"/>
        <w:spacing w:line="219" w:lineRule="exact"/>
        <w:ind w:right="0"/>
        <w:jc w:val="both"/>
      </w:pPr>
      <w:r>
        <w:rPr/>
        <w:t>融行业的业务覆盖面和市场占有率。</w:t>
      </w:r>
    </w:p>
    <w:p>
      <w:pPr>
        <w:pStyle w:val="Heading5"/>
        <w:spacing w:line="240" w:lineRule="auto" w:before="153"/>
        <w:ind w:right="986"/>
        <w:jc w:val="left"/>
        <w:rPr>
          <w:b w:val="0"/>
          <w:bCs w:val="0"/>
        </w:rPr>
      </w:pPr>
      <w:r>
        <w:rPr/>
        <w:t>（</w:t>
      </w:r>
      <w:r>
        <w:rPr>
          <w:rFonts w:ascii="Times New Roman" w:hAnsi="Times New Roman" w:cs="Times New Roman" w:eastAsia="Times New Roman" w:hint="default"/>
        </w:rPr>
        <w:t>1</w:t>
      </w:r>
      <w:r>
        <w:rPr/>
        <w:t>）银行传统业务领域</w:t>
      </w:r>
      <w:r>
        <w:rPr>
          <w:b w:val="0"/>
          <w:bCs w:val="0"/>
        </w:rPr>
      </w:r>
    </w:p>
    <w:p>
      <w:pPr>
        <w:pStyle w:val="BodyText"/>
        <w:spacing w:line="232" w:lineRule="auto" w:before="146"/>
        <w:ind w:right="1129" w:firstLine="360"/>
        <w:jc w:val="both"/>
      </w:pPr>
      <w:r>
        <w:rPr>
          <w:rFonts w:ascii="Times New Roman" w:hAnsi="Times New Roman" w:cs="Times New Roman" w:eastAsia="Times New Roman" w:hint="default"/>
          <w:spacing w:val="-2"/>
        </w:rPr>
        <w:t>2019</w:t>
      </w:r>
      <w:r>
        <w:rPr>
          <w:spacing w:val="-2"/>
        </w:rPr>
        <w:t>年加深与老客户工商银行、邮储银行、华夏银行、甘肃农信、长安银行、中关村银行、承德银行、晋中银行、晋商</w:t>
      </w:r>
      <w:r>
        <w:rPr/>
        <w:t> </w:t>
      </w:r>
      <w:r>
        <w:rPr>
          <w:spacing w:val="-2"/>
        </w:rPr>
        <w:t>银行等银行的多项软硬件合作，并先后中标新疆自治区农村信用社、辽宁省农村信用社、湖北银行、中原银行等多家银行的</w:t>
      </w:r>
      <w:r>
        <w:rPr>
          <w:spacing w:val="-64"/>
        </w:rPr>
        <w:t> </w:t>
      </w:r>
      <w:r>
        <w:rPr>
          <w:spacing w:val="-64"/>
        </w:rPr>
      </w:r>
      <w:r>
        <w:rPr/>
        <w:t>股权管理系统，开拓了新客户增强了产品的市场影响力。</w:t>
      </w:r>
    </w:p>
    <w:p>
      <w:pPr>
        <w:pStyle w:val="BodyText"/>
        <w:spacing w:line="390" w:lineRule="atLeast" w:before="13"/>
        <w:ind w:left="513" w:right="98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）互联网金融领域</w:t>
      </w:r>
      <w:r>
        <w:rPr>
          <w:rFonts w:ascii="宋体" w:hAnsi="宋体" w:cs="宋体" w:eastAsia="宋体" w:hint="default"/>
          <w:b/>
          <w:bCs/>
          <w:w w:val="99"/>
        </w:rPr>
        <w:t> </w:t>
      </w:r>
      <w:r>
        <w:rPr>
          <w:spacing w:val="-2"/>
        </w:rPr>
        <w:t>公司“银企汇”本着助力银行打造数字化场景营销体系的宗旨，围绕</w:t>
      </w:r>
      <w:r>
        <w:rPr>
          <w:rFonts w:ascii="Times New Roman" w:hAnsi="Times New Roman" w:cs="Times New Roman" w:eastAsia="Times New Roman" w:hint="default"/>
          <w:spacing w:val="-2"/>
        </w:rPr>
        <w:t>“</w:t>
      </w:r>
      <w:r>
        <w:rPr>
          <w:spacing w:val="-2"/>
        </w:rPr>
        <w:t>一核三端</w:t>
      </w:r>
      <w:r>
        <w:rPr>
          <w:rFonts w:ascii="Times New Roman" w:hAnsi="Times New Roman" w:cs="Times New Roman" w:eastAsia="Times New Roman" w:hint="default"/>
          <w:spacing w:val="-2"/>
        </w:rPr>
        <w:t>”</w:t>
      </w:r>
      <w:r>
        <w:rPr>
          <w:spacing w:val="-2"/>
        </w:rPr>
        <w:t>产品建设，不断整合资源打磨产品，进</w:t>
      </w:r>
    </w:p>
    <w:p>
      <w:pPr>
        <w:pStyle w:val="BodyText"/>
        <w:spacing w:line="232" w:lineRule="exact" w:before="8"/>
        <w:ind w:right="1131"/>
        <w:jc w:val="both"/>
      </w:pPr>
      <w:r>
        <w:rPr>
          <w:spacing w:val="-2"/>
        </w:rPr>
        <w:t>一步提升数字化精准营销与精细化运营能力。在产品建设方面，以数据智能为核心，全力建设数字营销平台，为数字化营销</w:t>
      </w:r>
      <w:r>
        <w:rPr>
          <w:spacing w:val="-64"/>
        </w:rPr>
        <w:t> </w:t>
      </w:r>
      <w:r>
        <w:rPr>
          <w:spacing w:val="-64"/>
        </w:rPr>
      </w:r>
      <w:r>
        <w:rPr>
          <w:spacing w:val="-2"/>
        </w:rPr>
        <w:t>提供决策大脑和工具支撑；构建和完善移动营业厅、人人都是营销家、盈客平台等以场景化运营为中心的营销终端。并和腾</w:t>
      </w:r>
      <w:r>
        <w:rPr>
          <w:spacing w:val="-65"/>
        </w:rPr>
        <w:t> </w:t>
      </w:r>
      <w:r>
        <w:rPr>
          <w:spacing w:val="-65"/>
        </w:rPr>
      </w:r>
      <w:r>
        <w:rPr>
          <w:spacing w:val="-2"/>
        </w:rPr>
        <w:t>讯云联合打造云普惠平台，充分结合金融科技新技术，提升生态构建的核心竞争力。报告期内，公司产品已成功上线长安银</w:t>
      </w:r>
    </w:p>
    <w:p>
      <w:pPr>
        <w:pStyle w:val="BodyText"/>
        <w:spacing w:line="232" w:lineRule="exact" w:before="4"/>
        <w:ind w:right="1134"/>
        <w:jc w:val="both"/>
      </w:pPr>
      <w:r>
        <w:rPr>
          <w:spacing w:val="-2"/>
        </w:rPr>
        <w:t>行、长治银行、阳光村镇银行等多家银行，服务的金融企业已经达到</w:t>
      </w:r>
      <w:r>
        <w:rPr>
          <w:rFonts w:ascii="Times New Roman" w:hAnsi="Times New Roman" w:cs="Times New Roman" w:eastAsia="Times New Roman" w:hint="default"/>
          <w:spacing w:val="-2"/>
        </w:rPr>
        <w:t>60</w:t>
      </w:r>
      <w:r>
        <w:rPr>
          <w:spacing w:val="-2"/>
        </w:rPr>
        <w:t>多家，服务客户群体数量逐步增加，并取得良好的市</w:t>
      </w:r>
      <w:r>
        <w:rPr>
          <w:spacing w:val="-65"/>
        </w:rPr>
        <w:t> </w:t>
      </w:r>
      <w:r>
        <w:rPr>
          <w:spacing w:val="-65"/>
        </w:rPr>
      </w:r>
      <w:r>
        <w:rPr/>
        <w:t>场效果。</w:t>
      </w:r>
    </w:p>
    <w:p>
      <w:pPr>
        <w:pStyle w:val="BodyText"/>
        <w:spacing w:line="388" w:lineRule="exact" w:before="32"/>
        <w:ind w:left="513" w:right="98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）云托管领域</w:t>
      </w:r>
      <w:r>
        <w:rPr>
          <w:rFonts w:ascii="宋体" w:hAnsi="宋体" w:cs="宋体" w:eastAsia="宋体" w:hint="default"/>
          <w:b/>
          <w:bCs/>
          <w:w w:val="99"/>
        </w:rPr>
        <w:t> </w:t>
      </w:r>
      <w:r>
        <w:rPr>
          <w:spacing w:val="-2"/>
        </w:rPr>
        <w:t>基于多年的金融科技实践，依托移动互联、云计算、大数据、分布式架构等技术，东华金云为银行搭建开放式</w:t>
      </w:r>
      <w:r>
        <w:rPr>
          <w:rFonts w:ascii="Times New Roman" w:hAnsi="Times New Roman" w:cs="Times New Roman" w:eastAsia="Times New Roman" w:hint="default"/>
          <w:spacing w:val="-2"/>
        </w:rPr>
        <w:t>IT</w:t>
      </w:r>
      <w:r>
        <w:rPr>
          <w:spacing w:val="-2"/>
        </w:rPr>
        <w:t>业务架</w:t>
      </w:r>
    </w:p>
    <w:p>
      <w:pPr>
        <w:pStyle w:val="BodyText"/>
        <w:spacing w:line="182" w:lineRule="exact"/>
        <w:ind w:right="0"/>
        <w:jc w:val="both"/>
      </w:pPr>
      <w:r>
        <w:rPr/>
        <w:t>构，将智慧融入银行建设中并支撑银行客户有效利用大数据云平台，将人工智能融合到传统金融信贷业务中。为满足银行在</w:t>
      </w:r>
    </w:p>
    <w:p>
      <w:pPr>
        <w:pStyle w:val="BodyText"/>
        <w:spacing w:line="232" w:lineRule="exact" w:before="23"/>
        <w:ind w:right="1131"/>
        <w:jc w:val="both"/>
      </w:pPr>
      <w:r>
        <w:rPr/>
        <w:t>互联网金融新业务模式下的多样需求，由单一云服务模式增加至私有云、混合云、行业云服务模式，其</w:t>
      </w:r>
      <w:r>
        <w:rPr>
          <w:rFonts w:ascii="Times New Roman" w:hAnsi="Times New Roman" w:cs="Times New Roman" w:eastAsia="Times New Roman" w:hint="default"/>
        </w:rPr>
        <w:t>“</w:t>
      </w:r>
      <w:r>
        <w:rPr/>
        <w:t>一体式智能金融云</w:t>
      </w:r>
      <w:r>
        <w:rPr>
          <w:spacing w:val="-73"/>
        </w:rPr>
        <w:t> </w:t>
      </w:r>
      <w:r>
        <w:rPr>
          <w:spacing w:val="-73"/>
        </w:rPr>
      </w:r>
      <w:r>
        <w:rPr/>
        <w:t>服务</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w:t>
      </w:r>
      <w:r>
        <w:rPr/>
        <w:t>第七界中国电子信息博览会创新奖</w:t>
      </w:r>
      <w:r>
        <w:rPr>
          <w:rFonts w:ascii="Times New Roman" w:hAnsi="Times New Roman" w:cs="Times New Roman" w:eastAsia="Times New Roman" w:hint="default"/>
        </w:rPr>
        <w:t>”</w:t>
      </w:r>
      <w:r>
        <w:rPr/>
        <w:t>。截止日前东华金云已在内蒙、山东、广东、云南等省份构建良性金融生态</w:t>
      </w:r>
      <w:r>
        <w:rPr>
          <w:spacing w:val="-57"/>
        </w:rPr>
        <w:t> </w:t>
      </w:r>
      <w:r>
        <w:rPr>
          <w:spacing w:val="-57"/>
        </w:rPr>
      </w:r>
      <w:r>
        <w:rPr/>
        <w:t>圈，并遵循</w:t>
      </w:r>
      <w:r>
        <w:rPr>
          <w:rFonts w:ascii="Times New Roman" w:hAnsi="Times New Roman" w:cs="Times New Roman" w:eastAsia="Times New Roman" w:hint="default"/>
        </w:rPr>
        <w:t>“</w:t>
      </w:r>
      <w:r>
        <w:rPr/>
        <w:t>生态金融云、金融云生态</w:t>
      </w:r>
      <w:r>
        <w:rPr>
          <w:rFonts w:ascii="Times New Roman" w:hAnsi="Times New Roman" w:cs="Times New Roman" w:eastAsia="Times New Roman" w:hint="default"/>
        </w:rPr>
        <w:t>”</w:t>
      </w:r>
      <w:r>
        <w:rPr/>
        <w:t>的理念服务各家新老客户。</w:t>
      </w:r>
    </w:p>
    <w:p>
      <w:pPr>
        <w:pStyle w:val="BodyText"/>
        <w:spacing w:line="370" w:lineRule="atLeast" w:before="13"/>
        <w:ind w:left="513" w:right="986"/>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）金融信贷领域</w:t>
      </w:r>
      <w:r>
        <w:rPr>
          <w:rFonts w:ascii="宋体" w:hAnsi="宋体" w:cs="宋体" w:eastAsia="宋体" w:hint="default"/>
          <w:b/>
          <w:bCs/>
          <w:w w:val="99"/>
        </w:rPr>
        <w:t> </w:t>
      </w:r>
      <w:r>
        <w:rPr>
          <w:spacing w:val="-2"/>
        </w:rPr>
        <w:t>继续巩固信托业消费金融系统领头羊地位，相继中标国投泰康信托、新时代信托消费金融系统建设项目，同时为外贸信</w:t>
      </w:r>
    </w:p>
    <w:p>
      <w:pPr>
        <w:pStyle w:val="BodyText"/>
        <w:spacing w:line="230" w:lineRule="auto" w:before="5"/>
        <w:ind w:right="1130"/>
        <w:jc w:val="both"/>
      </w:pPr>
      <w:r>
        <w:rPr>
          <w:spacing w:val="-2"/>
        </w:rPr>
        <w:t>托、五矿信托、华能信托、光大信托、民生信托等众多老客户开展消费金融二期、三期项目建设。</w:t>
      </w:r>
      <w:r>
        <w:rPr>
          <w:rFonts w:ascii="Times New Roman" w:hAnsi="Times New Roman" w:cs="Times New Roman" w:eastAsia="Times New Roman" w:hint="default"/>
          <w:spacing w:val="-2"/>
        </w:rPr>
        <w:t>2019</w:t>
      </w:r>
      <w:r>
        <w:rPr>
          <w:spacing w:val="-2"/>
        </w:rPr>
        <w:t>年下半年与腾讯共同</w:t>
      </w:r>
      <w:r>
        <w:rPr>
          <w:spacing w:val="-66"/>
        </w:rPr>
        <w:t> </w:t>
      </w:r>
      <w:r>
        <w:rPr>
          <w:spacing w:val="-66"/>
        </w:rPr>
      </w:r>
      <w:r>
        <w:rPr>
          <w:spacing w:val="-2"/>
        </w:rPr>
        <w:t>研发的消费金融风控系统，提高了信托公司的主动管理和风险管理能力，并在五矿信托率先投产运行，系统运行稳定、性能</w:t>
      </w:r>
      <w:r>
        <w:rPr>
          <w:spacing w:val="-64"/>
        </w:rPr>
        <w:t> </w:t>
      </w:r>
      <w:r>
        <w:rPr>
          <w:spacing w:val="-64"/>
        </w:rPr>
      </w:r>
      <w:r>
        <w:rPr>
          <w:spacing w:val="-2"/>
        </w:rPr>
        <w:t>卓越，受到客户好评，计划</w:t>
      </w:r>
      <w:r>
        <w:rPr>
          <w:rFonts w:ascii="Times New Roman" w:hAnsi="Times New Roman" w:cs="Times New Roman" w:eastAsia="Times New Roman" w:hint="default"/>
          <w:spacing w:val="-2"/>
        </w:rPr>
        <w:t>2020</w:t>
      </w:r>
      <w:r>
        <w:rPr>
          <w:spacing w:val="-2"/>
        </w:rPr>
        <w:t>年对信托行业客户大力推广。公司继续向黄河农村商业银行，河南省、陕西省、辽宁省、甘</w:t>
      </w:r>
      <w:r>
        <w:rPr>
          <w:spacing w:val="-65"/>
        </w:rPr>
        <w:t> </w:t>
      </w:r>
      <w:r>
        <w:rPr>
          <w:spacing w:val="-65"/>
        </w:rPr>
      </w:r>
      <w:r>
        <w:rPr>
          <w:spacing w:val="-2"/>
        </w:rPr>
        <w:t>肃省农村信用社，晋商银行，长安银行等多家省级农村信用社、省级银行老客户提供品质可靠的产品升级服务，深化完善战</w:t>
      </w:r>
      <w:r>
        <w:rPr>
          <w:spacing w:val="-64"/>
        </w:rPr>
        <w:t> </w:t>
      </w:r>
      <w:r>
        <w:rPr>
          <w:spacing w:val="-64"/>
        </w:rPr>
      </w:r>
      <w:r>
        <w:rPr>
          <w:spacing w:val="-2"/>
        </w:rPr>
        <w:t>略客户现有系统。公司相继中标广州农商行、广西北部湾银行、承德银行新一代小微信贷系统与移动营销管理平台项目、贵</w:t>
      </w:r>
    </w:p>
    <w:p>
      <w:pPr>
        <w:spacing w:after="0" w:line="230" w:lineRule="auto"/>
        <w:jc w:val="both"/>
        <w:sectPr>
          <w:footerReference w:type="default" r:id="rId14"/>
          <w:pgSz w:w="11910" w:h="16840"/>
          <w:pgMar w:footer="979" w:header="748" w:top="1060" w:bottom="1160" w:left="980" w:right="0"/>
          <w:pgNumType w:start="13"/>
        </w:sectPr>
      </w:pPr>
    </w:p>
    <w:p>
      <w:pPr>
        <w:spacing w:line="240" w:lineRule="auto" w:before="8"/>
        <w:rPr>
          <w:rFonts w:ascii="宋体" w:hAnsi="宋体" w:cs="宋体" w:eastAsia="宋体" w:hint="default"/>
          <w:sz w:val="22"/>
          <w:szCs w:val="22"/>
        </w:rPr>
      </w:pPr>
    </w:p>
    <w:p>
      <w:pPr>
        <w:pStyle w:val="BodyText"/>
        <w:spacing w:line="237" w:lineRule="auto" w:before="46"/>
        <w:ind w:right="1130"/>
        <w:jc w:val="both"/>
      </w:pPr>
      <w:r>
        <w:rPr>
          <w:spacing w:val="-2"/>
        </w:rPr>
        <w:t>州银行监管报送平台、上海国际信托报送系统、中铁信托数据统计平台及新希望财务公司报送平台等，其中广西北部湾银行</w:t>
      </w:r>
      <w:r>
        <w:rPr>
          <w:spacing w:val="-63"/>
        </w:rPr>
        <w:t> </w:t>
      </w:r>
      <w:r>
        <w:rPr>
          <w:spacing w:val="-63"/>
        </w:rPr>
      </w:r>
      <w:r>
        <w:rPr>
          <w:spacing w:val="-2"/>
        </w:rPr>
        <w:t>项目采用了最新的微服务架构，进一步加强了产品的灵活性和扩展性，提升了产品在业内的口碑和影响力，为后续的市场拓</w:t>
      </w:r>
      <w:r>
        <w:rPr>
          <w:spacing w:val="-63"/>
        </w:rPr>
        <w:t> </w:t>
      </w:r>
      <w:r>
        <w:rPr>
          <w:spacing w:val="-63"/>
        </w:rPr>
      </w:r>
      <w:r>
        <w:rPr/>
        <w:t>展打下了坚实的基础。</w:t>
      </w:r>
    </w:p>
    <w:p>
      <w:pPr>
        <w:pStyle w:val="Heading5"/>
        <w:spacing w:line="240" w:lineRule="auto" w:before="153"/>
        <w:ind w:right="986"/>
        <w:jc w:val="left"/>
        <w:rPr>
          <w:b w:val="0"/>
          <w:bCs w:val="0"/>
        </w:rPr>
      </w:pPr>
      <w:r>
        <w:rPr/>
        <w:t>（</w:t>
      </w:r>
      <w:r>
        <w:rPr>
          <w:rFonts w:ascii="Times New Roman" w:hAnsi="Times New Roman" w:cs="Times New Roman" w:eastAsia="Times New Roman" w:hint="default"/>
        </w:rPr>
        <w:t>5</w:t>
      </w:r>
      <w:r>
        <w:rPr/>
        <w:t>）征信反洗钱领域</w:t>
      </w:r>
      <w:r>
        <w:rPr>
          <w:b w:val="0"/>
          <w:bCs w:val="0"/>
        </w:rPr>
      </w:r>
    </w:p>
    <w:p>
      <w:pPr>
        <w:pStyle w:val="BodyText"/>
        <w:spacing w:line="230" w:lineRule="auto" w:before="148"/>
        <w:ind w:right="1131" w:firstLine="360"/>
        <w:jc w:val="both"/>
      </w:pPr>
      <w:r>
        <w:rPr>
          <w:rFonts w:ascii="Times New Roman" w:hAnsi="Times New Roman" w:cs="Times New Roman" w:eastAsia="Times New Roman" w:hint="default"/>
          <w:spacing w:val="-2"/>
        </w:rPr>
        <w:t>2019</w:t>
      </w:r>
      <w:r>
        <w:rPr>
          <w:spacing w:val="-2"/>
        </w:rPr>
        <w:t>年，公司在征信市场全面发力，先后对接央行二代征信系统的东华二代征信报数系统、东华二代征信查询系统，对</w:t>
      </w:r>
      <w:r>
        <w:rPr/>
        <w:t> </w:t>
      </w:r>
      <w:r>
        <w:rPr>
          <w:spacing w:val="-2"/>
        </w:rPr>
        <w:t>接百行征信公司的东华百行征信接口系统，同时能够提供专业的地方征信建设及征信系统接入咨询服务，包括中国农业发展</w:t>
      </w:r>
      <w:r>
        <w:rPr>
          <w:spacing w:val="-63"/>
        </w:rPr>
        <w:t> </w:t>
      </w:r>
      <w:r>
        <w:rPr>
          <w:spacing w:val="-63"/>
        </w:rPr>
      </w:r>
      <w:r>
        <w:rPr>
          <w:spacing w:val="-2"/>
        </w:rPr>
        <w:t>银行、重庆银行、东亚银行、苏宁消费金融、吉致汽车金融等客户在内的</w:t>
      </w:r>
      <w:r>
        <w:rPr>
          <w:rFonts w:ascii="Times New Roman" w:hAnsi="Times New Roman" w:cs="Times New Roman" w:eastAsia="Times New Roman" w:hint="default"/>
          <w:spacing w:val="-2"/>
        </w:rPr>
        <w:t>83</w:t>
      </w:r>
      <w:r>
        <w:rPr>
          <w:spacing w:val="-2"/>
        </w:rPr>
        <w:t>家客户二代征信查询系统已完成测试，实现上线</w:t>
      </w:r>
      <w:r>
        <w:rPr>
          <w:spacing w:val="-63"/>
        </w:rPr>
        <w:t> </w:t>
      </w:r>
      <w:r>
        <w:rPr>
          <w:spacing w:val="-63"/>
        </w:rPr>
      </w:r>
      <w:r>
        <w:rPr>
          <w:spacing w:val="-2"/>
        </w:rPr>
        <w:t>试运行；宝马汽车金融、常熟农商行、昆山农商行、张家港农商行、太仓农商行、成都农商行等客户的二代征信报数系统开</w:t>
      </w:r>
      <w:r>
        <w:rPr>
          <w:spacing w:val="-67"/>
        </w:rPr>
        <w:t> </w:t>
      </w:r>
      <w:r>
        <w:rPr>
          <w:spacing w:val="-67"/>
        </w:rPr>
      </w:r>
      <w:r>
        <w:rPr/>
        <w:t>始实施；北银消费金融百行征信报数系统已上线正式运行。</w:t>
      </w:r>
    </w:p>
    <w:p>
      <w:pPr>
        <w:pStyle w:val="BodyText"/>
        <w:spacing w:line="237" w:lineRule="auto" w:before="156"/>
        <w:ind w:right="1130" w:firstLine="360"/>
        <w:jc w:val="both"/>
      </w:pPr>
      <w:r>
        <w:rPr>
          <w:spacing w:val="-2"/>
        </w:rPr>
        <w:t>伴随着反洗钱监测分析二代系统（简称二代系统）试运行，金融机构开始实际落实监管报送要求，承接了央行反洗钱二</w:t>
      </w:r>
      <w:r>
        <w:rPr/>
        <w:t> </w:t>
      </w:r>
      <w:r>
        <w:rPr>
          <w:spacing w:val="-2"/>
        </w:rPr>
        <w:t>代系统、反洗钱局电子化项目，互联网金融协会反洗钱、反恐怖融资登记系统等，其中重庆银行反洗钱、北部湾财产保险公</w:t>
      </w:r>
      <w:r>
        <w:rPr>
          <w:spacing w:val="-67"/>
        </w:rPr>
        <w:t> </w:t>
      </w:r>
      <w:r>
        <w:rPr>
          <w:spacing w:val="-67"/>
        </w:rPr>
      </w:r>
      <w:r>
        <w:rPr>
          <w:spacing w:val="-2"/>
        </w:rPr>
        <w:t>司反洗钱、诚泰财产保险股份有限公司反洗钱、上海尚诚消费金融股份有限公司反洗钱、深圳能源财务有限公司、长城金融</w:t>
      </w:r>
      <w:r>
        <w:rPr>
          <w:spacing w:val="-63"/>
        </w:rPr>
        <w:t> </w:t>
      </w:r>
      <w:r>
        <w:rPr>
          <w:spacing w:val="-63"/>
        </w:rPr>
      </w:r>
      <w:r>
        <w:rPr/>
        <w:t>租赁公司、信美人寿相互保险社反洗钱项目已上线运行。</w:t>
      </w:r>
    </w:p>
    <w:p>
      <w:pPr>
        <w:pStyle w:val="Heading5"/>
        <w:spacing w:line="240" w:lineRule="auto" w:before="153"/>
        <w:ind w:right="986"/>
        <w:jc w:val="left"/>
        <w:rPr>
          <w:b w:val="0"/>
          <w:bCs w:val="0"/>
        </w:rPr>
      </w:pPr>
      <w:r>
        <w:rPr/>
        <w:t>（</w:t>
      </w:r>
      <w:r>
        <w:rPr>
          <w:rFonts w:ascii="Times New Roman" w:hAnsi="Times New Roman" w:cs="Times New Roman" w:eastAsia="Times New Roman" w:hint="default"/>
        </w:rPr>
        <w:t>6</w:t>
      </w:r>
      <w:r>
        <w:rPr/>
        <w:t>）融资租赁领域</w:t>
      </w:r>
      <w:r>
        <w:rPr>
          <w:b w:val="0"/>
          <w:bCs w:val="0"/>
        </w:rPr>
      </w:r>
    </w:p>
    <w:p>
      <w:pPr>
        <w:pStyle w:val="BodyText"/>
        <w:spacing w:line="228" w:lineRule="auto" w:before="152"/>
        <w:ind w:right="1130" w:firstLine="360"/>
        <w:jc w:val="both"/>
      </w:pPr>
      <w:r>
        <w:rPr>
          <w:rFonts w:ascii="Times New Roman" w:hAnsi="Times New Roman" w:cs="Times New Roman" w:eastAsia="Times New Roman" w:hint="default"/>
          <w:spacing w:val="-2"/>
        </w:rPr>
        <w:t>2010</w:t>
      </w:r>
      <w:r>
        <w:rPr>
          <w:spacing w:val="-2"/>
        </w:rPr>
        <w:t>年至今我国融资租赁业快速发展，目前已进入转型期，回归本源、市场分化是未来融资行业的发展趋势。产业资本</w:t>
      </w:r>
      <w:r>
        <w:rPr/>
        <w:t> </w:t>
      </w:r>
      <w:r>
        <w:rPr>
          <w:spacing w:val="-2"/>
        </w:rPr>
        <w:t>投资通过融资租赁方式，如今产业集团、融资租赁公司和客户相互共生共荣，并建立了高效的商业模式以此提升产业集团整</w:t>
      </w:r>
      <w:r>
        <w:rPr>
          <w:spacing w:val="-63"/>
        </w:rPr>
        <w:t> </w:t>
      </w:r>
      <w:r>
        <w:rPr>
          <w:spacing w:val="-63"/>
        </w:rPr>
      </w:r>
      <w:r>
        <w:rPr/>
        <w:t>体竞争力。</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大新银行信贷综合业务管理系统项目</w:t>
      </w:r>
      <w:r>
        <w:rPr>
          <w:rFonts w:ascii="Times New Roman" w:hAnsi="Times New Roman" w:cs="Times New Roman" w:eastAsia="Times New Roman" w:hint="default"/>
        </w:rPr>
        <w:t>”</w:t>
      </w:r>
      <w:r>
        <w:rPr/>
        <w:t>顺利上线运行，并与</w:t>
      </w:r>
      <w:r>
        <w:rPr>
          <w:rFonts w:ascii="Times New Roman" w:hAnsi="Times New Roman" w:cs="Times New Roman" w:eastAsia="Times New Roman" w:hint="default"/>
        </w:rPr>
        <w:t>“</w:t>
      </w:r>
      <w:r>
        <w:rPr/>
        <w:t>海尔融资租赁股份有限公司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上汽依维柯</w:t>
      </w:r>
      <w:r>
        <w:rPr>
          <w:spacing w:val="-39"/>
        </w:rPr>
        <w:t> </w:t>
      </w:r>
      <w:r>
        <w:rPr>
          <w:spacing w:val="-39"/>
        </w:rPr>
      </w:r>
      <w:r>
        <w:rPr/>
        <w:t>红岩商用车有限公司</w:t>
      </w:r>
      <w:r>
        <w:rPr>
          <w:rFonts w:ascii="Times New Roman" w:hAnsi="Times New Roman" w:cs="Times New Roman" w:eastAsia="Times New Roman" w:hint="default"/>
        </w:rPr>
        <w:t>”</w:t>
      </w:r>
      <w:r>
        <w:rPr/>
        <w:t>签订战略合作协议，为其信息化系统建设持续提供有力的技术支持。与此同时公司不断深耕，晋建国</w:t>
      </w:r>
      <w:r>
        <w:rPr>
          <w:spacing w:val="-74"/>
        </w:rPr>
        <w:t> </w:t>
      </w:r>
      <w:r>
        <w:rPr>
          <w:spacing w:val="-74"/>
        </w:rPr>
      </w:r>
      <w:r>
        <w:rPr/>
        <w:t>际融资租赁（天津）有限公司、中国康富国际租赁股份有限公司相继达成合作。</w:t>
      </w:r>
    </w:p>
    <w:p>
      <w:pPr>
        <w:pStyle w:val="Heading5"/>
        <w:spacing w:line="240" w:lineRule="auto" w:before="154"/>
        <w:ind w:right="986"/>
        <w:jc w:val="left"/>
        <w:rPr>
          <w:b w:val="0"/>
          <w:bCs w:val="0"/>
        </w:rPr>
      </w:pPr>
      <w:r>
        <w:rPr/>
        <w:t>（</w:t>
      </w:r>
      <w:r>
        <w:rPr>
          <w:rFonts w:ascii="Times New Roman" w:hAnsi="Times New Roman" w:cs="Times New Roman" w:eastAsia="Times New Roman" w:hint="default"/>
        </w:rPr>
        <w:t>7</w:t>
      </w:r>
      <w:r>
        <w:rPr/>
        <w:t>）投融资领域</w:t>
      </w:r>
      <w:r>
        <w:rPr>
          <w:b w:val="0"/>
          <w:bCs w:val="0"/>
        </w:rPr>
      </w:r>
    </w:p>
    <w:p>
      <w:pPr>
        <w:pStyle w:val="BodyText"/>
        <w:spacing w:line="232" w:lineRule="auto" w:before="146"/>
        <w:ind w:right="1034" w:firstLine="360"/>
        <w:jc w:val="left"/>
      </w:pPr>
      <w:r>
        <w:rPr>
          <w:rFonts w:ascii="Times New Roman" w:hAnsi="Times New Roman" w:cs="Times New Roman" w:eastAsia="Times New Roman" w:hint="default"/>
          <w:spacing w:val="-2"/>
        </w:rPr>
        <w:t>2019</w:t>
      </w:r>
      <w:r>
        <w:rPr>
          <w:spacing w:val="-2"/>
        </w:rPr>
        <w:t>年推出投融资业务管理系统、项目投资管理系统、基金投资管理系统、数据平台四个主要产品，在五粮液、新希望</w:t>
      </w:r>
      <w:r>
        <w:rPr/>
        <w:t> 集团、悦达、中国联通等公司，以及江西铜业集团有限公司的投融资业务项目获得客户高度认可；此外，开拓财务、投资、 城投、基金、资产管理公司五大类型客户。</w:t>
      </w:r>
    </w:p>
    <w:p>
      <w:pPr>
        <w:pStyle w:val="Heading5"/>
        <w:spacing w:line="240" w:lineRule="auto" w:before="154"/>
        <w:ind w:right="986"/>
        <w:jc w:val="left"/>
        <w:rPr>
          <w:b w:val="0"/>
          <w:bCs w:val="0"/>
        </w:rPr>
      </w:pPr>
      <w:r>
        <w:rPr/>
        <w:t>（</w:t>
      </w:r>
      <w:r>
        <w:rPr>
          <w:rFonts w:ascii="Times New Roman" w:hAnsi="Times New Roman" w:cs="Times New Roman" w:eastAsia="Times New Roman" w:hint="default"/>
        </w:rPr>
        <w:t>8</w:t>
      </w:r>
      <w:r>
        <w:rPr/>
        <w:t>）系统集成方面</w:t>
      </w:r>
      <w:r>
        <w:rPr>
          <w:b w:val="0"/>
          <w:bCs w:val="0"/>
        </w:rPr>
      </w:r>
    </w:p>
    <w:p>
      <w:pPr>
        <w:pStyle w:val="BodyText"/>
        <w:spacing w:line="230" w:lineRule="auto" w:before="148"/>
        <w:ind w:right="1034" w:firstLine="360"/>
        <w:jc w:val="left"/>
      </w:pPr>
      <w:r>
        <w:rPr>
          <w:rFonts w:ascii="Times New Roman" w:hAnsi="Times New Roman" w:cs="Times New Roman" w:eastAsia="Times New Roman" w:hint="default"/>
          <w:spacing w:val="-2"/>
        </w:rPr>
        <w:t>2019</w:t>
      </w:r>
      <w:r>
        <w:rPr>
          <w:spacing w:val="-2"/>
        </w:rPr>
        <w:t>年，在保持与老客户合作关系的前提下，积极拓展新客户，先后拿下邮储银行集采项目、农信银资金清算中心云灾</w:t>
      </w:r>
      <w:r>
        <w:rPr/>
        <w:t> </w:t>
      </w:r>
      <w:r>
        <w:rPr>
          <w:spacing w:val="-2"/>
        </w:rPr>
        <w:t>备平台资源扩容</w:t>
      </w:r>
      <w:r>
        <w:rPr>
          <w:rFonts w:ascii="Times New Roman" w:hAnsi="Times New Roman" w:cs="Times New Roman" w:eastAsia="Times New Roman" w:hint="default"/>
          <w:spacing w:val="-2"/>
        </w:rPr>
        <w:t>power</w:t>
      </w:r>
      <w:r>
        <w:rPr>
          <w:spacing w:val="-2"/>
        </w:rPr>
        <w:t>服务器采购项目、人民银行数据中心项目、中国邮政储蓄银行通用硬件工程高档服务器硬件采购项目、</w:t>
      </w:r>
      <w:r>
        <w:rPr>
          <w:spacing w:val="-59"/>
        </w:rPr>
        <w:t> </w:t>
      </w:r>
      <w:r>
        <w:rPr>
          <w:spacing w:val="-59"/>
        </w:rPr>
      </w:r>
      <w:r>
        <w:rPr>
          <w:spacing w:val="-4"/>
        </w:rPr>
        <w:t>中国人民银行数据中心业务网华为集中存储设备高可用改造采购项目、贵阳银行大数据中心服务器采购项目；在此基础之上，</w:t>
      </w:r>
      <w:r>
        <w:rPr>
          <w:spacing w:val="-44"/>
        </w:rPr>
        <w:t> </w:t>
      </w:r>
      <w:r>
        <w:rPr>
          <w:spacing w:val="-44"/>
        </w:rPr>
      </w:r>
      <w:r>
        <w:rPr/>
        <w:t>还陆续中标贵阳银行建设诚信大数据中心核心二级存储采购、中国人民银行省级数据中心业务网电视会议</w:t>
      </w:r>
      <w:r>
        <w:rPr>
          <w:rFonts w:ascii="Times New Roman" w:hAnsi="Times New Roman" w:cs="Times New Roman" w:eastAsia="Times New Roman" w:hint="default"/>
        </w:rPr>
        <w:t>MCU</w:t>
      </w:r>
      <w:r>
        <w:rPr/>
        <w:t>升级采购项</w:t>
      </w:r>
      <w:r>
        <w:rPr>
          <w:spacing w:val="-46"/>
        </w:rPr>
        <w:t> </w:t>
      </w:r>
      <w:r>
        <w:rPr>
          <w:spacing w:val="-46"/>
        </w:rPr>
      </w:r>
      <w:r>
        <w:rPr/>
        <w:t>目、中国人民银行省级数据中心金融城域网路由器采购项目等，公司继续保持在大型网络项目上的集成和实施能力的优势， 逐步扩大在金融行业的市场份额，并积极拓展新用户。</w:t>
      </w:r>
    </w:p>
    <w:p>
      <w:pPr>
        <w:pStyle w:val="Heading5"/>
        <w:spacing w:line="240" w:lineRule="auto" w:before="154"/>
        <w:ind w:right="986"/>
        <w:jc w:val="left"/>
        <w:rPr>
          <w:b w:val="0"/>
          <w:bCs w:val="0"/>
        </w:rPr>
      </w:pPr>
      <w:r>
        <w:rPr>
          <w:rFonts w:ascii="Times New Roman" w:hAnsi="Times New Roman" w:cs="Times New Roman" w:eastAsia="Times New Roman" w:hint="default"/>
        </w:rPr>
        <w:t>3</w:t>
      </w:r>
      <w:r>
        <w:rPr/>
        <w:t>、智慧城市</w:t>
      </w:r>
      <w:r>
        <w:rPr>
          <w:b w:val="0"/>
          <w:bCs w:val="0"/>
        </w:rPr>
      </w:r>
    </w:p>
    <w:p>
      <w:pPr>
        <w:pStyle w:val="BodyText"/>
        <w:spacing w:line="235" w:lineRule="auto" w:before="144"/>
        <w:ind w:right="1034" w:firstLine="360"/>
        <w:jc w:val="left"/>
      </w:pPr>
      <w:r>
        <w:rPr>
          <w:rFonts w:ascii="Times New Roman" w:hAnsi="Times New Roman" w:cs="Times New Roman" w:eastAsia="Times New Roman" w:hint="default"/>
        </w:rPr>
        <w:t>2019</w:t>
      </w:r>
      <w:r>
        <w:rPr/>
        <w:t>年，智慧城市板块实现了品牌化升级，推出</w:t>
      </w:r>
      <w:r>
        <w:rPr>
          <w:rFonts w:ascii="Times New Roman" w:hAnsi="Times New Roman" w:cs="Times New Roman" w:eastAsia="Times New Roman" w:hint="default"/>
        </w:rPr>
        <w:t>“</w:t>
      </w:r>
      <w:r>
        <w:rPr/>
        <w:t>东华云和智慧城市</w:t>
      </w:r>
      <w:r>
        <w:rPr>
          <w:rFonts w:ascii="Times New Roman" w:hAnsi="Times New Roman" w:cs="Times New Roman" w:eastAsia="Times New Roman" w:hint="default"/>
        </w:rPr>
        <w:t>”</w:t>
      </w:r>
      <w:r>
        <w:rPr/>
        <w:t>品牌战略，更加体现在数字基建时代以云计算为基 </w:t>
      </w:r>
      <w:r>
        <w:rPr>
          <w:spacing w:val="-2"/>
        </w:rPr>
        <w:t>础的产品与服务能力全面提升。智慧城市板块将遵循科学规律、利用市场手段、提供政策支持，以数据治理为基础，内生智</w:t>
      </w:r>
      <w:r>
        <w:rPr>
          <w:spacing w:val="-67"/>
        </w:rPr>
        <w:t> </w:t>
      </w:r>
      <w:r>
        <w:rPr>
          <w:spacing w:val="-67"/>
        </w:rPr>
      </w:r>
      <w:r>
        <w:rPr>
          <w:spacing w:val="-4"/>
        </w:rPr>
        <w:t>慧城市运营管理，外延智慧产业链建设与发展，优化产业结构，打造地方社会经济新引擎。同时紧抓产业互联网的发展趋势，</w:t>
      </w:r>
      <w:r>
        <w:rPr>
          <w:spacing w:val="-46"/>
        </w:rPr>
        <w:t> </w:t>
      </w:r>
      <w:r>
        <w:rPr>
          <w:spacing w:val="-46"/>
        </w:rPr>
      </w:r>
      <w:r>
        <w:rPr>
          <w:spacing w:val="-2"/>
        </w:rPr>
        <w:t>积极助力城市转型升级，打造产业发展新动能。特别是与腾讯合作以来，为适应双方智慧城市业务蓬勃发展与协同合作的需</w:t>
      </w:r>
      <w:r>
        <w:rPr>
          <w:spacing w:val="-63"/>
        </w:rPr>
        <w:t> </w:t>
      </w:r>
      <w:r>
        <w:rPr>
          <w:spacing w:val="-63"/>
        </w:rPr>
      </w:r>
      <w:r>
        <w:rPr>
          <w:spacing w:val="-2"/>
        </w:rPr>
        <w:t>要，积极构建起了具有强大资源调度能力和业务赋能属性的战略发展平台。集团设立了未来城市战略发展部和智慧产业部两</w:t>
      </w:r>
      <w:r>
        <w:rPr>
          <w:spacing w:val="-62"/>
        </w:rPr>
        <w:t> </w:t>
      </w:r>
      <w:r>
        <w:rPr>
          <w:spacing w:val="-62"/>
        </w:rPr>
      </w:r>
      <w:r>
        <w:rPr>
          <w:spacing w:val="-4"/>
        </w:rPr>
        <w:t>大战略事业部，确立了数字政府、社会治理、智慧产业三大主营业务版图，在原来北京、深圳、珠海、武汉等研发中心之外，</w:t>
      </w:r>
      <w:r>
        <w:rPr>
          <w:spacing w:val="-41"/>
        </w:rPr>
        <w:t> </w:t>
      </w:r>
      <w:r>
        <w:rPr>
          <w:spacing w:val="-41"/>
        </w:rPr>
      </w:r>
      <w:r>
        <w:rPr/>
        <w:t>又新建设了苏州、天津、南宁、重庆、西安五大区域研发中心，形成了覆盖未来智慧城市</w:t>
      </w:r>
      <w:r>
        <w:rPr>
          <w:rFonts w:ascii="Times New Roman" w:hAnsi="Times New Roman" w:cs="Times New Roman" w:eastAsia="Times New Roman" w:hint="default"/>
        </w:rPr>
        <w:t>30</w:t>
      </w:r>
      <w:r>
        <w:rPr/>
        <w:t>多个行业领域方向的产品矩阵、</w:t>
      </w:r>
      <w:r>
        <w:rPr>
          <w:spacing w:val="-87"/>
        </w:rPr>
        <w:t> </w:t>
      </w:r>
      <w:r>
        <w:rPr>
          <w:spacing w:val="-4"/>
        </w:rPr>
        <w:t>行业解决方案包，成功从传统解决方案商向体系化智慧城市平台、产品商转型，实现了东、南、西、北四大区域和国家部委、</w:t>
      </w:r>
      <w:r>
        <w:rPr>
          <w:spacing w:val="-44"/>
        </w:rPr>
        <w:t> </w:t>
      </w:r>
      <w:r>
        <w:rPr>
          <w:spacing w:val="-44"/>
        </w:rPr>
      </w:r>
      <w:r>
        <w:rPr/>
        <w:t>央企重点市场全覆盖。</w:t>
      </w:r>
    </w:p>
    <w:p>
      <w:pPr>
        <w:spacing w:line="240" w:lineRule="auto" w:before="11"/>
        <w:rPr>
          <w:rFonts w:ascii="宋体" w:hAnsi="宋体" w:cs="宋体" w:eastAsia="宋体" w:hint="default"/>
          <w:sz w:val="13"/>
          <w:szCs w:val="13"/>
        </w:rPr>
      </w:pPr>
    </w:p>
    <w:p>
      <w:pPr>
        <w:pStyle w:val="BodyText"/>
        <w:spacing w:line="232" w:lineRule="exact"/>
        <w:ind w:right="1034" w:firstLine="360"/>
        <w:jc w:val="left"/>
      </w:pPr>
      <w:r>
        <w:rPr>
          <w:spacing w:val="-2"/>
        </w:rPr>
        <w:t>通过与腾讯在多个层面的深度绑定及融合、多方面优势互补、全领域协同合作、双品牌对外体系化赋能，</w:t>
      </w:r>
      <w:r>
        <w:rPr>
          <w:rFonts w:ascii="Times New Roman" w:hAnsi="Times New Roman" w:cs="Times New Roman" w:eastAsia="Times New Roman" w:hint="default"/>
          <w:spacing w:val="-2"/>
        </w:rPr>
        <w:t>2019</w:t>
      </w:r>
      <w:r>
        <w:rPr>
          <w:spacing w:val="-2"/>
        </w:rPr>
        <w:t>年双方合</w:t>
      </w:r>
      <w:r>
        <w:rPr/>
        <w:t> 作取得了突破性的成功，共同完成成都智慧绿道、长沙超级大脑、平潭国际旅游岛等国内大型综合智慧城市典型项目案例。</w:t>
      </w:r>
      <w:r>
        <w:rPr/>
        <w:t> </w:t>
      </w:r>
      <w:r>
        <w:rPr>
          <w:spacing w:val="-2"/>
        </w:rPr>
        <w:t>为促进公司产业互联网整体战略高效推进，集团按照行业和产品进行了业务的全面调整与优化，东华智慧城市行业覆盖领域</w:t>
      </w:r>
      <w:r>
        <w:rPr>
          <w:spacing w:val="-64"/>
        </w:rPr>
        <w:t> </w:t>
      </w:r>
      <w:r>
        <w:rPr>
          <w:spacing w:val="-64"/>
        </w:rPr>
      </w:r>
      <w:r>
        <w:rPr/>
        <w:t>扩大，各版图重点分行业业务发展状况如下：</w:t>
      </w:r>
    </w:p>
    <w:p>
      <w:pPr>
        <w:spacing w:line="388" w:lineRule="exact" w:before="34"/>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）数字政府之未来城市领域</w:t>
      </w:r>
      <w:r>
        <w:rPr>
          <w:rFonts w:ascii="宋体" w:hAnsi="宋体" w:cs="宋体" w:eastAsia="宋体" w:hint="default"/>
          <w:b/>
          <w:bCs/>
          <w:w w:val="99"/>
          <w:sz w:val="18"/>
          <w:szCs w:val="18"/>
        </w:rPr>
        <w:t> </w:t>
      </w:r>
      <w:r>
        <w:rPr>
          <w:rFonts w:ascii="宋体" w:hAnsi="宋体" w:cs="宋体" w:eastAsia="宋体" w:hint="default"/>
          <w:sz w:val="18"/>
          <w:szCs w:val="18"/>
        </w:rPr>
        <w:t>随着中国数字政府建设进入全面提升阶段，东华数字政府融合腾讯</w:t>
      </w:r>
      <w:r>
        <w:rPr>
          <w:rFonts w:ascii="Times New Roman" w:hAnsi="Times New Roman" w:cs="Times New Roman" w:eastAsia="Times New Roman" w:hint="default"/>
          <w:sz w:val="18"/>
          <w:szCs w:val="18"/>
        </w:rPr>
        <w:t>WeCity</w:t>
      </w:r>
      <w:r>
        <w:rPr>
          <w:rFonts w:ascii="宋体" w:hAnsi="宋体" w:cs="宋体" w:eastAsia="宋体" w:hint="default"/>
          <w:sz w:val="18"/>
          <w:szCs w:val="18"/>
        </w:rPr>
        <w:t>未来城市产品理念及产品体系，结合东华软</w:t>
      </w:r>
    </w:p>
    <w:p>
      <w:pPr>
        <w:pStyle w:val="BodyText"/>
        <w:spacing w:line="186" w:lineRule="exact"/>
        <w:ind w:right="986"/>
        <w:jc w:val="left"/>
      </w:pPr>
      <w:r>
        <w:rPr>
          <w:spacing w:val="-4"/>
        </w:rPr>
        <w:t>件</w:t>
      </w:r>
      <w:r>
        <w:rPr>
          <w:rFonts w:ascii="Times New Roman" w:hAnsi="Times New Roman" w:cs="Times New Roman" w:eastAsia="Times New Roman" w:hint="default"/>
          <w:spacing w:val="-4"/>
        </w:rPr>
        <w:t>20</w:t>
      </w:r>
      <w:r>
        <w:rPr>
          <w:spacing w:val="-4"/>
        </w:rPr>
        <w:t>多年来在多个行业丰富应用经验、技术沉淀、业务理解、生态资源，形成了覆盖以智慧中台为未来城市核心引擎和大脑、</w:t>
      </w:r>
    </w:p>
    <w:p>
      <w:pPr>
        <w:pStyle w:val="BodyText"/>
        <w:spacing w:line="232" w:lineRule="auto"/>
        <w:ind w:right="986"/>
        <w:jc w:val="left"/>
      </w:pPr>
      <w:r>
        <w:rPr/>
        <w:t>以腾讯云和东华云为数字云基座、以新型</w:t>
      </w:r>
      <w:r>
        <w:rPr>
          <w:rFonts w:ascii="Times New Roman" w:hAnsi="Times New Roman" w:cs="Times New Roman" w:eastAsia="Times New Roman" w:hint="default"/>
        </w:rPr>
        <w:t>“</w:t>
      </w:r>
      <w:r>
        <w:rPr/>
        <w:t>管运分离</w:t>
      </w:r>
      <w:r>
        <w:rPr>
          <w:rFonts w:ascii="Times New Roman" w:hAnsi="Times New Roman" w:cs="Times New Roman" w:eastAsia="Times New Roman" w:hint="default"/>
        </w:rPr>
        <w:t>”</w:t>
      </w:r>
      <w:r>
        <w:rPr/>
        <w:t>运管平台、政务微信、指尖小程序等为服务载体的一整套科学化、系统 </w:t>
      </w:r>
      <w:r>
        <w:rPr>
          <w:spacing w:val="-4"/>
        </w:rPr>
        <w:t>化的产品矩阵和解决方案集。为用户提升智慧城市建设理念，帮助政府打造智慧政务服务能力，优化城市管理者在城市治理、</w:t>
      </w:r>
      <w:r>
        <w:rPr>
          <w:spacing w:val="-44"/>
        </w:rPr>
        <w:t> </w:t>
      </w:r>
      <w:r>
        <w:rPr>
          <w:spacing w:val="-44"/>
        </w:rPr>
      </w:r>
      <w:r>
        <w:rPr>
          <w:spacing w:val="-2"/>
        </w:rPr>
        <w:t>决策规划和产业互联等方面的执行能力，助力城市在政务、农村、应急、监管、文旅、医疗、交通、教育、工业等领域管理</w:t>
      </w:r>
    </w:p>
    <w:p>
      <w:pPr>
        <w:spacing w:after="0" w:line="232" w:lineRule="auto"/>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及运行能力塑造。报告期内中标的</w:t>
      </w:r>
      <w:r>
        <w:rPr>
          <w:rFonts w:ascii="Times New Roman" w:hAnsi="Times New Roman" w:cs="Times New Roman" w:eastAsia="Times New Roman" w:hint="default"/>
        </w:rPr>
        <w:t>“</w:t>
      </w:r>
      <w:r>
        <w:rPr/>
        <w:t>长沙超级大脑</w:t>
      </w:r>
      <w:r>
        <w:rPr>
          <w:rFonts w:ascii="Times New Roman" w:hAnsi="Times New Roman" w:cs="Times New Roman" w:eastAsia="Times New Roman" w:hint="default"/>
        </w:rPr>
        <w:t>”</w:t>
      </w:r>
      <w:r>
        <w:rPr/>
        <w:t>是东华与腾讯未来城市、数字政府领域的典范。</w:t>
      </w:r>
    </w:p>
    <w:p>
      <w:pPr>
        <w:spacing w:line="370" w:lineRule="atLeast" w:before="19"/>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）社会治理之智慧应急安全领域</w:t>
      </w:r>
      <w:r>
        <w:rPr>
          <w:rFonts w:ascii="宋体" w:hAnsi="宋体" w:cs="宋体" w:eastAsia="宋体" w:hint="default"/>
          <w:b/>
          <w:bCs/>
          <w:w w:val="99"/>
          <w:sz w:val="18"/>
          <w:szCs w:val="18"/>
        </w:rPr>
        <w:t> </w:t>
      </w:r>
      <w:r>
        <w:rPr>
          <w:rFonts w:ascii="宋体" w:hAnsi="宋体" w:cs="宋体" w:eastAsia="宋体" w:hint="default"/>
          <w:spacing w:val="-4"/>
          <w:sz w:val="18"/>
          <w:szCs w:val="18"/>
        </w:rPr>
        <w:t>作为新兴产业，智慧应急在国内正蓬勃发展，公共安全应急需求越来越受到重视。公司成立城市安全与应急管理事业部，</w:t>
      </w:r>
    </w:p>
    <w:p>
      <w:pPr>
        <w:pStyle w:val="BodyText"/>
        <w:spacing w:line="232" w:lineRule="auto" w:before="3"/>
        <w:ind w:right="1133"/>
        <w:jc w:val="both"/>
      </w:pPr>
      <w:r>
        <w:rPr/>
        <w:t>依托</w:t>
      </w:r>
      <w:r>
        <w:rPr>
          <w:rFonts w:ascii="Times New Roman" w:hAnsi="Times New Roman" w:cs="Times New Roman" w:eastAsia="Times New Roman" w:hint="default"/>
        </w:rPr>
        <w:t>AI</w:t>
      </w:r>
      <w:r>
        <w:rPr/>
        <w:t>人工智能、区块链、云计算、大数据等高新科技手段，以数据治理为基础，内生智慧城市运营与应急管理，外延应</w:t>
      </w:r>
      <w:r>
        <w:rPr>
          <w:spacing w:val="-20"/>
        </w:rPr>
        <w:t> </w:t>
      </w:r>
      <w:r>
        <w:rPr>
          <w:spacing w:val="-20"/>
        </w:rPr>
      </w:r>
      <w:r>
        <w:rPr>
          <w:spacing w:val="-2"/>
        </w:rPr>
        <w:t>急产业链建设与发展，构建应急管理网，建设应急产业链。从城市风险、应急资源着手，结合监测预警与决策支持，为社会</w:t>
      </w:r>
      <w:r>
        <w:rPr>
          <w:spacing w:val="-69"/>
        </w:rPr>
        <w:t> </w:t>
      </w:r>
      <w:r>
        <w:rPr>
          <w:spacing w:val="-69"/>
        </w:rPr>
      </w:r>
      <w:r>
        <w:rPr>
          <w:spacing w:val="-2"/>
        </w:rPr>
        <w:t>构建一张全面的预警和应急管理网，实现对自然灾害、城市运行、生产生活等风险的管控，同时加强重点区域、场所、组织</w:t>
      </w:r>
      <w:r>
        <w:rPr>
          <w:spacing w:val="-69"/>
        </w:rPr>
        <w:t> </w:t>
      </w:r>
      <w:r>
        <w:rPr>
          <w:spacing w:val="-69"/>
        </w:rPr>
      </w:r>
      <w:r>
        <w:rPr/>
        <w:t>的系统化、综合化治理，引导城市运营安全管理。</w:t>
      </w:r>
    </w:p>
    <w:p>
      <w:pPr>
        <w:spacing w:line="240" w:lineRule="auto" w:before="5"/>
        <w:rPr>
          <w:rFonts w:ascii="宋体" w:hAnsi="宋体" w:cs="宋体" w:eastAsia="宋体" w:hint="default"/>
          <w:sz w:val="12"/>
          <w:szCs w:val="12"/>
        </w:rPr>
      </w:pPr>
    </w:p>
    <w:p>
      <w:pPr>
        <w:pStyle w:val="BodyText"/>
        <w:spacing w:line="230" w:lineRule="auto"/>
        <w:ind w:right="1034" w:firstLine="360"/>
        <w:jc w:val="left"/>
      </w:pPr>
      <w:r>
        <w:rPr/>
        <w:t>在研发上，城市安全与应急管理事业部以一个中心九个系统构建智慧应用的综合应用，体现应急平台的综合服务能力。 </w:t>
      </w:r>
      <w:r>
        <w:rPr>
          <w:spacing w:val="-2"/>
        </w:rPr>
        <w:t>并应用细化拓展、数据长效运营，构建大应急生态。经过不断的调整与优化共输出综合与行业方案</w:t>
      </w:r>
      <w:r>
        <w:rPr>
          <w:rFonts w:ascii="Times New Roman" w:hAnsi="Times New Roman" w:cs="Times New Roman" w:eastAsia="Times New Roman" w:hint="default"/>
          <w:spacing w:val="-2"/>
        </w:rPr>
        <w:t>26</w:t>
      </w:r>
      <w:r>
        <w:rPr>
          <w:spacing w:val="-2"/>
        </w:rPr>
        <w:t>个，并与同济大学城市</w:t>
      </w:r>
      <w:r>
        <w:rPr>
          <w:spacing w:val="-60"/>
        </w:rPr>
        <w:t> </w:t>
      </w:r>
      <w:r>
        <w:rPr>
          <w:spacing w:val="-60"/>
        </w:rPr>
      </w:r>
      <w:r>
        <w:rPr>
          <w:spacing w:val="-2"/>
        </w:rPr>
        <w:t>风险管理研究院、北方工业大学新兴风险研究院、上海交大中国城市治理研究院、中央党校国家行政学院中欧应急管理研究</w:t>
      </w:r>
      <w:r>
        <w:rPr>
          <w:spacing w:val="-63"/>
        </w:rPr>
        <w:t> </w:t>
      </w:r>
      <w:r>
        <w:rPr>
          <w:spacing w:val="-63"/>
        </w:rPr>
      </w:r>
      <w:r>
        <w:rPr>
          <w:spacing w:val="-2"/>
        </w:rPr>
        <w:t>院、北京化工大学、中国矿业大学北京应急管理与安全学院等高校与研究机构探讨交流</w:t>
      </w:r>
      <w:r>
        <w:rPr>
          <w:rFonts w:ascii="Times New Roman" w:hAnsi="Times New Roman" w:cs="Times New Roman" w:eastAsia="Times New Roman" w:hint="default"/>
          <w:spacing w:val="-2"/>
        </w:rPr>
        <w:t>“</w:t>
      </w:r>
      <w:r>
        <w:rPr>
          <w:spacing w:val="-2"/>
        </w:rPr>
        <w:t>产、学、研、用</w:t>
      </w:r>
      <w:r>
        <w:rPr>
          <w:rFonts w:ascii="Times New Roman" w:hAnsi="Times New Roman" w:cs="Times New Roman" w:eastAsia="Times New Roman" w:hint="default"/>
          <w:spacing w:val="-2"/>
        </w:rPr>
        <w:t>”</w:t>
      </w:r>
      <w:r>
        <w:rPr>
          <w:spacing w:val="-2"/>
        </w:rPr>
        <w:t>合作事宜，紧贴规</w:t>
      </w:r>
      <w:r>
        <w:rPr>
          <w:spacing w:val="-47"/>
        </w:rPr>
        <w:t> </w:t>
      </w:r>
      <w:r>
        <w:rPr>
          <w:spacing w:val="-47"/>
        </w:rPr>
      </w:r>
      <w:r>
        <w:rPr/>
        <w:t>划发展，做好企业的应急方案及产品规划，参与带动机构的科技成果转化。</w:t>
      </w:r>
    </w:p>
    <w:p>
      <w:pPr>
        <w:pStyle w:val="Heading5"/>
        <w:spacing w:line="240" w:lineRule="auto" w:before="155"/>
        <w:ind w:right="986"/>
        <w:jc w:val="left"/>
        <w:rPr>
          <w:b w:val="0"/>
          <w:bCs w:val="0"/>
        </w:rPr>
      </w:pPr>
      <w:r>
        <w:rPr/>
        <w:t>（</w:t>
      </w:r>
      <w:r>
        <w:rPr>
          <w:rFonts w:ascii="Times New Roman" w:hAnsi="Times New Roman" w:cs="Times New Roman" w:eastAsia="Times New Roman" w:hint="default"/>
        </w:rPr>
        <w:t>3</w:t>
      </w:r>
      <w:r>
        <w:rPr/>
        <w:t>）社会治理之智慧公安军警、政府信创领域</w:t>
      </w:r>
      <w:r>
        <w:rPr>
          <w:b w:val="0"/>
          <w:bCs w:val="0"/>
        </w:rPr>
      </w:r>
    </w:p>
    <w:p>
      <w:pPr>
        <w:pStyle w:val="BodyText"/>
        <w:spacing w:line="235" w:lineRule="auto" w:before="144"/>
        <w:ind w:right="1129" w:firstLine="360"/>
        <w:jc w:val="both"/>
      </w:pPr>
      <w:r>
        <w:rPr>
          <w:rFonts w:ascii="Times New Roman" w:hAnsi="Times New Roman" w:cs="Times New Roman" w:eastAsia="Times New Roman" w:hint="default"/>
          <w:spacing w:val="-2"/>
        </w:rPr>
        <w:t>2019</w:t>
      </w:r>
      <w:r>
        <w:rPr>
          <w:spacing w:val="-2"/>
        </w:rPr>
        <w:t>年公司持续加大在公安军警行业的投入，围绕</w:t>
      </w:r>
      <w:r>
        <w:rPr>
          <w:rFonts w:ascii="Times New Roman" w:hAnsi="Times New Roman" w:cs="Times New Roman" w:eastAsia="Times New Roman" w:hint="default"/>
          <w:spacing w:val="-2"/>
        </w:rPr>
        <w:t>“</w:t>
      </w:r>
      <w:r>
        <w:rPr>
          <w:spacing w:val="-2"/>
        </w:rPr>
        <w:t>新一代智能警务系统</w:t>
      </w:r>
      <w:r>
        <w:rPr>
          <w:rFonts w:ascii="Times New Roman" w:hAnsi="Times New Roman" w:cs="Times New Roman" w:eastAsia="Times New Roman" w:hint="default"/>
          <w:spacing w:val="-2"/>
        </w:rPr>
        <w:t>”</w:t>
      </w:r>
      <w:r>
        <w:rPr>
          <w:spacing w:val="-2"/>
        </w:rPr>
        <w:t>的建设，围绕看得见、摸得着、抓得住的实战</w:t>
      </w:r>
      <w:r>
        <w:rPr/>
        <w:t> </w:t>
      </w:r>
      <w:r>
        <w:rPr>
          <w:spacing w:val="-2"/>
        </w:rPr>
        <w:t>原则，不断利用自己的技术与整体方案提供能力，服务于新时代公安行业信息化建设。配合客户，助力公安大数据体系建设</w:t>
      </w:r>
      <w:r>
        <w:rPr>
          <w:spacing w:val="-65"/>
        </w:rPr>
        <w:t> </w:t>
      </w:r>
      <w:r>
        <w:rPr>
          <w:spacing w:val="-65"/>
        </w:rPr>
      </w:r>
      <w:r>
        <w:rPr>
          <w:spacing w:val="-2"/>
        </w:rPr>
        <w:t>及应用、视频云体系建设及应用、公安大数据技术实战落地、公安大数据专业警种应用等，将技术与场景密切结合，不断将</w:t>
      </w:r>
      <w:r>
        <w:rPr>
          <w:spacing w:val="-67"/>
        </w:rPr>
        <w:t> </w:t>
      </w:r>
      <w:r>
        <w:rPr>
          <w:spacing w:val="-67"/>
        </w:rPr>
      </w:r>
      <w:r>
        <w:rPr>
          <w:spacing w:val="-2"/>
        </w:rPr>
        <w:t>警务督察大数据应用平台、人像大数据系统、车辆大数据系统、精神病患者救助系统、团伙串并案分析系统、重点人员分析</w:t>
      </w:r>
      <w:r>
        <w:rPr>
          <w:spacing w:val="-67"/>
        </w:rPr>
        <w:t> </w:t>
      </w:r>
      <w:r>
        <w:rPr>
          <w:spacing w:val="-67"/>
        </w:rPr>
      </w:r>
      <w:r>
        <w:rPr/>
        <w:t>系统等在实战中获得更广泛应用。</w:t>
      </w:r>
    </w:p>
    <w:p>
      <w:pPr>
        <w:pStyle w:val="BodyText"/>
        <w:spacing w:line="241" w:lineRule="exact" w:before="153"/>
        <w:ind w:left="513" w:right="986"/>
        <w:jc w:val="left"/>
      </w:pPr>
      <w:r>
        <w:rPr/>
        <w:t>报告期内，公司作为总包继续重点实施总金额</w:t>
      </w:r>
      <w:r>
        <w:rPr>
          <w:rFonts w:ascii="Times New Roman" w:hAnsi="Times New Roman" w:cs="Times New Roman" w:eastAsia="Times New Roman" w:hint="default"/>
        </w:rPr>
        <w:t>5</w:t>
      </w:r>
      <w:r>
        <w:rPr/>
        <w:t>个多亿的北京市局朝阳分局朝阳区公共安全视频监控建设联网应用工程</w:t>
      </w:r>
    </w:p>
    <w:p>
      <w:pPr>
        <w:pStyle w:val="BodyText"/>
        <w:spacing w:line="232" w:lineRule="exact" w:before="16"/>
        <w:ind w:right="1134"/>
        <w:jc w:val="both"/>
      </w:pPr>
      <w:r>
        <w:rPr>
          <w:spacing w:val="-2"/>
        </w:rPr>
        <w:t>（视频警务）项目，此项目上线的系统已为建国七十周年大庆服务，圆满完成国庆安保，得到客户的通报表扬。同时为国庆</w:t>
      </w:r>
      <w:r>
        <w:rPr>
          <w:spacing w:val="-66"/>
        </w:rPr>
        <w:t> </w:t>
      </w:r>
      <w:r>
        <w:rPr>
          <w:spacing w:val="-66"/>
        </w:rPr>
      </w:r>
      <w:r>
        <w:rPr/>
        <w:t>安保服务的还有陕西省公安厅三秦警务云项目，承受住了严格的国庆安保实战检验。</w:t>
      </w:r>
    </w:p>
    <w:p>
      <w:pPr>
        <w:pStyle w:val="BodyText"/>
        <w:spacing w:line="232" w:lineRule="exact" w:before="159"/>
        <w:ind w:right="1130" w:firstLine="360"/>
        <w:jc w:val="both"/>
      </w:pPr>
      <w:r>
        <w:rPr>
          <w:spacing w:val="-2"/>
        </w:rPr>
        <w:t>同时，继续建设天津市局督察大数据分析平台二期，开发江西省厅精神病患者救助系统，河南省厅地市局人像大数据系</w:t>
      </w:r>
      <w:r>
        <w:rPr/>
        <w:t> 统，延安市局安全防护系统等。</w:t>
      </w:r>
    </w:p>
    <w:p>
      <w:pPr>
        <w:pStyle w:val="BodyText"/>
        <w:spacing w:line="232" w:lineRule="exact" w:before="157"/>
        <w:ind w:right="1131" w:firstLine="360"/>
        <w:jc w:val="both"/>
      </w:pPr>
      <w:r>
        <w:rPr>
          <w:spacing w:val="-2"/>
        </w:rPr>
        <w:t>报告期内，与北京市公安局、吉林省厅、湖北省厅、河北省厅、河南省厅、江苏省厅、重庆市局等</w:t>
      </w:r>
      <w:r>
        <w:rPr>
          <w:rFonts w:ascii="Times New Roman" w:hAnsi="Times New Roman" w:cs="Times New Roman" w:eastAsia="Times New Roman" w:hint="default"/>
          <w:spacing w:val="-2"/>
        </w:rPr>
        <w:t>30</w:t>
      </w:r>
      <w:r>
        <w:rPr>
          <w:spacing w:val="-2"/>
        </w:rPr>
        <w:t>多个客户建立深度</w:t>
      </w:r>
      <w:r>
        <w:rPr/>
        <w:t> 联系，针对各项实战和服务开展有效的合作。</w:t>
      </w:r>
    </w:p>
    <w:p>
      <w:pPr>
        <w:pStyle w:val="BodyText"/>
        <w:spacing w:line="232" w:lineRule="exact" w:before="159"/>
        <w:ind w:right="1133" w:firstLine="360"/>
        <w:jc w:val="both"/>
      </w:pPr>
      <w:r>
        <w:rPr>
          <w:spacing w:val="-2"/>
        </w:rPr>
        <w:t>在公安行业应用研发方面，重点建设公安业务西安研发中心、天津研发中心、南昌研发中心，聚焦警务云、视频云和大</w:t>
      </w:r>
      <w:r>
        <w:rPr/>
        <w:t> </w:t>
      </w:r>
      <w:r>
        <w:rPr>
          <w:spacing w:val="-2"/>
        </w:rPr>
        <w:t>数据应用，在数据服务、大数据模型、大数据应用、图像处理等方向开展研发。同时，公司积极推进校企横向合作，与中国</w:t>
      </w:r>
      <w:r>
        <w:rPr>
          <w:spacing w:val="-73"/>
        </w:rPr>
        <w:t> </w:t>
      </w:r>
      <w:r>
        <w:rPr>
          <w:spacing w:val="-73"/>
        </w:rPr>
      </w:r>
      <w:r>
        <w:rPr>
          <w:spacing w:val="-2"/>
        </w:rPr>
        <w:t>人民公安大学、天津大学、清华大学、中科院等合作，在大数据智能分析模型、行为和特征预测预警、视频图像处理和分析</w:t>
      </w:r>
      <w:r>
        <w:rPr>
          <w:spacing w:val="-68"/>
        </w:rPr>
        <w:t> </w:t>
      </w:r>
      <w:r>
        <w:rPr>
          <w:spacing w:val="-68"/>
        </w:rPr>
      </w:r>
      <w:r>
        <w:rPr/>
        <w:t>等研究方面取得了积极的成果。</w:t>
      </w:r>
    </w:p>
    <w:p>
      <w:pPr>
        <w:pStyle w:val="BodyText"/>
        <w:spacing w:line="232" w:lineRule="exact" w:before="159"/>
        <w:ind w:right="1043" w:firstLine="360"/>
        <w:jc w:val="both"/>
      </w:pPr>
      <w:r>
        <w:rPr>
          <w:spacing w:val="-4"/>
        </w:rPr>
        <w:t>积极开拓陆军等各个兵种和各个战区的市场，挖掘试点客户，协助公安、武警、部队为适应新形势下军械职能任务拓展，</w:t>
      </w:r>
      <w:r>
        <w:rPr/>
        <w:t> 帮助各单位后勤部门全面提高军械信息化管理水平，有效提高军械装备“两成两力”建设水平。</w:t>
      </w:r>
    </w:p>
    <w:p>
      <w:pPr>
        <w:pStyle w:val="BodyText"/>
        <w:spacing w:line="240" w:lineRule="auto" w:before="132"/>
        <w:ind w:right="1131" w:firstLine="360"/>
        <w:jc w:val="both"/>
      </w:pPr>
      <w:r>
        <w:rPr>
          <w:spacing w:val="-2"/>
        </w:rPr>
        <w:t>鉴于目前国家及政府大力发展信创项目，团队积极开拓新用户，报告期内成功中标中共中央宣传部党政机关电子公文系</w:t>
      </w:r>
      <w:r>
        <w:rPr/>
        <w:t> 统信息创新应用项目，重庆市南岸区电子公文应用系统等多个信创项目。</w:t>
      </w:r>
    </w:p>
    <w:p>
      <w:pPr>
        <w:spacing w:line="370" w:lineRule="atLeast" w:before="32"/>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）智慧产业之智慧文旅领域</w:t>
      </w:r>
      <w:r>
        <w:rPr>
          <w:rFonts w:ascii="宋体" w:hAnsi="宋体" w:cs="宋体" w:eastAsia="宋体" w:hint="default"/>
          <w:b/>
          <w:bCs/>
          <w:w w:val="99"/>
          <w:sz w:val="18"/>
          <w:szCs w:val="18"/>
        </w:rPr>
        <w:t> </w:t>
      </w:r>
      <w:r>
        <w:rPr>
          <w:rFonts w:ascii="宋体" w:hAnsi="宋体" w:cs="宋体" w:eastAsia="宋体" w:hint="default"/>
          <w:spacing w:val="-2"/>
          <w:sz w:val="18"/>
          <w:szCs w:val="18"/>
        </w:rPr>
        <w:t>智慧文旅方面，东华联合腾讯建设“旅游服务、政府监管、游客参与”三位一体、无缝连接、友好互动的线上线下旅游</w:t>
      </w:r>
    </w:p>
    <w:p>
      <w:pPr>
        <w:pStyle w:val="BodyText"/>
        <w:spacing w:line="237" w:lineRule="auto"/>
        <w:ind w:right="1034"/>
        <w:jc w:val="left"/>
      </w:pPr>
      <w:r>
        <w:rPr>
          <w:spacing w:val="-2"/>
        </w:rPr>
        <w:t>服务体系，围绕文旅行业洞察、安全保障、游客服务、产业发展四大主线，依托腾讯的“公众号、小程序、移动支付、社交</w:t>
      </w:r>
      <w:r>
        <w:rPr>
          <w:spacing w:val="-67"/>
        </w:rPr>
        <w:t> </w:t>
      </w:r>
      <w:r>
        <w:rPr>
          <w:spacing w:val="-67"/>
        </w:rPr>
      </w:r>
      <w:r>
        <w:rPr>
          <w:spacing w:val="-2"/>
        </w:rPr>
        <w:t>广告、企业微信、云计算、大数据与人工智能以及安全等”七大工具能力与流量入口，提供了一系列的平台与工具组件，推</w:t>
      </w:r>
      <w:r>
        <w:rPr>
          <w:spacing w:val="-69"/>
        </w:rPr>
        <w:t> </w:t>
      </w:r>
      <w:r>
        <w:rPr>
          <w:spacing w:val="-69"/>
        </w:rPr>
      </w:r>
      <w:r>
        <w:rPr/>
        <w:t>动实现文旅服务和经营的智慧化、智能化、多样化、互动化，满足以游客与市民在预约、导览、体验、分享、互动、漫游、</w:t>
      </w:r>
      <w:r>
        <w:rPr/>
        <w:t> </w:t>
      </w:r>
      <w:r>
        <w:rPr>
          <w:spacing w:val="-2"/>
        </w:rPr>
        <w:t>购买、社交、休闲等多层次物质精神需求和个性化需要，让体验的过程可见、可闻、可亲、可近、可思、可感。报告期内先</w:t>
      </w:r>
      <w:r>
        <w:rPr>
          <w:spacing w:val="-70"/>
        </w:rPr>
        <w:t> </w:t>
      </w:r>
      <w:r>
        <w:rPr>
          <w:spacing w:val="-70"/>
        </w:rPr>
      </w:r>
      <w:r>
        <w:rPr/>
        <w:t>后参与成都</w:t>
      </w:r>
      <w:r>
        <w:rPr>
          <w:rFonts w:ascii="Times New Roman" w:hAnsi="Times New Roman" w:cs="Times New Roman" w:eastAsia="Times New Roman" w:hint="default"/>
        </w:rPr>
        <w:t>“</w:t>
      </w:r>
      <w:r>
        <w:rPr/>
        <w:t>智慧绿道</w:t>
      </w:r>
      <w:r>
        <w:rPr>
          <w:rFonts w:ascii="Times New Roman" w:hAnsi="Times New Roman" w:cs="Times New Roman" w:eastAsia="Times New Roman" w:hint="default"/>
        </w:rPr>
        <w:t>”</w:t>
      </w:r>
      <w:r>
        <w:rPr/>
        <w:t>、平潭国际旅游岛等项目实施实施，开启了智慧文旅领域的新探索与新模式。</w:t>
      </w:r>
    </w:p>
    <w:p>
      <w:pPr>
        <w:spacing w:line="390" w:lineRule="atLeast" w:before="1"/>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）智慧产业之数字农业农村领域</w:t>
      </w:r>
      <w:r>
        <w:rPr>
          <w:rFonts w:ascii="宋体" w:hAnsi="宋体" w:cs="宋体" w:eastAsia="宋体" w:hint="default"/>
          <w:b/>
          <w:bCs/>
          <w:w w:val="99"/>
          <w:sz w:val="18"/>
          <w:szCs w:val="18"/>
        </w:rPr>
        <w:t> </w:t>
      </w:r>
      <w:r>
        <w:rPr>
          <w:rFonts w:ascii="宋体" w:hAnsi="宋体" w:cs="宋体" w:eastAsia="宋体" w:hint="default"/>
          <w:sz w:val="18"/>
          <w:szCs w:val="18"/>
        </w:rPr>
        <w:t>响应国家乡村振兴战略，公司联合腾讯共同研发出</w:t>
      </w:r>
      <w:r>
        <w:rPr>
          <w:rFonts w:ascii="Times New Roman" w:hAnsi="Times New Roman" w:cs="Times New Roman" w:eastAsia="Times New Roman" w:hint="default"/>
          <w:sz w:val="18"/>
          <w:szCs w:val="18"/>
        </w:rPr>
        <w:t>TDC</w:t>
      </w:r>
      <w:r>
        <w:rPr>
          <w:rFonts w:ascii="宋体" w:hAnsi="宋体" w:cs="宋体" w:eastAsia="宋体" w:hint="default"/>
          <w:sz w:val="18"/>
          <w:szCs w:val="18"/>
        </w:rPr>
        <w:t>数字农村平台，依托腾讯云平台、</w:t>
      </w:r>
      <w:r>
        <w:rPr>
          <w:rFonts w:ascii="Times New Roman" w:hAnsi="Times New Roman" w:cs="Times New Roman" w:eastAsia="Times New Roman" w:hint="default"/>
          <w:sz w:val="18"/>
          <w:szCs w:val="18"/>
        </w:rPr>
        <w:t>AI</w:t>
      </w:r>
      <w:r>
        <w:rPr>
          <w:rFonts w:ascii="宋体" w:hAnsi="宋体" w:cs="宋体" w:eastAsia="宋体" w:hint="default"/>
          <w:sz w:val="18"/>
          <w:szCs w:val="18"/>
        </w:rPr>
        <w:t>及大数据分析能力，以农</w:t>
      </w:r>
    </w:p>
    <w:p>
      <w:pPr>
        <w:pStyle w:val="BodyText"/>
        <w:spacing w:line="232" w:lineRule="auto"/>
        <w:ind w:right="1042"/>
        <w:jc w:val="both"/>
      </w:pPr>
      <w:r>
        <w:rPr/>
        <w:t>业生产监管、农村综合管理、农民</w:t>
      </w:r>
      <w:r>
        <w:rPr>
          <w:rFonts w:ascii="Times New Roman" w:hAnsi="Times New Roman" w:cs="Times New Roman" w:eastAsia="Times New Roman" w:hint="default"/>
        </w:rPr>
        <w:t>/</w:t>
      </w:r>
      <w:r>
        <w:rPr/>
        <w:t>农企</w:t>
      </w:r>
      <w:r>
        <w:rPr>
          <w:rFonts w:ascii="Times New Roman" w:hAnsi="Times New Roman" w:cs="Times New Roman" w:eastAsia="Times New Roman" w:hint="default"/>
        </w:rPr>
        <w:t>AI</w:t>
      </w:r>
      <w:r>
        <w:rPr/>
        <w:t>种养服务为核心功能，实现数字化生产管理，打通农产品从田间到餐桌的全流程</w:t>
      </w:r>
      <w:r>
        <w:rPr>
          <w:spacing w:val="-59"/>
        </w:rPr>
        <w:t> </w:t>
      </w:r>
      <w:r>
        <w:rPr>
          <w:spacing w:val="-59"/>
        </w:rPr>
      </w:r>
      <w:r>
        <w:rPr>
          <w:spacing w:val="-2"/>
        </w:rPr>
        <w:t>追溯，促进农业产业多元化发展，构建以知识更新、技术创新、数据驱动为一体的产业链，发展农村数字经济，助力乡村振</w:t>
      </w:r>
      <w:r>
        <w:rPr>
          <w:spacing w:val="-68"/>
        </w:rPr>
        <w:t> </w:t>
      </w:r>
      <w:r>
        <w:rPr>
          <w:spacing w:val="-68"/>
        </w:rPr>
      </w:r>
      <w:r>
        <w:rPr>
          <w:spacing w:val="-2"/>
        </w:rPr>
        <w:t>兴。平台荣获中国国际数字和软件服务交易会“最佳数字化转型实践奖”。同时，公司成功中标福建浦城等众多数字农村项</w:t>
      </w:r>
      <w:r>
        <w:rPr>
          <w:spacing w:val="-64"/>
        </w:rPr>
        <w:t> </w:t>
      </w:r>
      <w:r>
        <w:rPr>
          <w:spacing w:val="-64"/>
        </w:rPr>
      </w:r>
      <w:r>
        <w:rPr>
          <w:spacing w:val="-4"/>
        </w:rPr>
        <w:t>目，打造了以农业生产监控、农村综合管理、农民惠农服务等为一体的产业信息化示范，推动产业转型升级，助力乡村振兴，</w:t>
      </w:r>
    </w:p>
    <w:p>
      <w:pPr>
        <w:pStyle w:val="BodyText"/>
        <w:spacing w:line="234" w:lineRule="exact"/>
        <w:ind w:right="0"/>
        <w:jc w:val="both"/>
      </w:pPr>
      <w:r>
        <w:rPr/>
        <w:t>为乡村发展赋能。</w:t>
      </w:r>
    </w:p>
    <w:p>
      <w:pPr>
        <w:pStyle w:val="Heading5"/>
        <w:spacing w:line="240" w:lineRule="auto" w:before="153"/>
        <w:ind w:right="986"/>
        <w:jc w:val="left"/>
        <w:rPr>
          <w:b w:val="0"/>
          <w:bCs w:val="0"/>
        </w:rPr>
      </w:pPr>
      <w:r>
        <w:rPr/>
        <w:t>（</w:t>
      </w:r>
      <w:r>
        <w:rPr>
          <w:rFonts w:ascii="Times New Roman" w:hAnsi="Times New Roman" w:cs="Times New Roman" w:eastAsia="Times New Roman" w:hint="default"/>
        </w:rPr>
        <w:t>6</w:t>
      </w:r>
      <w:r>
        <w:rPr/>
        <w:t>）智慧产业之数字住建、建筑智能化及云中心建设领域</w:t>
      </w:r>
      <w:r>
        <w:rPr>
          <w:b w:val="0"/>
          <w:bCs w:val="0"/>
        </w:rPr>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b/>
          <w:bCs/>
          <w:sz w:val="22"/>
          <w:szCs w:val="22"/>
        </w:rPr>
      </w:pPr>
    </w:p>
    <w:p>
      <w:pPr>
        <w:pStyle w:val="BodyText"/>
        <w:spacing w:line="232" w:lineRule="exact" w:before="69"/>
        <w:ind w:right="1110" w:firstLine="360"/>
        <w:jc w:val="right"/>
      </w:pPr>
      <w:r>
        <w:rPr>
          <w:spacing w:val="-2"/>
        </w:rPr>
        <w:t>报告期内，公司充分发挥平台资源整合实力，在本行业确立</w:t>
      </w:r>
      <w:r>
        <w:rPr>
          <w:rFonts w:ascii="Times New Roman" w:hAnsi="Times New Roman" w:cs="Times New Roman" w:eastAsia="Times New Roman" w:hint="default"/>
          <w:spacing w:val="-2"/>
        </w:rPr>
        <w:t>“</w:t>
      </w:r>
      <w:r>
        <w:rPr>
          <w:spacing w:val="-2"/>
        </w:rPr>
        <w:t>立足大住建、服务智慧城市</w:t>
      </w:r>
      <w:r>
        <w:rPr>
          <w:rFonts w:ascii="Times New Roman" w:hAnsi="Times New Roman" w:cs="Times New Roman" w:eastAsia="Times New Roman" w:hint="default"/>
          <w:spacing w:val="-2"/>
        </w:rPr>
        <w:t>”</w:t>
      </w:r>
      <w:r>
        <w:rPr>
          <w:spacing w:val="-2"/>
        </w:rPr>
        <w:t>的战略，将业务横向推向智慧</w:t>
      </w:r>
      <w:r>
        <w:rPr/>
        <w:t> 住房、智慧租赁、智慧社区、智慧园区和智慧城管等大住建相关领域，基于腾讯先进的中台及</w:t>
      </w:r>
      <w:r>
        <w:rPr>
          <w:rFonts w:ascii="Times New Roman" w:hAnsi="Times New Roman" w:cs="Times New Roman" w:eastAsia="Times New Roman" w:hint="default"/>
        </w:rPr>
        <w:t>C</w:t>
      </w:r>
      <w:r>
        <w:rPr/>
        <w:t>端能力展开全方位的合作。</w:t>
      </w:r>
    </w:p>
    <w:p>
      <w:pPr>
        <w:pStyle w:val="BodyText"/>
        <w:spacing w:line="230" w:lineRule="auto" w:before="143"/>
        <w:ind w:right="1131" w:firstLine="360"/>
        <w:jc w:val="both"/>
      </w:pPr>
      <w:r>
        <w:rPr/>
        <w:t>在智慧住房业务方面，公司继续以住建大数据为基础，以住建项目全生命周期管理为主线，形成统一的新一代云端</w:t>
      </w:r>
      <w:r>
        <w:rPr>
          <w:rFonts w:ascii="Times New Roman" w:hAnsi="Times New Roman" w:cs="Times New Roman" w:eastAsia="Times New Roman" w:hint="default"/>
        </w:rPr>
        <w:t>“</w:t>
      </w:r>
      <w:r>
        <w:rPr/>
        <w:t>智 慧住房</w:t>
      </w:r>
      <w:r>
        <w:rPr>
          <w:rFonts w:ascii="Times New Roman" w:hAnsi="Times New Roman" w:cs="Times New Roman" w:eastAsia="Times New Roman" w:hint="default"/>
        </w:rPr>
        <w:t>”</w:t>
      </w:r>
      <w:r>
        <w:rPr/>
        <w:t>综合信息平台，包括预售网签、大数据分析、租赁服务、物业服务与管理、行政监管、信息公开等业务功能；在智</w:t>
      </w:r>
      <w:r>
        <w:rPr>
          <w:spacing w:val="-76"/>
        </w:rPr>
        <w:t> </w:t>
      </w:r>
      <w:r>
        <w:rPr>
          <w:spacing w:val="-76"/>
        </w:rPr>
      </w:r>
      <w:r>
        <w:rPr>
          <w:spacing w:val="-2"/>
        </w:rPr>
        <w:t>慧租赁业务方面，公司在现有产品基础上升级微服务架构，并结合全国数百个城市公租房系统需求及住建部新颁布的公租房</w:t>
      </w:r>
      <w:r>
        <w:rPr>
          <w:spacing w:val="-64"/>
        </w:rPr>
        <w:t> </w:t>
      </w:r>
      <w:r>
        <w:rPr>
          <w:spacing w:val="-64"/>
        </w:rPr>
      </w:r>
      <w:r>
        <w:rPr>
          <w:spacing w:val="-2"/>
        </w:rPr>
        <w:t>数据标准，为老客户进行系统升级改造，并在多个新客户中完成推广落地；在智慧社区业务方面，公司与腾讯联合打造基于</w:t>
      </w:r>
      <w:r>
        <w:rPr>
          <w:spacing w:val="-65"/>
        </w:rPr>
        <w:t> </w:t>
      </w:r>
      <w:r>
        <w:rPr>
          <w:spacing w:val="-65"/>
        </w:rPr>
      </w:r>
      <w:r>
        <w:rPr>
          <w:spacing w:val="-2"/>
        </w:rPr>
        <w:t>腾讯海纳的智慧社区解决方案，目前已在太原智慧社区项目中落地。该项目通过配合公安部门</w:t>
      </w:r>
      <w:r>
        <w:rPr>
          <w:rFonts w:ascii="Times New Roman" w:hAnsi="Times New Roman" w:cs="Times New Roman" w:eastAsia="Times New Roman" w:hint="default"/>
          <w:spacing w:val="-2"/>
        </w:rPr>
        <w:t>“</w:t>
      </w:r>
      <w:r>
        <w:rPr>
          <w:spacing w:val="-2"/>
        </w:rPr>
        <w:t>一标三实</w:t>
      </w:r>
      <w:r>
        <w:rPr>
          <w:rFonts w:ascii="Times New Roman" w:hAnsi="Times New Roman" w:cs="Times New Roman" w:eastAsia="Times New Roman" w:hint="default"/>
          <w:spacing w:val="-2"/>
        </w:rPr>
        <w:t>”</w:t>
      </w:r>
      <w:r>
        <w:rPr>
          <w:spacing w:val="-2"/>
        </w:rPr>
        <w:t>信息采集和管控工</w:t>
      </w:r>
      <w:r>
        <w:rPr>
          <w:spacing w:val="-44"/>
        </w:rPr>
        <w:t> </w:t>
      </w:r>
      <w:r>
        <w:rPr>
          <w:spacing w:val="-44"/>
        </w:rPr>
      </w:r>
      <w:r>
        <w:rPr>
          <w:spacing w:val="-1"/>
        </w:rPr>
        <w:t>作，对辖区内</w:t>
      </w:r>
      <w:r>
        <w:rPr>
          <w:rFonts w:ascii="Times New Roman" w:hAnsi="Times New Roman" w:cs="Times New Roman" w:eastAsia="Times New Roman" w:hint="default"/>
          <w:spacing w:val="-1"/>
        </w:rPr>
        <w:t>200</w:t>
      </w:r>
      <w:r>
        <w:rPr>
          <w:spacing w:val="-1"/>
        </w:rPr>
        <w:t>多个小区进行智能化升级，采用物联网</w:t>
      </w:r>
      <w:r>
        <w:rPr>
          <w:rFonts w:ascii="Times New Roman" w:hAnsi="Times New Roman" w:cs="Times New Roman" w:eastAsia="Times New Roman" w:hint="default"/>
          <w:spacing w:val="-1"/>
        </w:rPr>
        <w:t>+AI</w:t>
      </w:r>
      <w:r>
        <w:rPr>
          <w:spacing w:val="-1"/>
        </w:rPr>
        <w:t>中平</w:t>
      </w:r>
      <w:r>
        <w:rPr>
          <w:rFonts w:ascii="Times New Roman" w:hAnsi="Times New Roman" w:cs="Times New Roman" w:eastAsia="Times New Roman" w:hint="default"/>
          <w:spacing w:val="-1"/>
        </w:rPr>
        <w:t>+</w:t>
      </w:r>
      <w:r>
        <w:rPr>
          <w:spacing w:val="-1"/>
        </w:rPr>
        <w:t>腾讯云架构，建立市、区、派出所、小区四级联动的管理</w:t>
      </w:r>
      <w:r>
        <w:rPr>
          <w:spacing w:val="-63"/>
        </w:rPr>
        <w:t> </w:t>
      </w:r>
      <w:r>
        <w:rPr>
          <w:spacing w:val="-63"/>
        </w:rPr>
      </w:r>
      <w:r>
        <w:rPr>
          <w:spacing w:val="-2"/>
        </w:rPr>
        <w:t>体系。另外，公司与腾讯在智慧园区和城管执法领域合作承接多个项目，在进一步升级了公司大住建领域系列产品、完善了</w:t>
      </w:r>
      <w:r>
        <w:rPr>
          <w:spacing w:val="-65"/>
        </w:rPr>
        <w:t> </w:t>
      </w:r>
      <w:r>
        <w:rPr>
          <w:spacing w:val="-65"/>
        </w:rPr>
      </w:r>
      <w:r>
        <w:rPr/>
        <w:t>大住建解决方案的同时，更是为智慧城市板块贡献了新的业绩增长点。</w:t>
      </w:r>
    </w:p>
    <w:p>
      <w:pPr>
        <w:pStyle w:val="BodyText"/>
        <w:spacing w:line="235" w:lineRule="auto" w:before="161"/>
        <w:ind w:right="1130" w:firstLine="360"/>
        <w:jc w:val="both"/>
      </w:pPr>
      <w:r>
        <w:rPr>
          <w:spacing w:val="-2"/>
        </w:rPr>
        <w:t>此外，</w:t>
      </w:r>
      <w:r>
        <w:rPr>
          <w:rFonts w:ascii="Times New Roman" w:hAnsi="Times New Roman" w:cs="Times New Roman" w:eastAsia="Times New Roman" w:hint="default"/>
          <w:spacing w:val="-2"/>
        </w:rPr>
        <w:t>2019</w:t>
      </w:r>
      <w:r>
        <w:rPr>
          <w:spacing w:val="-2"/>
        </w:rPr>
        <w:t>年公司在建筑智能化及云中心建设领域持续发力，先后承建宽城满族自治县看守所、拘留所安防智能化工程</w:t>
      </w:r>
      <w:r>
        <w:rPr/>
        <w:t> </w:t>
      </w:r>
      <w:r>
        <w:rPr>
          <w:spacing w:val="-2"/>
        </w:rPr>
        <w:t>施工项目、中视卫星电视节目有限责任公司机房设备采购及安装项目、承德银行同城灾备中心新址工程项目、河南滑县人民</w:t>
      </w:r>
      <w:r>
        <w:rPr>
          <w:spacing w:val="-62"/>
        </w:rPr>
        <w:t> </w:t>
      </w:r>
      <w:r>
        <w:rPr>
          <w:spacing w:val="-62"/>
        </w:rPr>
      </w:r>
      <w:r>
        <w:rPr>
          <w:spacing w:val="-2"/>
        </w:rPr>
        <w:t>医院机房建设项目、全国安全生产监管信息化工程设备采购安装服务项目、乌兰察布苹果数据中心桥架安装等项目。而公司</w:t>
      </w:r>
      <w:r>
        <w:rPr>
          <w:spacing w:val="-63"/>
        </w:rPr>
        <w:t> </w:t>
      </w:r>
      <w:r>
        <w:rPr>
          <w:spacing w:val="-63"/>
        </w:rPr>
      </w:r>
      <w:r>
        <w:rPr>
          <w:spacing w:val="-2"/>
        </w:rPr>
        <w:t>全资子公司北京东华合创科技有限公司装饰装修专业承包资质和机电安装专业承包资质的取得，也进一步扩展了公司在建筑</w:t>
      </w:r>
      <w:r>
        <w:rPr>
          <w:spacing w:val="-64"/>
        </w:rPr>
        <w:t> </w:t>
      </w:r>
      <w:r>
        <w:rPr>
          <w:spacing w:val="-64"/>
        </w:rPr>
      </w:r>
      <w:r>
        <w:rPr/>
        <w:t>领域承接项目的广度和深度，对公司整体业绩的提升起到非常积极的作用。</w:t>
      </w:r>
    </w:p>
    <w:p>
      <w:pPr>
        <w:spacing w:line="370" w:lineRule="atLeast" w:before="33"/>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）智慧产业之智慧水利、智慧物流领域</w:t>
      </w:r>
      <w:r>
        <w:rPr>
          <w:rFonts w:ascii="宋体" w:hAnsi="宋体" w:cs="宋体" w:eastAsia="宋体" w:hint="default"/>
          <w:b/>
          <w:bCs/>
          <w:w w:val="99"/>
          <w:sz w:val="18"/>
          <w:szCs w:val="18"/>
        </w:rPr>
        <w:t> </w:t>
      </w:r>
      <w:r>
        <w:rPr>
          <w:rFonts w:ascii="宋体" w:hAnsi="宋体" w:cs="宋体" w:eastAsia="宋体" w:hint="default"/>
          <w:spacing w:val="-4"/>
          <w:sz w:val="18"/>
          <w:szCs w:val="18"/>
        </w:rPr>
        <w:t>在水利行业，公司继续保持与国家水利部、长江委、黄河委、淮河委、珠江委、松辽委、内蒙、山西、广东水利厅等部，</w:t>
      </w:r>
    </w:p>
    <w:p>
      <w:pPr>
        <w:pStyle w:val="BodyText"/>
        <w:spacing w:line="232" w:lineRule="exact" w:before="24"/>
        <w:ind w:right="986"/>
        <w:jc w:val="left"/>
      </w:pPr>
      <w:r>
        <w:rPr>
          <w:spacing w:val="-2"/>
        </w:rPr>
        <w:t>流域，省级用户的紧密合作，承建了水利监督、水资源、水利灌区、水资源管理信息平台、水利工程、系统集成等方面的信</w:t>
      </w:r>
      <w:r>
        <w:rPr>
          <w:spacing w:val="-73"/>
        </w:rPr>
        <w:t> </w:t>
      </w:r>
      <w:r>
        <w:rPr>
          <w:spacing w:val="-73"/>
        </w:rPr>
      </w:r>
      <w:r>
        <w:rPr>
          <w:spacing w:val="-4"/>
        </w:rPr>
        <w:t>息化项目。公司与水利部签署了水利信息化十四五规划编制合同，在完成水利部国家地下水总集成和业务软件开发的基础上，</w:t>
      </w:r>
      <w:r>
        <w:rPr>
          <w:spacing w:val="-44"/>
        </w:rPr>
        <w:t> </w:t>
      </w:r>
      <w:r>
        <w:rPr>
          <w:spacing w:val="-44"/>
        </w:rPr>
      </w:r>
      <w:r>
        <w:rPr/>
        <w:t>成功实施了全国地下水运维管理</w:t>
      </w:r>
      <w:r>
        <w:rPr>
          <w:rFonts w:ascii="Times New Roman" w:hAnsi="Times New Roman" w:cs="Times New Roman" w:eastAsia="Times New Roman" w:hint="default"/>
        </w:rPr>
        <w:t>APP</w:t>
      </w:r>
      <w:r>
        <w:rPr/>
        <w:t>应用开发项目，顺利实施了长江委综合调度大数据项目。</w:t>
      </w:r>
    </w:p>
    <w:p>
      <w:pPr>
        <w:pStyle w:val="BodyText"/>
        <w:spacing w:line="228" w:lineRule="auto" w:before="142"/>
        <w:ind w:right="986" w:firstLine="360"/>
        <w:jc w:val="left"/>
      </w:pPr>
      <w:r>
        <w:rPr>
          <w:rFonts w:ascii="Times New Roman" w:hAnsi="Times New Roman" w:cs="Times New Roman" w:eastAsia="Times New Roman" w:hint="default"/>
          <w:spacing w:val="-2"/>
        </w:rPr>
        <w:t>2019</w:t>
      </w:r>
      <w:r>
        <w:rPr>
          <w:spacing w:val="-2"/>
        </w:rPr>
        <w:t>年，继续坚定聚焦目标市场：第三方物流、企业物流、行业物流信息化，制定不同的销售策略，服务不同的客户群</w:t>
      </w:r>
      <w:r>
        <w:rPr/>
        <w:t> </w:t>
      </w:r>
      <w:r>
        <w:rPr>
          <w:spacing w:val="-2"/>
        </w:rPr>
        <w:t>体，中小型物流客户采用云服务形式，大型客户采用定制开发。继续完善自有产品四款产品（</w:t>
      </w:r>
      <w:r>
        <w:rPr>
          <w:rFonts w:ascii="Times New Roman" w:hAnsi="Times New Roman" w:cs="Times New Roman" w:eastAsia="Times New Roman" w:hint="default"/>
          <w:spacing w:val="-2"/>
        </w:rPr>
        <w:t>oms</w:t>
      </w:r>
      <w:r>
        <w:rPr>
          <w:spacing w:val="-2"/>
        </w:rPr>
        <w:t>订单系统、</w:t>
      </w:r>
      <w:r>
        <w:rPr>
          <w:rFonts w:ascii="Times New Roman" w:hAnsi="Times New Roman" w:cs="Times New Roman" w:eastAsia="Times New Roman" w:hint="default"/>
          <w:spacing w:val="-2"/>
        </w:rPr>
        <w:t>wms</w:t>
      </w:r>
      <w:r>
        <w:rPr>
          <w:spacing w:val="-2"/>
        </w:rPr>
        <w:t>仓储系统、</w:t>
      </w:r>
      <w:r>
        <w:rPr>
          <w:spacing w:val="-77"/>
        </w:rPr>
        <w:t> </w:t>
      </w:r>
      <w:r>
        <w:rPr>
          <w:spacing w:val="-77"/>
        </w:rPr>
      </w:r>
      <w:r>
        <w:rPr>
          <w:rFonts w:ascii="Times New Roman" w:hAnsi="Times New Roman" w:cs="Times New Roman" w:eastAsia="Times New Roman" w:hint="default"/>
        </w:rPr>
        <w:t>tms</w:t>
      </w:r>
      <w:r>
        <w:rPr/>
        <w:t>运输系统、</w:t>
      </w:r>
      <w:r>
        <w:rPr>
          <w:rFonts w:ascii="Times New Roman" w:hAnsi="Times New Roman" w:cs="Times New Roman" w:eastAsia="Times New Roman" w:hint="default"/>
        </w:rPr>
        <w:t>bms</w:t>
      </w:r>
      <w:r>
        <w:rPr/>
        <w:t>结算系统）的升级迭代。基于行业的理解及部门价值的积累，有针对性的开展市场推广活动，逐步建立</w:t>
      </w:r>
      <w:r>
        <w:rPr>
          <w:spacing w:val="-29"/>
        </w:rPr>
        <w:t> </w:t>
      </w:r>
      <w:r>
        <w:rPr>
          <w:spacing w:val="-29"/>
        </w:rPr>
      </w:r>
      <w:r>
        <w:rPr>
          <w:spacing w:val="-2"/>
        </w:rPr>
        <w:t>品牌的知名度，建立行业影响力。通过多种推广形式的结合，线上和线下结合，行业及厂商资源的结合等，多维度的挖掘机</w:t>
      </w:r>
      <w:r>
        <w:rPr>
          <w:spacing w:val="-67"/>
        </w:rPr>
        <w:t> </w:t>
      </w:r>
      <w:r>
        <w:rPr>
          <w:spacing w:val="-67"/>
        </w:rPr>
      </w:r>
      <w:r>
        <w:rPr/>
        <w:t>会。在团队架构建设及队伍建立中持续发力。构建华东销售团队，扩大完善华东技术支持团队。在未来的</w:t>
      </w:r>
      <w:r>
        <w:rPr>
          <w:rFonts w:ascii="Times New Roman" w:hAnsi="Times New Roman" w:cs="Times New Roman" w:eastAsia="Times New Roman" w:hint="default"/>
        </w:rPr>
        <w:t>2</w:t>
      </w:r>
      <w:r>
        <w:rPr/>
        <w:t>年中，建立成辐</w:t>
      </w:r>
      <w:r>
        <w:rPr>
          <w:spacing w:val="-82"/>
        </w:rPr>
        <w:t> </w:t>
      </w:r>
      <w:r>
        <w:rPr/>
        <w:t>射全国主要市场的技术及销售团队。</w:t>
      </w:r>
      <w:r>
        <w:rPr>
          <w:rFonts w:ascii="Times New Roman" w:hAnsi="Times New Roman" w:cs="Times New Roman" w:eastAsia="Times New Roman" w:hint="default"/>
        </w:rPr>
        <w:t>2019</w:t>
      </w:r>
      <w:r>
        <w:rPr/>
        <w:t>年要完成销售团队和技术团队协调同步发展，为部门持续发展奠定良好的基础。</w:t>
      </w:r>
    </w:p>
    <w:p>
      <w:pPr>
        <w:spacing w:line="390" w:lineRule="atLeast" w:before="0"/>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）智慧产业之物联网、工业互联网及通讯领域</w:t>
      </w:r>
      <w:r>
        <w:rPr>
          <w:rFonts w:ascii="宋体" w:hAnsi="宋体" w:cs="宋体" w:eastAsia="宋体" w:hint="default"/>
          <w:b/>
          <w:bCs/>
          <w:w w:val="99"/>
          <w:sz w:val="18"/>
          <w:szCs w:val="18"/>
        </w:rPr>
        <w:t> </w:t>
      </w:r>
      <w:r>
        <w:rPr>
          <w:rFonts w:ascii="宋体" w:hAnsi="宋体" w:cs="宋体" w:eastAsia="宋体" w:hint="default"/>
          <w:sz w:val="18"/>
          <w:szCs w:val="18"/>
        </w:rPr>
        <w:t>在物联网和工业互联网领域，东华工业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研究院继续依托国家在工业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、工业互联网和中国制造</w:t>
      </w:r>
      <w:r>
        <w:rPr>
          <w:rFonts w:ascii="Times New Roman" w:hAnsi="Times New Roman" w:cs="Times New Roman" w:eastAsia="Times New Roman" w:hint="default"/>
          <w:sz w:val="18"/>
          <w:szCs w:val="18"/>
        </w:rPr>
        <w:t>2025</w:t>
      </w:r>
      <w:r>
        <w:rPr>
          <w:rFonts w:ascii="宋体" w:hAnsi="宋体" w:cs="宋体" w:eastAsia="宋体" w:hint="default"/>
          <w:sz w:val="18"/>
          <w:szCs w:val="18"/>
        </w:rPr>
        <w:t>的政策支持，采</w:t>
      </w:r>
    </w:p>
    <w:p>
      <w:pPr>
        <w:pStyle w:val="BodyText"/>
        <w:spacing w:line="236" w:lineRule="exact" w:before="5"/>
        <w:ind w:right="986"/>
        <w:jc w:val="left"/>
      </w:pPr>
      <w:r>
        <w:rPr/>
        <w:t>用物联网、工业云计算、工业大数据、工业</w:t>
      </w:r>
      <w:r>
        <w:rPr>
          <w:rFonts w:ascii="Times New Roman" w:hAnsi="Times New Roman" w:cs="Times New Roman" w:eastAsia="Times New Roman" w:hint="default"/>
        </w:rPr>
        <w:t>SCADA</w:t>
      </w:r>
      <w:r>
        <w:rPr/>
        <w:t>、边缘计算、数字孪生、人工智能</w:t>
      </w:r>
      <w:r>
        <w:rPr>
          <w:rFonts w:ascii="Times New Roman" w:hAnsi="Times New Roman" w:cs="Times New Roman" w:eastAsia="Times New Roman" w:hint="default"/>
        </w:rPr>
        <w:t>AI</w:t>
      </w:r>
      <w:r>
        <w:rPr/>
        <w:t>、</w:t>
      </w:r>
      <w:r>
        <w:rPr>
          <w:rFonts w:ascii="Times New Roman" w:hAnsi="Times New Roman" w:cs="Times New Roman" w:eastAsia="Times New Roman" w:hint="default"/>
        </w:rPr>
        <w:t>BIM</w:t>
      </w:r>
      <w:r>
        <w:rPr/>
        <w:t>、</w:t>
      </w:r>
      <w:r>
        <w:rPr>
          <w:rFonts w:ascii="Times New Roman" w:hAnsi="Times New Roman" w:cs="Times New Roman" w:eastAsia="Times New Roman" w:hint="default"/>
        </w:rPr>
        <w:t>GIS</w:t>
      </w:r>
      <w:r>
        <w:rPr/>
        <w:t>、</w:t>
      </w:r>
      <w:r>
        <w:rPr>
          <w:rFonts w:ascii="Times New Roman" w:hAnsi="Times New Roman" w:cs="Times New Roman" w:eastAsia="Times New Roman" w:hint="default"/>
        </w:rPr>
        <w:t>VR</w:t>
      </w:r>
      <w:r>
        <w:rPr/>
        <w:t>虚拟现实等高新</w:t>
      </w:r>
      <w:r>
        <w:rPr>
          <w:spacing w:val="-63"/>
        </w:rPr>
        <w:t> </w:t>
      </w:r>
      <w:r>
        <w:rPr>
          <w:spacing w:val="-63"/>
        </w:rPr>
      </w:r>
      <w:r>
        <w:rPr/>
        <w:t>尖端技术，并中标工信部基于工业互联网平台的智能工业设备上云解决方案项目。</w:t>
      </w:r>
    </w:p>
    <w:p>
      <w:pPr>
        <w:pStyle w:val="BodyText"/>
        <w:spacing w:line="232" w:lineRule="auto" w:before="137"/>
        <w:ind w:right="986" w:firstLine="360"/>
        <w:jc w:val="left"/>
      </w:pPr>
      <w:r>
        <w:rPr>
          <w:spacing w:val="-2"/>
        </w:rPr>
        <w:t>助力山西移动、山西联通等用户业务转型，紧随用户改革步伐，积极推进产品国产化，成功中标全闪存阵列</w:t>
      </w:r>
      <w:r>
        <w:rPr>
          <w:rFonts w:ascii="Times New Roman" w:hAnsi="Times New Roman" w:cs="Times New Roman" w:eastAsia="Times New Roman" w:hint="default"/>
          <w:spacing w:val="-2"/>
        </w:rPr>
        <w:t>430</w:t>
      </w:r>
      <w:r>
        <w:rPr>
          <w:spacing w:val="-2"/>
        </w:rPr>
        <w:t>万项目，</w:t>
      </w:r>
      <w:r>
        <w:rPr/>
        <w:t> </w:t>
      </w:r>
      <w:r>
        <w:rPr>
          <w:spacing w:val="-2"/>
        </w:rPr>
        <w:t>力争一季度企业级数据库资源池二期项目落单。努力巩固签约的项目并不断扩张，拓展安全领域新需求，为用户应用系统的</w:t>
      </w:r>
      <w:r>
        <w:rPr>
          <w:spacing w:val="-61"/>
        </w:rPr>
        <w:t> </w:t>
      </w:r>
      <w:r>
        <w:rPr>
          <w:spacing w:val="-61"/>
        </w:rPr>
      </w:r>
      <w:r>
        <w:rPr/>
        <w:t>安全保驾护航。依据用户业务转型需求，促进国产化步伐，核心业务平稳过度到数据库一体机，提高</w:t>
      </w:r>
      <w:r>
        <w:rPr>
          <w:rFonts w:ascii="Times New Roman" w:hAnsi="Times New Roman" w:cs="Times New Roman" w:eastAsia="Times New Roman" w:hint="default"/>
        </w:rPr>
        <w:t>30%</w:t>
      </w:r>
      <w:r>
        <w:rPr/>
        <w:t>的数量处理能力。</w:t>
      </w:r>
    </w:p>
    <w:p>
      <w:pPr>
        <w:pStyle w:val="BodyText"/>
        <w:spacing w:line="370" w:lineRule="atLeast" w:before="20"/>
        <w:ind w:left="513" w:right="986"/>
        <w:jc w:val="left"/>
      </w:pPr>
      <w:r>
        <w:rPr>
          <w:rFonts w:ascii="Times New Roman" w:hAnsi="Times New Roman" w:cs="Times New Roman" w:eastAsia="Times New Roman" w:hint="default"/>
          <w:b/>
          <w:bCs/>
        </w:rPr>
        <w:t>4</w:t>
      </w:r>
      <w:r>
        <w:rPr>
          <w:rFonts w:ascii="宋体" w:hAnsi="宋体" w:cs="宋体" w:eastAsia="宋体" w:hint="default"/>
          <w:b/>
          <w:bCs/>
        </w:rPr>
        <w:t>、能源行业</w:t>
      </w:r>
      <w:r>
        <w:rPr>
          <w:rFonts w:ascii="宋体" w:hAnsi="宋体" w:cs="宋体" w:eastAsia="宋体" w:hint="default"/>
          <w:b/>
          <w:bCs/>
          <w:w w:val="99"/>
        </w:rPr>
        <w:t> </w:t>
      </w:r>
      <w:r>
        <w:rPr>
          <w:spacing w:val="-2"/>
        </w:rPr>
        <w:t>在电力能源领域，公司在保证传统市场优势领先的前提下，继续在工业互联网平台、电力营销领域等新兴领域的布局及</w:t>
      </w:r>
    </w:p>
    <w:p>
      <w:pPr>
        <w:pStyle w:val="BodyText"/>
        <w:spacing w:line="230" w:lineRule="auto" w:before="6"/>
        <w:ind w:right="1130"/>
        <w:jc w:val="both"/>
      </w:pPr>
      <w:r>
        <w:rPr>
          <w:spacing w:val="-2"/>
        </w:rPr>
        <w:t>投入。报告期内，在深度挖掘老客户新需求、适应市场变化同时，公司积极拓展新的客户。先后中标：国家电投集团总部大</w:t>
      </w:r>
      <w:r>
        <w:rPr>
          <w:spacing w:val="-68"/>
        </w:rPr>
        <w:t> </w:t>
      </w:r>
      <w:r>
        <w:rPr>
          <w:spacing w:val="-68"/>
        </w:rPr>
      </w:r>
      <w:r>
        <w:rPr>
          <w:spacing w:val="-2"/>
        </w:rPr>
        <w:t>数据资源平台一期建设项目；三峡集团总部大数据平台一期建设项目；华能集团容灾系统企业云软件项目（发电领域首个基</w:t>
      </w:r>
      <w:r>
        <w:rPr>
          <w:spacing w:val="-63"/>
        </w:rPr>
        <w:t> </w:t>
      </w:r>
      <w:r>
        <w:rPr>
          <w:spacing w:val="-63"/>
        </w:rPr>
      </w:r>
      <w:r>
        <w:rPr>
          <w:spacing w:val="-2"/>
        </w:rPr>
        <w:t>于华为混合云架构）、五凌电力基于工业互联网大数据的水电生产数据标准建设及主设备绝缘健康评估（工信部</w:t>
      </w:r>
      <w:r>
        <w:rPr>
          <w:rFonts w:ascii="Times New Roman" w:hAnsi="Times New Roman" w:cs="Times New Roman" w:eastAsia="Times New Roman" w:hint="default"/>
          <w:spacing w:val="-2"/>
        </w:rPr>
        <w:t>2020</w:t>
      </w:r>
      <w:r>
        <w:rPr>
          <w:spacing w:val="-2"/>
        </w:rPr>
        <w:t>年大数</w:t>
      </w:r>
      <w:r>
        <w:rPr>
          <w:spacing w:val="-62"/>
        </w:rPr>
        <w:t> </w:t>
      </w:r>
      <w:r>
        <w:rPr>
          <w:spacing w:val="-62"/>
        </w:rPr>
      </w:r>
      <w:r>
        <w:rPr/>
        <w:t>据产业发展试点示范项目）；国电投江西基于</w:t>
      </w:r>
      <w:r>
        <w:rPr>
          <w:rFonts w:ascii="Times New Roman" w:hAnsi="Times New Roman" w:cs="Times New Roman" w:eastAsia="Times New Roman" w:hint="default"/>
        </w:rPr>
        <w:t>5G</w:t>
      </w:r>
      <w:r>
        <w:rPr/>
        <w:t>的一体化运维平台项目（被评为能源数字化示范工程）、大唐重庆分公司</w:t>
      </w:r>
      <w:r>
        <w:rPr>
          <w:spacing w:val="-41"/>
        </w:rPr>
        <w:t> </w:t>
      </w:r>
      <w:r>
        <w:rPr>
          <w:spacing w:val="-41"/>
        </w:rPr>
      </w:r>
      <w:r>
        <w:rPr/>
        <w:t>大数据及生产辅助决策支持系统建设</w:t>
      </w:r>
      <w:r>
        <w:rPr>
          <w:rFonts w:ascii="Times New Roman" w:hAnsi="Times New Roman" w:cs="Times New Roman" w:eastAsia="Times New Roman" w:hint="default"/>
        </w:rPr>
        <w:t>(</w:t>
      </w:r>
      <w:r>
        <w:rPr/>
        <w:t>二期）；华电潍坊发电入场入炉煤质数据库系统开发；大唐山西能源售电管理系统建</w:t>
      </w:r>
      <w:r>
        <w:rPr>
          <w:spacing w:val="-58"/>
        </w:rPr>
        <w:t> </w:t>
      </w:r>
      <w:r>
        <w:rPr>
          <w:spacing w:val="-58"/>
        </w:rPr>
      </w:r>
      <w:r>
        <w:rPr>
          <w:spacing w:val="-2"/>
        </w:rPr>
        <w:t>设；雅砻江水电</w:t>
      </w:r>
      <w:r>
        <w:rPr>
          <w:rFonts w:ascii="Times New Roman" w:hAnsi="Times New Roman" w:cs="Times New Roman" w:eastAsia="Times New Roman" w:hint="default"/>
          <w:spacing w:val="-2"/>
        </w:rPr>
        <w:t>19</w:t>
      </w:r>
      <w:r>
        <w:rPr>
          <w:spacing w:val="-2"/>
        </w:rPr>
        <w:t>年信息化基础设施扩容；国电宿迁智能火电示范应用皮革撕裂报警系统；上海城投水务大数据可视化展示</w:t>
      </w:r>
      <w:r>
        <w:rPr>
          <w:spacing w:val="-62"/>
        </w:rPr>
        <w:t> </w:t>
      </w:r>
      <w:r>
        <w:rPr>
          <w:spacing w:val="-62"/>
        </w:rPr>
      </w:r>
      <w:r>
        <w:rPr/>
        <w:t>等一系列具有创新的项目，为公司深耕电力行业、横向扩展业务打好基础。</w:t>
      </w:r>
    </w:p>
    <w:p>
      <w:pPr>
        <w:spacing w:line="240" w:lineRule="auto" w:before="6"/>
        <w:rPr>
          <w:rFonts w:ascii="宋体" w:hAnsi="宋体" w:cs="宋体" w:eastAsia="宋体" w:hint="default"/>
          <w:sz w:val="12"/>
          <w:szCs w:val="12"/>
        </w:rPr>
      </w:pPr>
    </w:p>
    <w:p>
      <w:pPr>
        <w:pStyle w:val="BodyText"/>
        <w:spacing w:line="230" w:lineRule="auto"/>
        <w:ind w:right="1131" w:firstLine="360"/>
        <w:jc w:val="both"/>
      </w:pPr>
      <w:r>
        <w:rPr>
          <w:spacing w:val="-1"/>
        </w:rPr>
        <w:t>此外，公司致力于应用产品</w:t>
      </w:r>
      <w:r>
        <w:rPr>
          <w:rFonts w:ascii="Times New Roman" w:hAnsi="Times New Roman" w:cs="Times New Roman" w:eastAsia="Times New Roman" w:hint="default"/>
          <w:spacing w:val="-1"/>
        </w:rPr>
        <w:t>SAAS</w:t>
      </w:r>
      <w:r>
        <w:rPr>
          <w:spacing w:val="-1"/>
        </w:rPr>
        <w:t>化，由原来的产品销售模式积极向</w:t>
      </w:r>
      <w:r>
        <w:rPr>
          <w:rFonts w:ascii="Times New Roman" w:hAnsi="Times New Roman" w:cs="Times New Roman" w:eastAsia="Times New Roman" w:hint="default"/>
          <w:spacing w:val="-1"/>
        </w:rPr>
        <w:t>SAAS</w:t>
      </w:r>
      <w:r>
        <w:rPr>
          <w:spacing w:val="-1"/>
        </w:rPr>
        <w:t>服务模式探索及转变，应用产品</w:t>
      </w:r>
      <w:r>
        <w:rPr>
          <w:rFonts w:ascii="Times New Roman" w:hAnsi="Times New Roman" w:cs="Times New Roman" w:eastAsia="Times New Roman" w:hint="default"/>
          <w:spacing w:val="-1"/>
        </w:rPr>
        <w:t>SAAS</w:t>
      </w:r>
      <w:r>
        <w:rPr>
          <w:spacing w:val="-1"/>
        </w:rPr>
        <w:t>化深入</w:t>
      </w:r>
      <w:r>
        <w:rPr/>
        <w:t> 融合了公司在电力设备、管理、营销领域积累的专业知识，从理念、技术、方法及服务模式上把基于私有环境部署的应用</w:t>
      </w:r>
      <w:r>
        <w:rPr>
          <w:spacing w:val="-11"/>
        </w:rPr>
        <w:t> </w:t>
      </w:r>
      <w:r>
        <w:rPr>
          <w:spacing w:val="-11"/>
        </w:rPr>
      </w:r>
      <w:r>
        <w:rPr>
          <w:rFonts w:ascii="Times New Roman" w:hAnsi="Times New Roman" w:cs="Times New Roman" w:eastAsia="Times New Roman" w:hint="default"/>
        </w:rPr>
        <w:t>SAAS</w:t>
      </w:r>
      <w:r>
        <w:rPr/>
        <w:t>化，降低用户成本、提升用户体验。报告期内，公司先后完成分布式光伏的系列</w:t>
      </w:r>
      <w:r>
        <w:rPr>
          <w:rFonts w:ascii="Times New Roman" w:hAnsi="Times New Roman" w:cs="Times New Roman" w:eastAsia="Times New Roman" w:hint="default"/>
        </w:rPr>
        <w:t>SAAS</w:t>
      </w:r>
      <w:r>
        <w:rPr/>
        <w:t>产品、针对小型热力公司的系</w:t>
      </w:r>
      <w:r>
        <w:rPr>
          <w:spacing w:val="-20"/>
        </w:rPr>
        <w:t> </w:t>
      </w:r>
      <w:r>
        <w:rPr>
          <w:spacing w:val="-20"/>
        </w:rPr>
      </w:r>
      <w:r>
        <w:rPr/>
        <w:t>列</w:t>
      </w:r>
      <w:r>
        <w:rPr>
          <w:rFonts w:ascii="Times New Roman" w:hAnsi="Times New Roman" w:cs="Times New Roman" w:eastAsia="Times New Roman" w:hint="default"/>
        </w:rPr>
        <w:t>SAAS</w:t>
      </w:r>
      <w:r>
        <w:rPr/>
        <w:t>产品、针对配电运维的系列</w:t>
      </w:r>
      <w:r>
        <w:rPr>
          <w:rFonts w:ascii="Times New Roman" w:hAnsi="Times New Roman" w:cs="Times New Roman" w:eastAsia="Times New Roman" w:hint="default"/>
        </w:rPr>
        <w:t>SAAS</w:t>
      </w:r>
      <w:r>
        <w:rPr/>
        <w:t>产品，并在用户中推广应用。</w:t>
      </w:r>
    </w:p>
    <w:p>
      <w:pPr>
        <w:pStyle w:val="Heading5"/>
        <w:spacing w:line="240" w:lineRule="auto" w:before="141"/>
        <w:ind w:right="986"/>
        <w:jc w:val="left"/>
        <w:rPr>
          <w:b w:val="0"/>
          <w:bCs w:val="0"/>
        </w:rPr>
      </w:pPr>
      <w:r>
        <w:rPr/>
        <w:t>（二）软件产品开发及产品化情况</w:t>
      </w:r>
      <w:r>
        <w:rPr>
          <w:b w:val="0"/>
          <w:bCs w:val="0"/>
        </w:rPr>
      </w:r>
    </w:p>
    <w:p>
      <w:pPr>
        <w:pStyle w:val="BodyText"/>
        <w:spacing w:line="370" w:lineRule="atLeast" w:before="33"/>
        <w:ind w:left="513" w:right="986"/>
        <w:jc w:val="left"/>
      </w:pPr>
      <w:r>
        <w:rPr>
          <w:rFonts w:ascii="Times New Roman" w:hAnsi="Times New Roman" w:cs="Times New Roman" w:eastAsia="Times New Roman" w:hint="default"/>
          <w:b/>
          <w:bCs/>
        </w:rPr>
        <w:t>1</w:t>
      </w:r>
      <w:r>
        <w:rPr>
          <w:rFonts w:ascii="宋体" w:hAnsi="宋体" w:cs="宋体" w:eastAsia="宋体" w:hint="default"/>
          <w:b/>
          <w:bCs/>
        </w:rPr>
        <w:t>、医疗软件</w:t>
      </w:r>
      <w:r>
        <w:rPr>
          <w:rFonts w:ascii="宋体" w:hAnsi="宋体" w:cs="宋体" w:eastAsia="宋体" w:hint="default"/>
          <w:b/>
          <w:bCs/>
          <w:w w:val="99"/>
        </w:rPr>
        <w:t> </w:t>
      </w:r>
      <w:r>
        <w:rPr>
          <w:spacing w:val="-2"/>
        </w:rPr>
        <w:t>本报告期内，除了做好已签约项目的实施工作外，公司紧跟前沿技术，建立以创新业务为导向的研发体系，加大了新一</w:t>
      </w:r>
    </w:p>
    <w:p>
      <w:pPr>
        <w:pStyle w:val="BodyText"/>
        <w:spacing w:line="233" w:lineRule="exact"/>
        <w:ind w:right="986"/>
        <w:jc w:val="left"/>
      </w:pPr>
      <w:r>
        <w:rPr/>
        <w:t>代医疗信息技术研发投入。围绕客户价值创新的产品策略，深入挖掘和分析客户需求，坚持产品化设计和开发，做到核心产</w:t>
      </w:r>
    </w:p>
    <w:p>
      <w:pPr>
        <w:spacing w:after="0" w:line="233" w:lineRule="exact"/>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品固化封版、个性化应用柔性扩展，加快产品迭代速度，不断丰富产品形态，提高产品易交付易使用能力。</w:t>
      </w:r>
    </w:p>
    <w:p>
      <w:pPr>
        <w:pStyle w:val="BodyText"/>
        <w:spacing w:line="230" w:lineRule="auto" w:before="161"/>
        <w:ind w:right="986" w:firstLine="360"/>
        <w:jc w:val="left"/>
      </w:pPr>
      <w:r>
        <w:rPr>
          <w:spacing w:val="-2"/>
        </w:rPr>
        <w:t>本报告期内，公司打造了以提升产品质量为核心的产品研发标准化管理体系。不断优化开发技术平台，各产品成熟度大</w:t>
      </w:r>
      <w:r>
        <w:rPr/>
        <w:t> 大提高。同时，加大项目技术支持力度，提高需求完成的效率和质量。有效完成了</w:t>
      </w:r>
      <w:r>
        <w:rPr>
          <w:rFonts w:ascii="Times New Roman" w:hAnsi="Times New Roman" w:cs="Times New Roman" w:eastAsia="Times New Roman" w:hint="default"/>
        </w:rPr>
        <w:t>iMedical Cloud</w:t>
      </w:r>
      <w:r>
        <w:rPr/>
        <w:t>云平台及产品云化的改造</w:t>
      </w:r>
      <w:r>
        <w:rPr>
          <w:spacing w:val="-86"/>
        </w:rPr>
        <w:t> </w:t>
      </w:r>
      <w:r>
        <w:rPr>
          <w:spacing w:val="-86"/>
        </w:rPr>
      </w:r>
      <w:r>
        <w:rPr>
          <w:spacing w:val="-2"/>
        </w:rPr>
        <w:t>工作。加快了大数据平台、大数据分析应用等重点产品和解决方案的落地。在自然语言处理、语音识别、图像分析等人工智</w:t>
      </w:r>
      <w:r>
        <w:rPr>
          <w:spacing w:val="-66"/>
        </w:rPr>
        <w:t> </w:t>
      </w:r>
      <w:r>
        <w:rPr>
          <w:spacing w:val="-66"/>
        </w:rPr>
      </w:r>
      <w:r>
        <w:rPr>
          <w:spacing w:val="-2"/>
        </w:rPr>
        <w:t>能技术应用等方面也取得了一定突破。公司通过持续与北京协和医院、四川大学华西医院、解放军</w:t>
      </w:r>
      <w:r>
        <w:rPr>
          <w:rFonts w:ascii="Times New Roman" w:hAnsi="Times New Roman" w:cs="Times New Roman" w:eastAsia="Times New Roman" w:hint="default"/>
          <w:spacing w:val="-2"/>
        </w:rPr>
        <w:t>301</w:t>
      </w:r>
      <w:r>
        <w:rPr>
          <w:spacing w:val="-2"/>
        </w:rPr>
        <w:t>医院、北京安贞医院、</w:t>
      </w:r>
      <w:r>
        <w:rPr>
          <w:spacing w:val="-60"/>
        </w:rPr>
        <w:t> </w:t>
      </w:r>
      <w:r>
        <w:rPr>
          <w:spacing w:val="-60"/>
        </w:rPr>
      </w:r>
      <w:r>
        <w:rPr>
          <w:spacing w:val="-2"/>
        </w:rPr>
        <w:t>中国医学科学院肿瘤医院、青岛大学附属医院、南方医院等大型医院展开合作，研发或升级改造了大量新业务产品。主要包</w:t>
      </w:r>
      <w:r>
        <w:rPr>
          <w:spacing w:val="-65"/>
        </w:rPr>
        <w:t> </w:t>
      </w:r>
      <w:r>
        <w:rPr>
          <w:spacing w:val="-65"/>
        </w:rPr>
      </w:r>
      <w:r>
        <w:rPr/>
        <w:t>括：医院综合业务运营平台（</w:t>
      </w:r>
      <w:r>
        <w:rPr>
          <w:rFonts w:ascii="Times New Roman" w:hAnsi="Times New Roman" w:cs="Times New Roman" w:eastAsia="Times New Roman" w:hint="default"/>
        </w:rPr>
        <w:t>HCP</w:t>
      </w:r>
      <w:r>
        <w:rPr/>
        <w:t>）、</w:t>
      </w:r>
      <w:r>
        <w:rPr>
          <w:rFonts w:ascii="Times New Roman" w:hAnsi="Times New Roman" w:cs="Times New Roman" w:eastAsia="Times New Roman" w:hint="default"/>
        </w:rPr>
        <w:t>iMedical</w:t>
      </w:r>
      <w:r>
        <w:rPr>
          <w:rFonts w:ascii="Times New Roman" w:hAnsi="Times New Roman" w:cs="Times New Roman" w:eastAsia="Times New Roman" w:hint="default"/>
          <w:spacing w:val="30"/>
        </w:rPr>
        <w:t> </w:t>
      </w:r>
      <w:r>
        <w:rPr>
          <w:rFonts w:ascii="Times New Roman" w:hAnsi="Times New Roman" w:cs="Times New Roman" w:eastAsia="Times New Roman" w:hint="default"/>
        </w:rPr>
        <w:t>Cloud</w:t>
      </w:r>
      <w:r>
        <w:rPr/>
        <w:t>云平台、云</w:t>
      </w:r>
      <w:r>
        <w:rPr>
          <w:rFonts w:ascii="Times New Roman" w:hAnsi="Times New Roman" w:cs="Times New Roman" w:eastAsia="Times New Roman" w:hint="default"/>
        </w:rPr>
        <w:t>HIS</w:t>
      </w:r>
      <w:r>
        <w:rPr/>
        <w:t>统一门户、药品知识图谱</w:t>
      </w:r>
      <w:r>
        <w:rPr>
          <w:rFonts w:ascii="Times New Roman" w:hAnsi="Times New Roman" w:cs="Times New Roman" w:eastAsia="Times New Roman" w:hint="default"/>
        </w:rPr>
        <w:t>v1.0</w:t>
      </w:r>
      <w:r>
        <w:rPr/>
        <w:t>、结构化诊断系统</w:t>
      </w:r>
      <w:r>
        <w:rPr>
          <w:rFonts w:ascii="Times New Roman" w:hAnsi="Times New Roman" w:cs="Times New Roman" w:eastAsia="Times New Roman" w:hint="default"/>
        </w:rPr>
        <w:t>v1.0</w:t>
      </w:r>
      <w:r>
        <w:rPr/>
        <w:t>、</w:t>
      </w:r>
      <w:r>
        <w:rPr>
          <w:spacing w:val="-86"/>
        </w:rPr>
        <w:t> </w:t>
      </w:r>
      <w:r>
        <w:rPr/>
        <w:t>互联网医院</w:t>
      </w:r>
      <w:r>
        <w:rPr>
          <w:rFonts w:ascii="Times New Roman" w:hAnsi="Times New Roman" w:cs="Times New Roman" w:eastAsia="Times New Roman" w:hint="default"/>
        </w:rPr>
        <w:t>APP</w:t>
      </w:r>
      <w:r>
        <w:rPr/>
        <w:t>及小程序、医保智能审核系统、大数据管理平台、管理数据中心</w:t>
      </w:r>
      <w:r>
        <w:rPr>
          <w:rFonts w:ascii="Times New Roman" w:hAnsi="Times New Roman" w:cs="Times New Roman" w:eastAsia="Times New Roman" w:hint="default"/>
        </w:rPr>
        <w:t>(MDR)</w:t>
      </w:r>
      <w:r>
        <w:rPr/>
        <w:t>、基层医疗卫生管理系统、养老信息 </w:t>
      </w:r>
      <w:r>
        <w:rPr>
          <w:spacing w:val="-2"/>
        </w:rPr>
        <w:t>系统、单病种质控系统、</w:t>
      </w:r>
      <w:r>
        <w:rPr>
          <w:rFonts w:ascii="Times New Roman" w:hAnsi="Times New Roman" w:cs="Times New Roman" w:eastAsia="Times New Roman" w:hint="default"/>
          <w:spacing w:val="-2"/>
        </w:rPr>
        <w:t>VTE</w:t>
      </w:r>
      <w:r>
        <w:rPr>
          <w:spacing w:val="-2"/>
        </w:rPr>
        <w:t>（静脉血栓）风险评估系统、罕见病服务登记系统、慢阻肺管理系统、门诊诊断证明管理、护</w:t>
      </w:r>
      <w:r>
        <w:rPr>
          <w:spacing w:val="-58"/>
        </w:rPr>
        <w:t> </w:t>
      </w:r>
      <w:r>
        <w:rPr>
          <w:spacing w:val="-58"/>
        </w:rPr>
      </w:r>
      <w:r>
        <w:rPr/>
        <w:t>理病历</w:t>
      </w:r>
      <w:r>
        <w:rPr>
          <w:rFonts w:ascii="Times New Roman" w:hAnsi="Times New Roman" w:cs="Times New Roman" w:eastAsia="Times New Roman" w:hint="default"/>
        </w:rPr>
        <w:t>v2.0</w:t>
      </w:r>
      <w:r>
        <w:rPr/>
        <w:t>、智能护理系统</w:t>
      </w:r>
      <w:r>
        <w:rPr>
          <w:rFonts w:ascii="Times New Roman" w:hAnsi="Times New Roman" w:cs="Times New Roman" w:eastAsia="Times New Roman" w:hint="default"/>
        </w:rPr>
        <w:t>v1.0</w:t>
      </w:r>
      <w:r>
        <w:rPr/>
        <w:t>、孕产妇保健管理系统、多学科会诊管理系统</w:t>
      </w:r>
      <w:r>
        <w:rPr>
          <w:rFonts w:ascii="Times New Roman" w:hAnsi="Times New Roman" w:cs="Times New Roman" w:eastAsia="Times New Roman" w:hint="default"/>
        </w:rPr>
        <w:t>(MDT)</w:t>
      </w:r>
      <w:r>
        <w:rPr/>
        <w:t>、临床诊断管理平台、门诊静脉用药调</w:t>
      </w:r>
      <w:r>
        <w:rPr>
          <w:spacing w:val="-72"/>
        </w:rPr>
        <w:t> </w:t>
      </w:r>
      <w:r>
        <w:rPr>
          <w:spacing w:val="-72"/>
        </w:rPr>
      </w:r>
      <w:r>
        <w:rPr/>
        <w:t>配中心管理系统</w:t>
      </w:r>
      <w:r>
        <w:rPr>
          <w:rFonts w:ascii="Times New Roman" w:hAnsi="Times New Roman" w:cs="Times New Roman" w:eastAsia="Times New Roman" w:hint="default"/>
        </w:rPr>
        <w:t>v4.0</w:t>
      </w:r>
      <w:r>
        <w:rPr/>
        <w:t>、临床业务运营管理系统、新版病理系统</w:t>
      </w:r>
      <w:r>
        <w:rPr>
          <w:rFonts w:ascii="Times New Roman" w:hAnsi="Times New Roman" w:cs="Times New Roman" w:eastAsia="Times New Roman" w:hint="default"/>
        </w:rPr>
        <w:t>v4.0</w:t>
      </w:r>
      <w:r>
        <w:rPr/>
        <w:t>、</w:t>
      </w:r>
      <w:r>
        <w:rPr>
          <w:rFonts w:ascii="Times New Roman" w:hAnsi="Times New Roman" w:cs="Times New Roman" w:eastAsia="Times New Roman" w:hint="default"/>
        </w:rPr>
        <w:t>PACS</w:t>
      </w:r>
      <w:r>
        <w:rPr/>
        <w:t>影像浏览器、重症监护系统</w:t>
      </w:r>
      <w:r>
        <w:rPr>
          <w:rFonts w:ascii="Times New Roman" w:hAnsi="Times New Roman" w:cs="Times New Roman" w:eastAsia="Times New Roman" w:hint="default"/>
        </w:rPr>
        <w:t>v4.0</w:t>
      </w:r>
      <w:r>
        <w:rPr/>
        <w:t>、健康链</w:t>
      </w:r>
      <w:r>
        <w:rPr>
          <w:rFonts w:ascii="Times New Roman" w:hAnsi="Times New Roman" w:cs="Times New Roman" w:eastAsia="Times New Roman" w:hint="default"/>
        </w:rPr>
        <w:t>v1.0</w:t>
      </w:r>
      <w:r>
        <w:rPr/>
        <w:t>等。</w:t>
      </w:r>
    </w:p>
    <w:p>
      <w:pPr>
        <w:pStyle w:val="BodyText"/>
        <w:spacing w:line="240" w:lineRule="auto" w:before="141"/>
        <w:ind w:left="333" w:right="8752"/>
        <w:jc w:val="center"/>
      </w:pPr>
      <w:r>
        <w:rPr/>
        <w:t>分为以下几部分说明：</w:t>
      </w:r>
    </w:p>
    <w:p>
      <w:pPr>
        <w:pStyle w:val="Heading5"/>
        <w:spacing w:line="240" w:lineRule="auto" w:before="154"/>
        <w:ind w:right="986"/>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HCP</w:t>
      </w:r>
      <w:r>
        <w:rPr>
          <w:rFonts w:ascii="Times New Roman" w:hAnsi="Times New Roman" w:cs="Times New Roman" w:eastAsia="Times New Roman" w:hint="default"/>
          <w:b w:val="0"/>
          <w:bCs w:val="0"/>
        </w:rPr>
      </w:r>
    </w:p>
    <w:p>
      <w:pPr>
        <w:pStyle w:val="BodyText"/>
        <w:spacing w:line="230" w:lineRule="auto" w:before="148"/>
        <w:ind w:right="1034" w:firstLine="360"/>
        <w:jc w:val="left"/>
      </w:pP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10</w:t>
      </w:r>
      <w:r>
        <w:rPr>
          <w:spacing w:val="8"/>
        </w:rPr>
        <w:t>月，东华医为率先提出新一代医院信息系统，即医院综合业务运营平台 </w:t>
      </w:r>
      <w:r>
        <w:rPr>
          <w:rFonts w:ascii="Times New Roman" w:hAnsi="Times New Roman" w:cs="Times New Roman" w:eastAsia="Times New Roman" w:hint="default"/>
        </w:rPr>
        <w:t>(Hospital comprehensive</w:t>
      </w:r>
      <w:r>
        <w:rPr>
          <w:rFonts w:ascii="Times New Roman" w:hAnsi="Times New Roman" w:cs="Times New Roman" w:eastAsia="Times New Roman" w:hint="default"/>
          <w:spacing w:val="41"/>
        </w:rPr>
        <w:t> </w:t>
      </w:r>
      <w:r>
        <w:rPr>
          <w:rFonts w:ascii="Times New Roman" w:hAnsi="Times New Roman" w:cs="Times New Roman" w:eastAsia="Times New Roman" w:hint="default"/>
        </w:rPr>
        <w:t>business</w:t>
      </w:r>
      <w:r>
        <w:rPr>
          <w:rFonts w:ascii="Times New Roman" w:hAnsi="Times New Roman" w:cs="Times New Roman" w:eastAsia="Times New Roman" w:hint="default"/>
          <w:w w:val="99"/>
        </w:rPr>
        <w:t> </w:t>
      </w:r>
      <w:r>
        <w:rPr>
          <w:rFonts w:ascii="Times New Roman" w:hAnsi="Times New Roman" w:cs="Times New Roman" w:eastAsia="Times New Roman" w:hint="default"/>
        </w:rPr>
        <w:t>collaboration platform</w:t>
      </w:r>
      <w:r>
        <w:rPr/>
        <w:t>，简称：</w:t>
      </w:r>
      <w:r>
        <w:rPr>
          <w:rFonts w:ascii="Times New Roman" w:hAnsi="Times New Roman" w:cs="Times New Roman" w:eastAsia="Times New Roman" w:hint="default"/>
        </w:rPr>
        <w:t>HCP)</w:t>
      </w:r>
      <w:r>
        <w:rPr>
          <w:rFonts w:ascii="Times New Roman" w:hAnsi="Times New Roman" w:cs="Times New Roman" w:eastAsia="Times New Roman" w:hint="default"/>
          <w:spacing w:val="14"/>
        </w:rPr>
        <w:t> </w:t>
      </w:r>
      <w:r>
        <w:rPr/>
        <w:t>的目标。</w:t>
      </w:r>
      <w:r>
        <w:rPr>
          <w:rFonts w:ascii="Times New Roman" w:hAnsi="Times New Roman" w:cs="Times New Roman" w:eastAsia="Times New Roman" w:hint="default"/>
        </w:rPr>
        <w:t>HCP</w:t>
      </w:r>
      <w:r>
        <w:rPr/>
        <w:t>是新一代医院信息化建设的综合解决方案，它从管理目标出发重构医院全 场景、全业务的</w:t>
      </w:r>
      <w:r>
        <w:rPr>
          <w:rFonts w:ascii="Times New Roman" w:hAnsi="Times New Roman" w:cs="Times New Roman" w:eastAsia="Times New Roman" w:hint="default"/>
        </w:rPr>
        <w:t>IT</w:t>
      </w:r>
      <w:r>
        <w:rPr/>
        <w:t>表达。遵从</w:t>
      </w:r>
      <w:r>
        <w:rPr>
          <w:rFonts w:ascii="Times New Roman" w:hAnsi="Times New Roman" w:cs="Times New Roman" w:eastAsia="Times New Roman" w:hint="default"/>
        </w:rPr>
        <w:t>“</w:t>
      </w:r>
      <w:r>
        <w:rPr/>
        <w:t>一张蓝图绘到底</w:t>
      </w:r>
      <w:r>
        <w:rPr>
          <w:rFonts w:ascii="Times New Roman" w:hAnsi="Times New Roman" w:cs="Times New Roman" w:eastAsia="Times New Roman" w:hint="default"/>
        </w:rPr>
        <w:t>”</w:t>
      </w:r>
      <w:r>
        <w:rPr/>
        <w:t>的理念，从医院组织机构、岗位、人员、职责及临床基础数据的统一治理开 始，全局梳理医院的所有业务，从而根本上解决所谓的信息孤岛的痛点，数据不准确的瓶颈、管理不深入不全面的难题。</w:t>
      </w:r>
      <w:r>
        <w:rPr>
          <w:spacing w:val="-11"/>
        </w:rPr>
        <w:t> </w:t>
      </w:r>
      <w:r>
        <w:rPr>
          <w:spacing w:val="-11"/>
        </w:rPr>
      </w:r>
      <w:r>
        <w:rPr>
          <w:rFonts w:ascii="Times New Roman" w:hAnsi="Times New Roman" w:cs="Times New Roman" w:eastAsia="Times New Roman" w:hint="default"/>
          <w:spacing w:val="-2"/>
        </w:rPr>
        <w:t>HCP</w:t>
      </w:r>
      <w:r>
        <w:rPr>
          <w:spacing w:val="-2"/>
        </w:rPr>
        <w:t>是医院全角色的业务、管理与决策平台，是医院全业务的运营平台，也是医院精细化管理与智能化管理的支撑平台。通</w:t>
      </w:r>
      <w:r>
        <w:rPr>
          <w:spacing w:val="-57"/>
        </w:rPr>
        <w:t> </w:t>
      </w:r>
      <w:r>
        <w:rPr>
          <w:spacing w:val="-57"/>
        </w:rPr>
      </w:r>
      <w:r>
        <w:rPr/>
        <w:t>过对医院全局业务和数据的治理，实现流程权限可配置化、管理数据可视化，促进医院管理过程透明化、管理质量精细化、</w:t>
      </w:r>
      <w:r>
        <w:rPr/>
        <w:t> </w:t>
      </w:r>
      <w:r>
        <w:rPr>
          <w:spacing w:val="-2"/>
        </w:rPr>
        <w:t>管理决策智能化，全方位提升医院的运营效率和管理能力。医院综合业务运营平台（</w:t>
      </w:r>
      <w:r>
        <w:rPr>
          <w:rFonts w:ascii="Times New Roman" w:hAnsi="Times New Roman" w:cs="Times New Roman" w:eastAsia="Times New Roman" w:hint="default"/>
          <w:spacing w:val="-2"/>
        </w:rPr>
        <w:t>HCP</w:t>
      </w:r>
      <w:r>
        <w:rPr>
          <w:spacing w:val="-2"/>
        </w:rPr>
        <w:t>）产品研发方面，公司已开发完成</w:t>
      </w:r>
      <w:r>
        <w:rPr>
          <w:spacing w:val="-55"/>
        </w:rPr>
        <w:t> </w:t>
      </w:r>
      <w:r>
        <w:rPr>
          <w:spacing w:val="-55"/>
        </w:rPr>
      </w:r>
      <w:r>
        <w:rPr>
          <w:spacing w:val="-2"/>
        </w:rPr>
        <w:t>了包括业务中台、数据中台、技术中台的架构体系。将核心流程、功能、质控点提取出来放到业务中台内，打造全业务流程</w:t>
      </w:r>
      <w:r>
        <w:rPr>
          <w:spacing w:val="-68"/>
        </w:rPr>
        <w:t> </w:t>
      </w:r>
      <w:r>
        <w:rPr>
          <w:spacing w:val="-68"/>
        </w:rPr>
      </w:r>
      <w:r>
        <w:rPr/>
        <w:t>闭环、全过程管控、全局数据治理支撑环境，为医院实现更高级的事务性管理提供基础。</w:t>
      </w:r>
    </w:p>
    <w:p>
      <w:pPr>
        <w:pStyle w:val="Heading5"/>
        <w:spacing w:line="240" w:lineRule="auto" w:before="154"/>
        <w:ind w:right="986"/>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iMedical</w:t>
      </w:r>
      <w:r>
        <w:rPr>
          <w:rFonts w:ascii="Times New Roman" w:hAnsi="Times New Roman" w:cs="Times New Roman" w:eastAsia="Times New Roman" w:hint="default"/>
          <w:spacing w:val="-7"/>
        </w:rPr>
        <w:t> </w:t>
      </w:r>
      <w:r>
        <w:rPr>
          <w:rFonts w:ascii="Times New Roman" w:hAnsi="Times New Roman" w:cs="Times New Roman" w:eastAsia="Times New Roman" w:hint="default"/>
        </w:rPr>
        <w:t>Cloud</w:t>
      </w:r>
      <w:r>
        <w:rPr>
          <w:rFonts w:ascii="Times New Roman" w:hAnsi="Times New Roman" w:cs="Times New Roman" w:eastAsia="Times New Roman" w:hint="default"/>
          <w:b w:val="0"/>
          <w:bCs w:val="0"/>
        </w:rPr>
      </w:r>
    </w:p>
    <w:p>
      <w:pPr>
        <w:pStyle w:val="BodyText"/>
        <w:spacing w:line="228" w:lineRule="auto" w:before="150"/>
        <w:ind w:right="1032"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月，在</w:t>
      </w:r>
      <w:r>
        <w:rPr>
          <w:rFonts w:ascii="Times New Roman" w:hAnsi="Times New Roman" w:cs="Times New Roman" w:eastAsia="Times New Roman" w:hint="default"/>
        </w:rPr>
        <w:t>“</w:t>
      </w:r>
      <w:r>
        <w:rPr/>
        <w:t>一链三云</w:t>
      </w:r>
      <w:r>
        <w:rPr>
          <w:rFonts w:ascii="Times New Roman" w:hAnsi="Times New Roman" w:cs="Times New Roman" w:eastAsia="Times New Roman" w:hint="default"/>
        </w:rPr>
        <w:t>”</w:t>
      </w:r>
      <w:r>
        <w:rPr/>
        <w:t>战略框架下，公司与腾讯云在北京联合发布了大健康医疗服务生态平台</w:t>
      </w:r>
      <w:r>
        <w:rPr>
          <w:rFonts w:ascii="Times New Roman" w:hAnsi="Times New Roman" w:cs="Times New Roman" w:eastAsia="Times New Roman" w:hint="default"/>
        </w:rPr>
        <w:t>iMedical</w:t>
      </w:r>
      <w:r>
        <w:rPr>
          <w:rFonts w:ascii="Times New Roman" w:hAnsi="Times New Roman" w:cs="Times New Roman" w:eastAsia="Times New Roman" w:hint="default"/>
          <w:spacing w:val="-13"/>
        </w:rPr>
        <w:t> </w:t>
      </w:r>
      <w:r>
        <w:rPr>
          <w:rFonts w:ascii="Times New Roman" w:hAnsi="Times New Roman" w:cs="Times New Roman" w:eastAsia="Times New Roman" w:hint="default"/>
        </w:rPr>
        <w:t>Cloud</w:t>
      </w:r>
      <w:r>
        <w:rPr/>
        <w:t>，暨云 </w:t>
      </w:r>
      <w:r>
        <w:rPr>
          <w:rFonts w:ascii="Times New Roman" w:hAnsi="Times New Roman" w:cs="Times New Roman" w:eastAsia="Times New Roman" w:hint="default"/>
          <w:spacing w:val="-2"/>
        </w:rPr>
        <w:t>HIS</w:t>
      </w:r>
      <w:r>
        <w:rPr>
          <w:spacing w:val="-2"/>
        </w:rPr>
        <w:t>产品。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月，将</w:t>
      </w:r>
      <w:r>
        <w:rPr>
          <w:rFonts w:ascii="Times New Roman" w:hAnsi="Times New Roman" w:cs="Times New Roman" w:eastAsia="Times New Roman" w:hint="default"/>
          <w:spacing w:val="-2"/>
        </w:rPr>
        <w:t>“</w:t>
      </w:r>
      <w:r>
        <w:rPr>
          <w:spacing w:val="-2"/>
        </w:rPr>
        <w:t>一链三云</w:t>
      </w:r>
      <w:r>
        <w:rPr>
          <w:rFonts w:ascii="Times New Roman" w:hAnsi="Times New Roman" w:cs="Times New Roman" w:eastAsia="Times New Roman" w:hint="default"/>
          <w:spacing w:val="-2"/>
        </w:rPr>
        <w:t>”</w:t>
      </w:r>
      <w:r>
        <w:rPr>
          <w:spacing w:val="-2"/>
        </w:rPr>
        <w:t>战略提升到</w:t>
      </w:r>
      <w:r>
        <w:rPr>
          <w:rFonts w:ascii="Times New Roman" w:hAnsi="Times New Roman" w:cs="Times New Roman" w:eastAsia="Times New Roman" w:hint="default"/>
          <w:spacing w:val="-2"/>
        </w:rPr>
        <w:t>“</w:t>
      </w:r>
      <w:r>
        <w:rPr>
          <w:spacing w:val="-2"/>
        </w:rPr>
        <w:t>一链三云</w:t>
      </w:r>
      <w:r>
        <w:rPr>
          <w:rFonts w:ascii="Times New Roman" w:hAnsi="Times New Roman" w:cs="Times New Roman" w:eastAsia="Times New Roman" w:hint="default"/>
          <w:spacing w:val="-2"/>
        </w:rPr>
        <w:t>AI”</w:t>
      </w:r>
      <w:r>
        <w:rPr>
          <w:spacing w:val="-2"/>
        </w:rPr>
        <w:t>新战略，并对其内涵进行丰富和延展，依托</w:t>
      </w:r>
      <w:r>
        <w:rPr>
          <w:rFonts w:ascii="Times New Roman" w:hAnsi="Times New Roman" w:cs="Times New Roman" w:eastAsia="Times New Roman" w:hint="default"/>
          <w:spacing w:val="-2"/>
        </w:rPr>
        <w:t>iMedical</w:t>
      </w:r>
      <w:r>
        <w:rPr>
          <w:spacing w:val="-2"/>
        </w:rPr>
        <w:t>为核心驱</w:t>
      </w:r>
      <w:r>
        <w:rPr>
          <w:spacing w:val="-51"/>
        </w:rPr>
        <w:t> </w:t>
      </w:r>
      <w:r>
        <w:rPr>
          <w:spacing w:val="-51"/>
        </w:rPr>
      </w:r>
      <w:r>
        <w:rPr/>
        <w:t>动力，构建一个核心驱动、两个中间件、三个应用方向的生态架构。其中，一个核心驱动即核心业务系统</w:t>
      </w:r>
      <w:r>
        <w:rPr>
          <w:rFonts w:ascii="Times New Roman" w:hAnsi="Times New Roman" w:cs="Times New Roman" w:eastAsia="Times New Roman" w:hint="default"/>
        </w:rPr>
        <w:t>iMedical</w:t>
      </w:r>
      <w:r>
        <w:rPr/>
        <w:t>。两个中 间件包括</w:t>
      </w:r>
      <w:r>
        <w:rPr>
          <w:rFonts w:ascii="Times New Roman" w:hAnsi="Times New Roman" w:cs="Times New Roman" w:eastAsia="Times New Roman" w:hint="default"/>
        </w:rPr>
        <w:t>iMedical Cloud</w:t>
      </w:r>
      <w:r>
        <w:rPr/>
        <w:t>中台和健康链，</w:t>
      </w:r>
      <w:r>
        <w:rPr>
          <w:rFonts w:ascii="Times New Roman" w:hAnsi="Times New Roman" w:cs="Times New Roman" w:eastAsia="Times New Roman" w:hint="default"/>
        </w:rPr>
        <w:t>iMedical</w:t>
      </w:r>
      <w:r>
        <w:rPr>
          <w:rFonts w:ascii="Times New Roman" w:hAnsi="Times New Roman" w:cs="Times New Roman" w:eastAsia="Times New Roman" w:hint="default"/>
          <w:spacing w:val="2"/>
        </w:rPr>
        <w:t> </w:t>
      </w:r>
      <w:r>
        <w:rPr>
          <w:rFonts w:ascii="Times New Roman" w:hAnsi="Times New Roman" w:cs="Times New Roman" w:eastAsia="Times New Roman" w:hint="default"/>
        </w:rPr>
        <w:t>Cloud</w:t>
      </w:r>
      <w:r>
        <w:rPr/>
        <w:t>中台是技术支撑、业务治理、数据沉淀、服务开放的核心组件，健康 </w:t>
      </w:r>
      <w:r>
        <w:rPr>
          <w:spacing w:val="-2"/>
        </w:rPr>
        <w:t>链是实现互联共享的基础和桥梁。三个应用方向，指基于腾讯云的基础能力构建面向卫健委、医保局等政府端的卫保云，面</w:t>
      </w:r>
      <w:r>
        <w:rPr>
          <w:spacing w:val="-66"/>
        </w:rPr>
        <w:t> </w:t>
      </w:r>
      <w:r>
        <w:rPr>
          <w:spacing w:val="-66"/>
        </w:rPr>
      </w:r>
      <w:r>
        <w:rPr/>
        <w:t>向医疗和养老机构端的医养云，以及直接面向大众用户的健康云。</w:t>
      </w:r>
      <w:r>
        <w:rPr>
          <w:rFonts w:ascii="Times New Roman" w:hAnsi="Times New Roman" w:cs="Times New Roman" w:eastAsia="Times New Roman" w:hint="default"/>
        </w:rPr>
        <w:t>AI</w:t>
      </w:r>
      <w:r>
        <w:rPr/>
        <w:t>体现在医学知识图谱中，是实现</w:t>
      </w:r>
      <w:r>
        <w:rPr>
          <w:rFonts w:ascii="Times New Roman" w:hAnsi="Times New Roman" w:cs="Times New Roman" w:eastAsia="Times New Roman" w:hint="default"/>
        </w:rPr>
        <w:t>iMedical</w:t>
      </w:r>
      <w:r>
        <w:rPr>
          <w:rFonts w:ascii="Times New Roman" w:hAnsi="Times New Roman" w:cs="Times New Roman" w:eastAsia="Times New Roman" w:hint="default"/>
          <w:spacing w:val="32"/>
        </w:rPr>
        <w:t> </w:t>
      </w:r>
      <w:r>
        <w:rPr>
          <w:rFonts w:ascii="Times New Roman" w:hAnsi="Times New Roman" w:cs="Times New Roman" w:eastAsia="Times New Roman" w:hint="default"/>
        </w:rPr>
        <w:t>Cloud</w:t>
      </w:r>
      <w:r>
        <w:rPr/>
        <w:t>生态平</w:t>
      </w:r>
      <w:r>
        <w:rPr>
          <w:spacing w:val="-83"/>
        </w:rPr>
        <w:t> </w:t>
      </w:r>
      <w:r>
        <w:rPr>
          <w:spacing w:val="-83"/>
        </w:rPr>
      </w:r>
      <w:r>
        <w:rPr>
          <w:spacing w:val="-4"/>
        </w:rPr>
        <w:t>台的基石。</w:t>
      </w:r>
      <w:r>
        <w:rPr>
          <w:rFonts w:ascii="Times New Roman" w:hAnsi="Times New Roman" w:cs="Times New Roman" w:eastAsia="Times New Roman" w:hint="default"/>
          <w:spacing w:val="-4"/>
        </w:rPr>
        <w:t>iMedical</w:t>
      </w:r>
      <w:r>
        <w:rPr>
          <w:rFonts w:ascii="Times New Roman" w:hAnsi="Times New Roman" w:cs="Times New Roman" w:eastAsia="Times New Roman" w:hint="default"/>
        </w:rPr>
        <w:t> </w:t>
      </w:r>
      <w:r>
        <w:rPr>
          <w:rFonts w:ascii="Times New Roman" w:hAnsi="Times New Roman" w:cs="Times New Roman" w:eastAsia="Times New Roman" w:hint="default"/>
          <w:spacing w:val="-1"/>
        </w:rPr>
        <w:t>Cloud</w:t>
      </w:r>
      <w:r>
        <w:rPr>
          <w:spacing w:val="-1"/>
        </w:rPr>
        <w:t>目前已经完成面向医联体</w:t>
      </w:r>
      <w:r>
        <w:rPr>
          <w:rFonts w:ascii="Times New Roman" w:hAnsi="Times New Roman" w:cs="Times New Roman" w:eastAsia="Times New Roman" w:hint="default"/>
          <w:spacing w:val="-1"/>
        </w:rPr>
        <w:t>(</w:t>
      </w:r>
      <w:r>
        <w:rPr>
          <w:spacing w:val="-1"/>
        </w:rPr>
        <w:t>大中小医院组成的医疗联合体</w:t>
      </w:r>
      <w:r>
        <w:rPr>
          <w:rFonts w:ascii="Times New Roman" w:hAnsi="Times New Roman" w:cs="Times New Roman" w:eastAsia="Times New Roman" w:hint="default"/>
          <w:spacing w:val="-1"/>
        </w:rPr>
        <w:t>)</w:t>
      </w:r>
      <w:r>
        <w:rPr>
          <w:spacing w:val="-1"/>
        </w:rPr>
        <w:t>、医共体</w:t>
      </w:r>
      <w:r>
        <w:rPr>
          <w:rFonts w:ascii="Times New Roman" w:hAnsi="Times New Roman" w:cs="Times New Roman" w:eastAsia="Times New Roman" w:hint="default"/>
          <w:spacing w:val="-1"/>
        </w:rPr>
        <w:t>(</w:t>
      </w:r>
      <w:r>
        <w:rPr>
          <w:spacing w:val="-1"/>
        </w:rPr>
        <w:t>人财物紧密结合的医疗共同体</w:t>
      </w:r>
      <w:r>
        <w:rPr>
          <w:rFonts w:ascii="Times New Roman" w:hAnsi="Times New Roman" w:cs="Times New Roman" w:eastAsia="Times New Roman" w:hint="default"/>
          <w:spacing w:val="-1"/>
        </w:rPr>
        <w:t>)</w:t>
      </w:r>
      <w:r>
        <w:rPr>
          <w:spacing w:val="-1"/>
        </w:rPr>
        <w:t>、</w:t>
      </w:r>
      <w:r>
        <w:rPr>
          <w:spacing w:val="-87"/>
        </w:rPr>
        <w:t> </w:t>
      </w:r>
      <w:r>
        <w:rPr/>
        <w:t>中小型医疗机构</w:t>
      </w:r>
      <w:r>
        <w:rPr>
          <w:rFonts w:ascii="Times New Roman" w:hAnsi="Times New Roman" w:cs="Times New Roman" w:eastAsia="Times New Roman" w:hint="default"/>
        </w:rPr>
        <w:t>(</w:t>
      </w:r>
      <w:r>
        <w:rPr/>
        <w:t>二级及以下医疗机构</w:t>
      </w:r>
      <w:r>
        <w:rPr>
          <w:rFonts w:ascii="Times New Roman" w:hAnsi="Times New Roman" w:cs="Times New Roman" w:eastAsia="Times New Roman" w:hint="default"/>
        </w:rPr>
        <w:t>)</w:t>
      </w:r>
      <w:r>
        <w:rPr/>
        <w:t>的基本功能研发。</w:t>
      </w:r>
    </w:p>
    <w:p>
      <w:pPr>
        <w:pStyle w:val="BodyText"/>
        <w:spacing w:line="370" w:lineRule="atLeast" w:before="20"/>
        <w:ind w:left="513" w:right="98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）知识图谱</w:t>
      </w:r>
      <w:r>
        <w:rPr>
          <w:rFonts w:ascii="宋体" w:hAnsi="宋体" w:cs="宋体" w:eastAsia="宋体" w:hint="default"/>
          <w:b/>
          <w:bCs/>
          <w:w w:val="99"/>
        </w:rPr>
        <w:t> </w:t>
      </w:r>
      <w:r>
        <w:rPr>
          <w:spacing w:val="-2"/>
        </w:rPr>
        <w:t>在知识图谱产品研发方面，公司已完成基于医学疾病知识库的结构化诊断系统研发，并在北京安贞医院、中国医科大学</w:t>
      </w:r>
    </w:p>
    <w:p>
      <w:pPr>
        <w:pStyle w:val="BodyText"/>
        <w:spacing w:line="232" w:lineRule="exact" w:before="22"/>
        <w:ind w:right="1128"/>
        <w:jc w:val="both"/>
      </w:pPr>
      <w:r>
        <w:rPr>
          <w:spacing w:val="-2"/>
        </w:rPr>
        <w:t>第一附属医院等多家医院上线运行。该系统以临床实用诊断为核心，通过梳理疾病相关临床路径和诊疗规范，采用独创的自</w:t>
      </w:r>
      <w:r>
        <w:rPr>
          <w:spacing w:val="-61"/>
        </w:rPr>
        <w:t> </w:t>
      </w:r>
      <w:r>
        <w:rPr>
          <w:spacing w:val="-61"/>
        </w:rPr>
      </w:r>
      <w:r>
        <w:rPr>
          <w:spacing w:val="-2"/>
        </w:rPr>
        <w:t>定义知识，支持知识快速构建及知识开放性管理，生成临床及科研专业知识库。该产品已涵盖</w:t>
      </w:r>
      <w:r>
        <w:rPr>
          <w:rFonts w:ascii="Times New Roman" w:hAnsi="Times New Roman" w:cs="Times New Roman" w:eastAsia="Times New Roman" w:hint="default"/>
          <w:spacing w:val="-2"/>
        </w:rPr>
        <w:t>2000</w:t>
      </w:r>
      <w:r>
        <w:rPr>
          <w:spacing w:val="-2"/>
        </w:rPr>
        <w:t>个临床实用诊断，覆盖了</w:t>
      </w:r>
      <w:r>
        <w:rPr>
          <w:spacing w:val="-59"/>
        </w:rPr>
        <w:t> </w:t>
      </w:r>
      <w:r>
        <w:rPr>
          <w:spacing w:val="-59"/>
        </w:rPr>
      </w:r>
      <w:r>
        <w:rPr>
          <w:rFonts w:ascii="Times New Roman" w:hAnsi="Times New Roman" w:cs="Times New Roman" w:eastAsia="Times New Roman" w:hint="default"/>
        </w:rPr>
        <w:t>4</w:t>
      </w:r>
      <w:r>
        <w:rPr/>
        <w:t>万余条</w:t>
      </w:r>
      <w:r>
        <w:rPr>
          <w:rFonts w:ascii="Times New Roman" w:hAnsi="Times New Roman" w:cs="Times New Roman" w:eastAsia="Times New Roman" w:hint="default"/>
        </w:rPr>
        <w:t>ICD</w:t>
      </w:r>
      <w:r>
        <w:rPr/>
        <w:t>诊断编码，共积累了</w:t>
      </w:r>
      <w:r>
        <w:rPr>
          <w:rFonts w:ascii="Times New Roman" w:hAnsi="Times New Roman" w:cs="Times New Roman" w:eastAsia="Times New Roman" w:hint="default"/>
        </w:rPr>
        <w:t>1000</w:t>
      </w:r>
      <w:r>
        <w:rPr/>
        <w:t>万余条医学知识，能够辅助医生开立出精准的诊断，准确、便捷地完成诊断下达。</w:t>
      </w:r>
    </w:p>
    <w:p>
      <w:pPr>
        <w:pStyle w:val="BodyText"/>
        <w:spacing w:line="232" w:lineRule="exact" w:before="159"/>
        <w:ind w:right="1034" w:firstLine="360"/>
        <w:jc w:val="left"/>
      </w:pPr>
      <w:r>
        <w:rPr>
          <w:spacing w:val="-4"/>
        </w:rPr>
        <w:t>此外，本年度，已开展基于医学知识图谱的临床智能辅助系统研发及产品化工作。该系统包括疾病、药品、检查、检验、</w:t>
      </w:r>
      <w:r>
        <w:rPr/>
        <w:t> </w:t>
      </w:r>
      <w:r>
        <w:rPr>
          <w:spacing w:val="-2"/>
        </w:rPr>
        <w:t>手术、护理、输血及医院个性化诊疗众多模块。利用人工神经网络、大数据、自然语言处理等技术，将患者临床信息与医学</w:t>
      </w:r>
      <w:r>
        <w:rPr>
          <w:spacing w:val="-68"/>
        </w:rPr>
        <w:t> </w:t>
      </w:r>
      <w:r>
        <w:rPr>
          <w:spacing w:val="-68"/>
        </w:rPr>
      </w:r>
      <w:r>
        <w:rPr>
          <w:spacing w:val="-2"/>
        </w:rPr>
        <w:t>知识图谱进行算法匹配、分析，智能辅助医生决策，传承诊疗经验，规范治疗过程，预防误诊、漏诊发生。同时对诊疗过程</w:t>
      </w:r>
      <w:r>
        <w:rPr>
          <w:spacing w:val="-72"/>
        </w:rPr>
        <w:t> </w:t>
      </w:r>
      <w:r>
        <w:rPr>
          <w:spacing w:val="-72"/>
        </w:rPr>
      </w:r>
      <w:r>
        <w:rPr/>
        <w:t>智能预警，提醒诊疗措施合理性、精准性，预防医疗事故发生，可全方位的提升临床诊疗质量。该产品已有众多潜在用户。</w:t>
      </w:r>
    </w:p>
    <w:p>
      <w:pPr>
        <w:pStyle w:val="BodyText"/>
        <w:spacing w:line="370" w:lineRule="atLeast" w:before="13"/>
        <w:ind w:left="513" w:right="986"/>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）互联网医院</w:t>
      </w:r>
      <w:r>
        <w:rPr>
          <w:rFonts w:ascii="宋体" w:hAnsi="宋体" w:cs="宋体" w:eastAsia="宋体" w:hint="default"/>
          <w:b/>
          <w:bCs/>
          <w:w w:val="99"/>
        </w:rPr>
        <w:t> </w:t>
      </w:r>
      <w:r>
        <w:rPr>
          <w:spacing w:val="-2"/>
        </w:rPr>
        <w:t>本年度公司获得了互联网医院牌照及远程医疗中心执业许可证，打通了互联网医疗的诊前、诊中和诊后全流程服务，拓</w:t>
      </w:r>
    </w:p>
    <w:p>
      <w:pPr>
        <w:pStyle w:val="BodyText"/>
        <w:spacing w:line="225" w:lineRule="auto" w:before="10"/>
        <w:ind w:right="1129"/>
        <w:jc w:val="both"/>
      </w:pPr>
      <w:r>
        <w:rPr/>
        <w:t>宽了服务范围和服务半径。在互联网</w:t>
      </w:r>
      <w:r>
        <w:rPr>
          <w:rFonts w:ascii="Times New Roman" w:hAnsi="Times New Roman" w:cs="Times New Roman" w:eastAsia="Times New Roman" w:hint="default"/>
        </w:rPr>
        <w:t>+</w:t>
      </w:r>
      <w:r>
        <w:rPr/>
        <w:t>医疗产品研发方面，公司已完成患者小程序、互联网开放平台通信管理与流控、医生 端</w:t>
      </w:r>
      <w:r>
        <w:rPr>
          <w:rFonts w:ascii="Times New Roman" w:hAnsi="Times New Roman" w:cs="Times New Roman" w:eastAsia="Times New Roman" w:hint="default"/>
        </w:rPr>
        <w:t>App</w:t>
      </w:r>
      <w:r>
        <w:rPr/>
        <w:t>的应用研发。医院</w:t>
      </w:r>
      <w:r>
        <w:rPr>
          <w:rFonts w:ascii="Times New Roman" w:hAnsi="Times New Roman" w:cs="Times New Roman" w:eastAsia="Times New Roman" w:hint="default"/>
        </w:rPr>
        <w:t>+</w:t>
      </w:r>
      <w:r>
        <w:rPr/>
        <w:t>互联网方面完成医生</w:t>
      </w:r>
      <w:r>
        <w:rPr>
          <w:rFonts w:ascii="Times New Roman" w:hAnsi="Times New Roman" w:cs="Times New Roman" w:eastAsia="Times New Roman" w:hint="default"/>
        </w:rPr>
        <w:t>App</w:t>
      </w:r>
      <w:r>
        <w:rPr/>
        <w:t>、患者端</w:t>
      </w:r>
      <w:r>
        <w:rPr>
          <w:rFonts w:ascii="Times New Roman" w:hAnsi="Times New Roman" w:cs="Times New Roman" w:eastAsia="Times New Roman" w:hint="default"/>
        </w:rPr>
        <w:t>App</w:t>
      </w:r>
      <w:r>
        <w:rPr/>
        <w:t>功能升级，以及远程影像诊断系统与</w:t>
      </w:r>
      <w:r>
        <w:rPr>
          <w:rFonts w:ascii="Times New Roman" w:hAnsi="Times New Roman" w:cs="Times New Roman" w:eastAsia="Times New Roman" w:hint="default"/>
        </w:rPr>
        <w:t>PACS</w:t>
      </w:r>
      <w:r>
        <w:rPr/>
        <w:t>系统互联互通；</w:t>
      </w:r>
      <w:r>
        <w:rPr>
          <w:spacing w:val="-45"/>
        </w:rPr>
        <w:t> </w:t>
      </w:r>
      <w:r>
        <w:rPr>
          <w:spacing w:val="-45"/>
        </w:rPr>
      </w:r>
      <w:r>
        <w:rPr/>
        <w:t>在互联网医联体方面完成与远程会诊系统对接，以及远程会诊</w:t>
      </w:r>
      <w:r>
        <w:rPr>
          <w:rFonts w:ascii="Times New Roman" w:hAnsi="Times New Roman" w:cs="Times New Roman" w:eastAsia="Times New Roman" w:hint="default"/>
        </w:rPr>
        <w:t>App</w:t>
      </w:r>
      <w:r>
        <w:rPr/>
        <w:t>、电子健康卡</w:t>
      </w:r>
      <w:r>
        <w:rPr>
          <w:rFonts w:ascii="Times New Roman" w:hAnsi="Times New Roman" w:cs="Times New Roman" w:eastAsia="Times New Roman" w:hint="default"/>
        </w:rPr>
        <w:t>App</w:t>
      </w:r>
      <w:r>
        <w:rPr/>
        <w:t>产品研发。</w:t>
      </w:r>
    </w:p>
    <w:p>
      <w:pPr>
        <w:pStyle w:val="BodyText"/>
        <w:spacing w:line="390" w:lineRule="atLeast" w:before="1"/>
        <w:ind w:left="513" w:right="986"/>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）医学人工智能</w:t>
      </w:r>
      <w:r>
        <w:rPr>
          <w:rFonts w:ascii="宋体" w:hAnsi="宋体" w:cs="宋体" w:eastAsia="宋体" w:hint="default"/>
          <w:b/>
          <w:bCs/>
          <w:w w:val="99"/>
        </w:rPr>
        <w:t> </w:t>
      </w:r>
      <w:r>
        <w:rPr/>
        <w:t>在临床研究领域，通过机器学习，挖掘出疾病风险预测和相似患者精准分群两大</w:t>
      </w:r>
      <w:r>
        <w:rPr>
          <w:rFonts w:ascii="Times New Roman" w:hAnsi="Times New Roman" w:cs="Times New Roman" w:eastAsia="Times New Roman" w:hint="default"/>
        </w:rPr>
        <w:t>AI</w:t>
      </w:r>
      <w:r>
        <w:rPr/>
        <w:t>模型，实现人工智能技术面向临床</w:t>
      </w:r>
    </w:p>
    <w:p>
      <w:pPr>
        <w:pStyle w:val="BodyText"/>
        <w:spacing w:line="230" w:lineRule="auto"/>
        <w:ind w:right="1131"/>
        <w:jc w:val="both"/>
      </w:pPr>
      <w:r>
        <w:rPr>
          <w:spacing w:val="-2"/>
        </w:rPr>
        <w:t>研究的快速转化。报告期内，完成了北京协和医院、中国人民解放军总医院、中国中医科学院望京医院、河南省人民医院共</w:t>
      </w:r>
      <w:r>
        <w:rPr>
          <w:spacing w:val="-67"/>
        </w:rPr>
        <w:t> </w:t>
      </w:r>
      <w:r>
        <w:rPr>
          <w:spacing w:val="-67"/>
        </w:rPr>
      </w:r>
      <w:r>
        <w:rPr/>
        <w:t>计十四个科研项目。包括：重症</w:t>
      </w:r>
      <w:r>
        <w:rPr>
          <w:rFonts w:ascii="Times New Roman" w:hAnsi="Times New Roman" w:cs="Times New Roman" w:eastAsia="Times New Roman" w:hint="default"/>
        </w:rPr>
        <w:t>SIRS</w:t>
      </w:r>
      <w:r>
        <w:rPr/>
        <w:t>患者念珠菌血症预测模型研究、</w:t>
      </w:r>
      <w:r>
        <w:rPr>
          <w:rFonts w:ascii="Times New Roman" w:hAnsi="Times New Roman" w:cs="Times New Roman" w:eastAsia="Times New Roman" w:hint="default"/>
        </w:rPr>
        <w:t>Septic</w:t>
      </w:r>
      <w:r>
        <w:rPr>
          <w:rFonts w:ascii="Times New Roman" w:hAnsi="Times New Roman" w:cs="Times New Roman" w:eastAsia="Times New Roman" w:hint="default"/>
          <w:spacing w:val="17"/>
        </w:rPr>
        <w:t> </w:t>
      </w:r>
      <w:r>
        <w:rPr>
          <w:rFonts w:ascii="Times New Roman" w:hAnsi="Times New Roman" w:cs="Times New Roman" w:eastAsia="Times New Roman" w:hint="default"/>
        </w:rPr>
        <w:t>shock</w:t>
      </w:r>
      <w:r>
        <w:rPr/>
        <w:t>患者</w:t>
      </w:r>
      <w:r>
        <w:rPr>
          <w:rFonts w:ascii="Times New Roman" w:hAnsi="Times New Roman" w:cs="Times New Roman" w:eastAsia="Times New Roman" w:hint="default"/>
        </w:rPr>
        <w:t>6h</w:t>
      </w:r>
      <w:r>
        <w:rPr/>
        <w:t>内液体平衡研究、</w:t>
      </w:r>
      <w:r>
        <w:rPr>
          <w:rFonts w:ascii="Times New Roman" w:hAnsi="Times New Roman" w:cs="Times New Roman" w:eastAsia="Times New Roman" w:hint="default"/>
        </w:rPr>
        <w:t>ICU</w:t>
      </w:r>
      <w:r>
        <w:rPr/>
        <w:t>入院后</w:t>
      </w:r>
      <w:r>
        <w:rPr>
          <w:rFonts w:ascii="Times New Roman" w:hAnsi="Times New Roman" w:cs="Times New Roman" w:eastAsia="Times New Roman" w:hint="default"/>
        </w:rPr>
        <w:t>24h</w:t>
      </w:r>
      <w:r>
        <w:rPr/>
        <w:t>患 </w:t>
      </w:r>
      <w:r>
        <w:rPr>
          <w:spacing w:val="-2"/>
        </w:rPr>
        <w:t>者急性肾损伤风险预测研究、基于</w:t>
      </w:r>
      <w:r>
        <w:rPr>
          <w:rFonts w:ascii="Times New Roman" w:hAnsi="Times New Roman" w:cs="Times New Roman" w:eastAsia="Times New Roman" w:hint="default"/>
          <w:spacing w:val="-2"/>
        </w:rPr>
        <w:t>GBTM</w:t>
      </w:r>
      <w:r>
        <w:rPr>
          <w:spacing w:val="-2"/>
        </w:rPr>
        <w:t>识别脓毒症新亚型研究、肢端肥大症患者术后延迟缓解程度研究、高龄骨科患者术</w:t>
      </w:r>
      <w:r>
        <w:rPr>
          <w:spacing w:val="-47"/>
        </w:rPr>
        <w:t> </w:t>
      </w:r>
      <w:r>
        <w:rPr>
          <w:spacing w:val="-47"/>
        </w:rPr>
      </w:r>
      <w:r>
        <w:rPr/>
        <w:t>后并发症风险预测研究等专病</w:t>
      </w:r>
      <w:r>
        <w:rPr>
          <w:rFonts w:ascii="Times New Roman" w:hAnsi="Times New Roman" w:cs="Times New Roman" w:eastAsia="Times New Roman" w:hint="default"/>
        </w:rPr>
        <w:t>AI</w:t>
      </w:r>
      <w:r>
        <w:rPr/>
        <w:t>预测模型。协助医学专家完成科研成果转化，其中与北京协和医院合作发表神经外科研究</w:t>
      </w:r>
    </w:p>
    <w:p>
      <w:pPr>
        <w:spacing w:after="0" w:line="230" w:lineRule="auto"/>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986"/>
        <w:jc w:val="left"/>
      </w:pPr>
      <w:r>
        <w:rPr/>
        <w:t>领域的顶级</w:t>
      </w:r>
      <w:r>
        <w:rPr>
          <w:rFonts w:ascii="Times New Roman" w:hAnsi="Times New Roman" w:cs="Times New Roman" w:eastAsia="Times New Roman" w:hint="default"/>
        </w:rPr>
        <w:t>SCI</w:t>
      </w:r>
      <w:r>
        <w:rPr/>
        <w:t>论文，单篇影响因子达</w:t>
      </w:r>
      <w:r>
        <w:rPr>
          <w:rFonts w:ascii="Times New Roman" w:hAnsi="Times New Roman" w:cs="Times New Roman" w:eastAsia="Times New Roman" w:hint="default"/>
        </w:rPr>
        <w:t>6.8</w:t>
      </w:r>
      <w:r>
        <w:rPr/>
        <w:t>分以上，利用科研推动学科发展，扩大医院科研影响力。</w:t>
      </w:r>
    </w:p>
    <w:p>
      <w:pPr>
        <w:pStyle w:val="BodyText"/>
        <w:spacing w:line="228" w:lineRule="auto" w:before="150"/>
        <w:ind w:right="1044" w:firstLine="360"/>
        <w:jc w:val="left"/>
      </w:pPr>
      <w:r>
        <w:rPr/>
        <w:t>在医学自然语言处理领域，使用深度学习技术训练出高精度的电子病历后结构化模型，运用在公司</w:t>
      </w:r>
      <w:r>
        <w:rPr>
          <w:rFonts w:ascii="Times New Roman" w:hAnsi="Times New Roman" w:cs="Times New Roman" w:eastAsia="Times New Roman" w:hint="default"/>
        </w:rPr>
        <w:t>VTE</w:t>
      </w:r>
      <w:r>
        <w:rPr/>
        <w:t>风险评估系统、 </w:t>
      </w:r>
      <w:r>
        <w:rPr>
          <w:spacing w:val="-2"/>
        </w:rPr>
        <w:t>智能院感系统、智能临床科研系统及电子病历质控系统中，并在北京协和医院、解放军总医院、北京积水潭医院、中国医大</w:t>
      </w:r>
      <w:r>
        <w:rPr>
          <w:spacing w:val="-67"/>
        </w:rPr>
        <w:t> </w:t>
      </w:r>
      <w:r>
        <w:rPr>
          <w:spacing w:val="-67"/>
        </w:rPr>
      </w:r>
      <w:r>
        <w:rPr/>
        <w:t>一院、北京回龙观医院落地。利用该方法，北京协和医院临床医生填写效率提升</w:t>
      </w:r>
      <w:r>
        <w:rPr>
          <w:rFonts w:ascii="Times New Roman" w:hAnsi="Times New Roman" w:cs="Times New Roman" w:eastAsia="Times New Roman" w:hint="default"/>
        </w:rPr>
        <w:t>2</w:t>
      </w:r>
      <w:r>
        <w:rPr/>
        <w:t>倍以上，解放军总医院</w:t>
      </w:r>
      <w:r>
        <w:rPr>
          <w:rFonts w:ascii="Times New Roman" w:hAnsi="Times New Roman" w:cs="Times New Roman" w:eastAsia="Times New Roman" w:hint="default"/>
        </w:rPr>
        <w:t>VTE</w:t>
      </w:r>
      <w:r>
        <w:rPr/>
        <w:t>识别率比传统</w:t>
      </w:r>
      <w:r>
        <w:rPr>
          <w:spacing w:val="-74"/>
        </w:rPr>
        <w:t> </w:t>
      </w:r>
      <w:r>
        <w:rPr>
          <w:spacing w:val="-74"/>
        </w:rPr>
      </w:r>
      <w:r>
        <w:rPr/>
        <w:t>人工识别率提高了</w:t>
      </w:r>
      <w:r>
        <w:rPr>
          <w:rFonts w:ascii="Times New Roman" w:hAnsi="Times New Roman" w:cs="Times New Roman" w:eastAsia="Times New Roman" w:hint="default"/>
        </w:rPr>
        <w:t>20%</w:t>
      </w:r>
      <w:r>
        <w:rPr/>
        <w:t>，被国家卫健委评为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医疗健康人工智能应用落地</w:t>
      </w:r>
      <w:r>
        <w:rPr>
          <w:rFonts w:ascii="Times New Roman" w:hAnsi="Times New Roman" w:cs="Times New Roman" w:eastAsia="Times New Roman" w:hint="default"/>
        </w:rPr>
        <w:t>30</w:t>
      </w:r>
      <w:r>
        <w:rPr/>
        <w:t>最佳案例</w:t>
      </w:r>
      <w:r>
        <w:rPr>
          <w:rFonts w:ascii="Times New Roman" w:hAnsi="Times New Roman" w:cs="Times New Roman" w:eastAsia="Times New Roman" w:hint="default"/>
        </w:rPr>
        <w:t>”</w:t>
      </w:r>
      <w:r>
        <w:rPr/>
        <w:t>之一，荣获健康界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人工</w:t>
      </w:r>
      <w:r>
        <w:rPr>
          <w:spacing w:val="-32"/>
        </w:rPr>
        <w:t> </w:t>
      </w:r>
      <w:r>
        <w:rPr/>
        <w:t>智能系统</w:t>
      </w:r>
      <w:r>
        <w:rPr>
          <w:rFonts w:ascii="Times New Roman" w:hAnsi="Times New Roman" w:cs="Times New Roman" w:eastAsia="Times New Roman" w:hint="default"/>
        </w:rPr>
        <w:t>”</w:t>
      </w:r>
      <w:r>
        <w:rPr/>
        <w:t>二等奖。智能院感系统已在</w:t>
      </w:r>
      <w:r>
        <w:rPr>
          <w:rFonts w:ascii="Times New Roman" w:hAnsi="Times New Roman" w:cs="Times New Roman" w:eastAsia="Times New Roman" w:hint="default"/>
        </w:rPr>
        <w:t>150+</w:t>
      </w:r>
      <w:r>
        <w:rPr/>
        <w:t>家医院上线运行，出院病历筛查比例</w:t>
      </w:r>
      <w:r>
        <w:rPr>
          <w:rFonts w:ascii="Times New Roman" w:hAnsi="Times New Roman" w:cs="Times New Roman" w:eastAsia="Times New Roman" w:hint="default"/>
        </w:rPr>
        <w:t>3%</w:t>
      </w:r>
      <w:r>
        <w:rPr/>
        <w:t>左右，召回率在</w:t>
      </w:r>
      <w:r>
        <w:rPr>
          <w:rFonts w:ascii="Times New Roman" w:hAnsi="Times New Roman" w:cs="Times New Roman" w:eastAsia="Times New Roman" w:hint="default"/>
        </w:rPr>
        <w:t>90%</w:t>
      </w:r>
      <w:r>
        <w:rPr/>
        <w:t>以上，院内感染病例 报告卡的填写效率显著提高。电子病历质控系统，质控</w:t>
      </w:r>
      <w:r>
        <w:rPr>
          <w:rFonts w:ascii="Times New Roman" w:hAnsi="Times New Roman" w:cs="Times New Roman" w:eastAsia="Times New Roman" w:hint="default"/>
        </w:rPr>
        <w:t>1000</w:t>
      </w:r>
      <w:r>
        <w:rPr/>
        <w:t>份病历小于</w:t>
      </w:r>
      <w:r>
        <w:rPr>
          <w:rFonts w:ascii="Times New Roman" w:hAnsi="Times New Roman" w:cs="Times New Roman" w:eastAsia="Times New Roman" w:hint="default"/>
        </w:rPr>
        <w:t>60</w:t>
      </w:r>
      <w:r>
        <w:rPr/>
        <w:t>分钟，达到国内领先水平。</w:t>
      </w:r>
    </w:p>
    <w:p>
      <w:pPr>
        <w:spacing w:line="240" w:lineRule="auto" w:before="9"/>
        <w:rPr>
          <w:rFonts w:ascii="宋体" w:hAnsi="宋体" w:cs="宋体" w:eastAsia="宋体" w:hint="default"/>
          <w:sz w:val="12"/>
          <w:szCs w:val="12"/>
        </w:rPr>
      </w:pPr>
    </w:p>
    <w:p>
      <w:pPr>
        <w:pStyle w:val="BodyText"/>
        <w:spacing w:line="232" w:lineRule="exact"/>
        <w:ind w:right="1136" w:firstLine="360"/>
        <w:jc w:val="both"/>
      </w:pPr>
      <w:r>
        <w:rPr/>
        <w:t>在医学人工智能筛查诊断方面，研发完成远程肺</w:t>
      </w:r>
      <w:r>
        <w:rPr>
          <w:rFonts w:ascii="Times New Roman" w:hAnsi="Times New Roman" w:cs="Times New Roman" w:eastAsia="Times New Roman" w:hint="default"/>
        </w:rPr>
        <w:t>CT</w:t>
      </w:r>
      <w:r>
        <w:rPr/>
        <w:t>影像</w:t>
      </w:r>
      <w:r>
        <w:rPr>
          <w:rFonts w:ascii="Times New Roman" w:hAnsi="Times New Roman" w:cs="Times New Roman" w:eastAsia="Times New Roman" w:hint="default"/>
        </w:rPr>
        <w:t>AI</w:t>
      </w:r>
      <w:r>
        <w:rPr/>
        <w:t>辅助诊断，使用深度学习算法辅助医生读片，并支持多模态 的图像训练，实现基于人工智能的影像分析、辅助诊断、结构化报告等功能。</w:t>
      </w:r>
    </w:p>
    <w:p>
      <w:pPr>
        <w:pStyle w:val="BodyText"/>
        <w:spacing w:line="392" w:lineRule="exact" w:before="29"/>
        <w:ind w:left="513" w:right="986"/>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）医保产品</w:t>
      </w:r>
      <w:r>
        <w:rPr>
          <w:rFonts w:ascii="宋体" w:hAnsi="宋体" w:cs="宋体" w:eastAsia="宋体" w:hint="default"/>
          <w:b/>
          <w:bCs/>
          <w:w w:val="99"/>
        </w:rPr>
        <w:t> </w:t>
      </w:r>
      <w:r>
        <w:rPr/>
        <w:t>在医保产品研发方面，公司已全面上线</w:t>
      </w:r>
      <w:r>
        <w:rPr>
          <w:rFonts w:ascii="Times New Roman" w:hAnsi="Times New Roman" w:cs="Times New Roman" w:eastAsia="Times New Roman" w:hint="default"/>
        </w:rPr>
        <w:t>DRG</w:t>
      </w:r>
      <w:r>
        <w:rPr/>
        <w:t>分组小程序，用户量大增。此外，为适应国家医保局</w:t>
      </w:r>
      <w:r>
        <w:rPr>
          <w:rFonts w:ascii="Times New Roman" w:hAnsi="Times New Roman" w:cs="Times New Roman" w:eastAsia="Times New Roman" w:hint="default"/>
        </w:rPr>
        <w:t>DRG</w:t>
      </w:r>
      <w:r>
        <w:rPr/>
        <w:t>付费趋势，</w:t>
      </w:r>
      <w:r>
        <w:rPr>
          <w:rFonts w:ascii="Times New Roman" w:hAnsi="Times New Roman" w:cs="Times New Roman" w:eastAsia="Times New Roman" w:hint="default"/>
        </w:rPr>
        <w:t>2019</w:t>
      </w:r>
    </w:p>
    <w:p>
      <w:pPr>
        <w:pStyle w:val="BodyText"/>
        <w:spacing w:line="194" w:lineRule="exact"/>
        <w:ind w:right="986"/>
        <w:jc w:val="left"/>
      </w:pPr>
      <w:r>
        <w:rPr/>
        <w:t>年启动</w:t>
      </w:r>
      <w:r>
        <w:rPr>
          <w:rFonts w:ascii="Times New Roman" w:hAnsi="Times New Roman" w:cs="Times New Roman" w:eastAsia="Times New Roman" w:hint="default"/>
        </w:rPr>
        <w:t>CHS-DRG</w:t>
      </w:r>
      <w:r>
        <w:rPr/>
        <w:t>分组器研发，成功开发预分组产品并在北京安贞医院上线，产品灵活，实用性强。</w:t>
      </w:r>
    </w:p>
    <w:p>
      <w:pPr>
        <w:pStyle w:val="BodyText"/>
        <w:spacing w:line="232" w:lineRule="auto" w:before="146"/>
        <w:ind w:right="1131" w:firstLine="360"/>
        <w:jc w:val="both"/>
      </w:pPr>
      <w:r>
        <w:rPr/>
        <w:t>在智能审核方面，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月，中标中国人保集团智能审核系统。实施项目过程中，借助在公司院内智能审核、大数据 </w:t>
      </w:r>
      <w:r>
        <w:rPr>
          <w:spacing w:val="-2"/>
        </w:rPr>
        <w:t>分析方面的优势，快速完成医保智能审核新系统研发，并在晋城医保局、保定人保公司完成上线。新产品结合临床知识库进</w:t>
      </w:r>
      <w:r>
        <w:rPr>
          <w:spacing w:val="-65"/>
        </w:rPr>
        <w:t> </w:t>
      </w:r>
      <w:r>
        <w:rPr>
          <w:spacing w:val="-65"/>
        </w:rPr>
      </w:r>
      <w:r>
        <w:rPr/>
        <w:t>行审核，并融入大数据分析功能，可通过建模，灵活实现串换药物、不合理就医、费用异常提醒等新业务快速部署。</w:t>
      </w:r>
    </w:p>
    <w:p>
      <w:pPr>
        <w:pStyle w:val="BodyText"/>
        <w:spacing w:line="232" w:lineRule="auto" w:before="160"/>
        <w:ind w:right="1129" w:firstLine="360"/>
        <w:jc w:val="both"/>
      </w:pPr>
      <w:r>
        <w:rPr>
          <w:spacing w:val="-2"/>
        </w:rPr>
        <w:t>在商保业务领域，通过泰康人寿合作，在兰州大学第一医院、兰州大学第二医院、济宁第一人民医院、新郑市公立人民</w:t>
      </w:r>
      <w:r>
        <w:rPr/>
        <w:t> </w:t>
      </w:r>
      <w:r>
        <w:rPr>
          <w:spacing w:val="-2"/>
        </w:rPr>
        <w:t>医院、国药东风医院、汕尾市人民医院、包二附院、甘肃省中医院、武威市人民医院、石河子大学第一附属医院、西宁市第</w:t>
      </w:r>
      <w:r>
        <w:rPr>
          <w:spacing w:val="-73"/>
        </w:rPr>
        <w:t> </w:t>
      </w:r>
      <w:r>
        <w:rPr>
          <w:spacing w:val="-73"/>
        </w:rPr>
      </w:r>
      <w:r>
        <w:rPr>
          <w:spacing w:val="-2"/>
        </w:rPr>
        <w:t>一人民医院、天津中医药大学第一附属医院、三明市第三医院等</w:t>
      </w:r>
      <w:r>
        <w:rPr>
          <w:rFonts w:ascii="Times New Roman" w:hAnsi="Times New Roman" w:cs="Times New Roman" w:eastAsia="Times New Roman" w:hint="default"/>
          <w:spacing w:val="-2"/>
        </w:rPr>
        <w:t>23</w:t>
      </w:r>
      <w:r>
        <w:rPr>
          <w:spacing w:val="-2"/>
        </w:rPr>
        <w:t>家医院上线商保平台，完成了患者快赔、直赔的业务功能</w:t>
      </w:r>
      <w:r>
        <w:rPr>
          <w:spacing w:val="-62"/>
        </w:rPr>
        <w:t> </w:t>
      </w:r>
      <w:r>
        <w:rPr>
          <w:spacing w:val="-62"/>
        </w:rPr>
      </w:r>
      <w:r>
        <w:rPr/>
        <w:t>开发及优化，提升用户体验。</w:t>
      </w:r>
    </w:p>
    <w:p>
      <w:pPr>
        <w:pStyle w:val="Heading5"/>
        <w:spacing w:line="240" w:lineRule="auto" w:before="154"/>
        <w:ind w:right="986"/>
        <w:jc w:val="left"/>
        <w:rPr>
          <w:b w:val="0"/>
          <w:bCs w:val="0"/>
        </w:rPr>
      </w:pPr>
      <w:r>
        <w:rPr/>
        <w:t>（</w:t>
      </w:r>
      <w:r>
        <w:rPr>
          <w:rFonts w:ascii="Times New Roman" w:hAnsi="Times New Roman" w:cs="Times New Roman" w:eastAsia="Times New Roman" w:hint="default"/>
        </w:rPr>
        <w:t>7</w:t>
      </w:r>
      <w:r>
        <w:rPr/>
        <w:t>）核心业务系统</w:t>
      </w:r>
      <w:r>
        <w:rPr>
          <w:b w:val="0"/>
          <w:bCs w:val="0"/>
        </w:rPr>
      </w:r>
    </w:p>
    <w:p>
      <w:pPr>
        <w:pStyle w:val="BodyText"/>
        <w:spacing w:line="228" w:lineRule="auto" w:before="150"/>
        <w:ind w:right="1028" w:firstLine="360"/>
        <w:jc w:val="left"/>
      </w:pPr>
      <w:r>
        <w:rPr/>
        <w:t>在本年度，结合电子病历评级最新要求，</w:t>
      </w:r>
      <w:r>
        <w:rPr>
          <w:rFonts w:ascii="Times New Roman" w:hAnsi="Times New Roman" w:cs="Times New Roman" w:eastAsia="Times New Roman" w:hint="default"/>
        </w:rPr>
        <w:t>,</w:t>
      </w:r>
      <w:r>
        <w:rPr/>
        <w:t>公司进一步扩充以</w:t>
      </w:r>
      <w:r>
        <w:rPr>
          <w:rFonts w:ascii="Times New Roman" w:hAnsi="Times New Roman" w:cs="Times New Roman" w:eastAsia="Times New Roman" w:hint="default"/>
        </w:rPr>
        <w:t>iMedical</w:t>
      </w:r>
      <w:r>
        <w:rPr>
          <w:rFonts w:ascii="Times New Roman" w:hAnsi="Times New Roman" w:cs="Times New Roman" w:eastAsia="Times New Roman" w:hint="default"/>
          <w:spacing w:val="-22"/>
        </w:rPr>
        <w:t>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rFonts w:ascii="Times New Roman" w:hAnsi="Times New Roman" w:cs="Times New Roman" w:eastAsia="Times New Roman" w:hint="default"/>
        </w:rPr>
        <w:t>plus</w:t>
      </w:r>
      <w:r>
        <w:rPr/>
        <w:t>为核心的新产品组合，推出</w:t>
      </w:r>
      <w:r>
        <w:rPr>
          <w:rFonts w:ascii="Times New Roman" w:hAnsi="Times New Roman" w:cs="Times New Roman" w:eastAsia="Times New Roman" w:hint="default"/>
        </w:rPr>
        <w:t>iMedical8.3</w:t>
      </w:r>
      <w:r>
        <w:rPr/>
        <w:t>版本。 </w:t>
      </w:r>
      <w:r>
        <w:rPr>
          <w:spacing w:val="-2"/>
        </w:rPr>
        <w:t>针对医疗机构数字化建设过程中的新业务问题，在医院闭环流程管理，检查检验、手术管理、输血管理、危机值管理等方面</w:t>
      </w:r>
      <w:r>
        <w:rPr>
          <w:spacing w:val="-67"/>
        </w:rPr>
        <w:t> </w:t>
      </w:r>
      <w:r>
        <w:rPr>
          <w:spacing w:val="-67"/>
        </w:rPr>
      </w:r>
      <w:r>
        <w:rPr/>
        <w:t>都提供相应的功能升级和优化。引入语音合作厂商，发布语音版</w:t>
      </w:r>
      <w:r>
        <w:rPr>
          <w:rFonts w:ascii="Times New Roman" w:hAnsi="Times New Roman" w:cs="Times New Roman" w:eastAsia="Times New Roman" w:hint="default"/>
        </w:rPr>
        <w:t>HIS</w:t>
      </w:r>
      <w:r>
        <w:rPr/>
        <w:t>，融入临床医生站和护士工作站，不仅支持语音输入， 还可以实现语音操作，支持</w:t>
      </w:r>
      <w:r>
        <w:rPr>
          <w:rFonts w:ascii="Times New Roman" w:hAnsi="Times New Roman" w:cs="Times New Roman" w:eastAsia="Times New Roman" w:hint="default"/>
        </w:rPr>
        <w:t>PC</w:t>
      </w:r>
      <w:r>
        <w:rPr/>
        <w:t>到移动端，体现了智慧一体化应用效果。此外，还研发了一批新业务系统，包括包括孕产妇</w:t>
      </w:r>
      <w:r>
        <w:rPr>
          <w:spacing w:val="-42"/>
        </w:rPr>
        <w:t> </w:t>
      </w:r>
      <w:r>
        <w:rPr>
          <w:spacing w:val="-42"/>
        </w:rPr>
      </w:r>
      <w:r>
        <w:rPr/>
        <w:t>保健管理系统、多学科会诊系统、护理病历</w:t>
      </w:r>
      <w:r>
        <w:rPr>
          <w:rFonts w:ascii="Times New Roman" w:hAnsi="Times New Roman" w:cs="Times New Roman" w:eastAsia="Times New Roman" w:hint="default"/>
        </w:rPr>
        <w:t>v2.0</w:t>
      </w:r>
      <w:r>
        <w:rPr/>
        <w:t>、临床诊断管理平台、门诊静脉用药调配中心管理系统</w:t>
      </w:r>
      <w:r>
        <w:rPr>
          <w:rFonts w:ascii="Times New Roman" w:hAnsi="Times New Roman" w:cs="Times New Roman" w:eastAsia="Times New Roman" w:hint="default"/>
        </w:rPr>
        <w:t>v4.0</w:t>
      </w:r>
      <w:r>
        <w:rPr/>
        <w:t>、抗菌药物管理</w:t>
      </w:r>
      <w:r>
        <w:rPr>
          <w:spacing w:val="-85"/>
        </w:rPr>
        <w:t> </w:t>
      </w:r>
      <w:r>
        <w:rPr/>
        <w:t>系统</w:t>
      </w:r>
      <w:r>
        <w:rPr>
          <w:rFonts w:ascii="Times New Roman" w:hAnsi="Times New Roman" w:cs="Times New Roman" w:eastAsia="Times New Roman" w:hint="default"/>
        </w:rPr>
        <w:t>v2.0</w:t>
      </w:r>
      <w:r>
        <w:rPr/>
        <w:t>、统一用户认证管理平台、临床路径管理系统</w:t>
      </w:r>
      <w:r>
        <w:rPr>
          <w:rFonts w:ascii="Times New Roman" w:hAnsi="Times New Roman" w:cs="Times New Roman" w:eastAsia="Times New Roman" w:hint="default"/>
        </w:rPr>
        <w:t>v4.0</w:t>
      </w:r>
      <w:r>
        <w:rPr/>
        <w:t>、医院感染系统</w:t>
      </w:r>
      <w:r>
        <w:rPr>
          <w:rFonts w:ascii="Times New Roman" w:hAnsi="Times New Roman" w:cs="Times New Roman" w:eastAsia="Times New Roman" w:hint="default"/>
        </w:rPr>
        <w:t>v4.0</w:t>
      </w:r>
      <w:r>
        <w:rPr/>
        <w:t>、健康养老系统、基层医疗管理系统等，优</w:t>
      </w:r>
      <w:r>
        <w:rPr>
          <w:spacing w:val="-43"/>
        </w:rPr>
        <w:t> </w:t>
      </w:r>
      <w:r>
        <w:rPr>
          <w:spacing w:val="-43"/>
        </w:rPr>
      </w:r>
      <w:r>
        <w:rPr/>
        <w:t>化了部分产品的技术架构和底层基础数据结构，数据库性能得到提升，同时，还增强了产品交互体验的友好度和易用性。</w:t>
      </w:r>
    </w:p>
    <w:p>
      <w:pPr>
        <w:pStyle w:val="BodyText"/>
        <w:spacing w:line="237" w:lineRule="auto" w:before="156"/>
        <w:ind w:right="1130" w:firstLine="360"/>
        <w:jc w:val="both"/>
      </w:pPr>
      <w:r>
        <w:rPr>
          <w:spacing w:val="-2"/>
        </w:rPr>
        <w:t>其中，新研发的孕产妇保健管理系统，支持门诊住院全生命周期管理；智能护理系统，采用国际标准进行护理评估，在</w:t>
      </w:r>
      <w:r>
        <w:rPr/>
        <w:t> </w:t>
      </w:r>
      <w:r>
        <w:rPr>
          <w:spacing w:val="-2"/>
        </w:rPr>
        <w:t>工作中即时生成护理数据，改变原有临床护理应用使用被动繁琐的模式；研发多学科会诊系统，网络化支撑医院多学科的会</w:t>
      </w:r>
      <w:r>
        <w:rPr>
          <w:spacing w:val="-63"/>
        </w:rPr>
        <w:t> </w:t>
      </w:r>
      <w:r>
        <w:rPr>
          <w:spacing w:val="-63"/>
        </w:rPr>
      </w:r>
      <w:r>
        <w:rPr/>
        <w:t>诊形态，提高治疗质量；为应对老龄化趋势，发布了健康养老系统，满足国家老龄化趋势下，养老院管理的业务要求等。</w:t>
      </w:r>
    </w:p>
    <w:p>
      <w:pPr>
        <w:pStyle w:val="BodyText"/>
        <w:spacing w:line="390" w:lineRule="atLeast" w:before="12"/>
        <w:ind w:left="513" w:right="986"/>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）区块链产品</w:t>
      </w:r>
      <w:r>
        <w:rPr>
          <w:rFonts w:ascii="宋体" w:hAnsi="宋体" w:cs="宋体" w:eastAsia="宋体" w:hint="default"/>
          <w:b/>
          <w:bCs/>
          <w:w w:val="99"/>
        </w:rPr>
        <w:t> </w:t>
      </w:r>
      <w:r>
        <w:rPr/>
        <w:t>在区块链研究方面，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月，公司正式发布旗下区块链产品</w:t>
      </w:r>
      <w:r>
        <w:rPr>
          <w:rFonts w:ascii="Times New Roman" w:hAnsi="Times New Roman" w:cs="Times New Roman" w:eastAsia="Times New Roman" w:hint="default"/>
        </w:rPr>
        <w:t>——“</w:t>
      </w:r>
      <w:r>
        <w:rPr/>
        <w:t>健康链</w:t>
      </w:r>
      <w:r>
        <w:rPr>
          <w:rFonts w:ascii="Times New Roman" w:hAnsi="Times New Roman" w:cs="Times New Roman" w:eastAsia="Times New Roman" w:hint="default"/>
        </w:rPr>
        <w:t>·hBlock”</w:t>
      </w:r>
      <w:r>
        <w:rPr/>
        <w:t>，并于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月上线。健康链获</w:t>
      </w:r>
    </w:p>
    <w:p>
      <w:pPr>
        <w:pStyle w:val="BodyText"/>
        <w:spacing w:line="230" w:lineRule="auto"/>
        <w:ind w:right="1034"/>
        <w:jc w:val="left"/>
      </w:pPr>
      <w:r>
        <w:rPr/>
        <w:t>得第七届中国电子信息博览会</w:t>
      </w:r>
      <w:r>
        <w:rPr>
          <w:rFonts w:ascii="Times New Roman" w:hAnsi="Times New Roman" w:cs="Times New Roman" w:eastAsia="Times New Roman" w:hint="default"/>
        </w:rPr>
        <w:t>“CITE2019</w:t>
      </w:r>
      <w:r>
        <w:rPr/>
        <w:t>区块链优秀解决方案</w:t>
      </w:r>
      <w:r>
        <w:rPr>
          <w:rFonts w:ascii="Times New Roman" w:hAnsi="Times New Roman" w:cs="Times New Roman" w:eastAsia="Times New Roman" w:hint="default"/>
        </w:rPr>
        <w:t>”</w:t>
      </w:r>
      <w:r>
        <w:rPr/>
        <w:t>奖项及首届区块链与产业互联网融合应用大会</w:t>
      </w:r>
      <w:r>
        <w:rPr>
          <w:rFonts w:ascii="Times New Roman" w:hAnsi="Times New Roman" w:cs="Times New Roman" w:eastAsia="Times New Roman" w:hint="default"/>
        </w:rPr>
        <w:t>“</w:t>
      </w:r>
      <w:r>
        <w:rPr/>
        <w:t>创新案例</w:t>
      </w:r>
      <w:r>
        <w:rPr>
          <w:rFonts w:ascii="Times New Roman" w:hAnsi="Times New Roman" w:cs="Times New Roman" w:eastAsia="Times New Roman" w:hint="default"/>
        </w:rPr>
        <w:t>”</w:t>
      </w:r>
      <w:r>
        <w:rPr/>
        <w:t>奖。 </w:t>
      </w:r>
      <w:r>
        <w:rPr>
          <w:spacing w:val="-2"/>
        </w:rPr>
        <w:t>健康链已经应用于患者管理平台项目中，用技术手段在医疗机构，患者及监管方之间建立起一种数据交换、共享应用的互信</w:t>
      </w:r>
      <w:r>
        <w:rPr>
          <w:spacing w:val="-63"/>
        </w:rPr>
        <w:t> </w:t>
      </w:r>
      <w:r>
        <w:rPr>
          <w:spacing w:val="-63"/>
        </w:rPr>
      </w:r>
      <w:r>
        <w:rPr>
          <w:spacing w:val="-2"/>
        </w:rPr>
        <w:t>机制，保障数据依法有序自由流动。报告期内，健康链项目运行稳定，已持续服务于安徽医科大学第一附属医院，西宁市第</w:t>
      </w:r>
      <w:r>
        <w:rPr>
          <w:spacing w:val="-66"/>
        </w:rPr>
        <w:t> </w:t>
      </w:r>
      <w:r>
        <w:rPr>
          <w:spacing w:val="-66"/>
        </w:rPr>
      </w:r>
      <w:r>
        <w:rPr>
          <w:spacing w:val="-2"/>
        </w:rPr>
        <w:t>一人民医院，大同市第三人民医院等</w:t>
      </w:r>
      <w:r>
        <w:rPr>
          <w:rFonts w:ascii="Times New Roman" w:hAnsi="Times New Roman" w:cs="Times New Roman" w:eastAsia="Times New Roman" w:hint="default"/>
          <w:spacing w:val="-2"/>
        </w:rPr>
        <w:t>5</w:t>
      </w:r>
      <w:r>
        <w:rPr>
          <w:spacing w:val="-2"/>
        </w:rPr>
        <w:t>家医疗机构的患者管理业务。截至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月末，累计交易量</w:t>
      </w:r>
      <w:r>
        <w:rPr>
          <w:rFonts w:ascii="Times New Roman" w:hAnsi="Times New Roman" w:cs="Times New Roman" w:eastAsia="Times New Roman" w:hint="default"/>
          <w:spacing w:val="-2"/>
        </w:rPr>
        <w:t>20,484,010</w:t>
      </w:r>
      <w:r>
        <w:rPr>
          <w:spacing w:val="-2"/>
        </w:rPr>
        <w:t>笔，</w:t>
      </w:r>
      <w:r>
        <w:rPr>
          <w:rFonts w:ascii="Times New Roman" w:hAnsi="Times New Roman" w:cs="Times New Roman" w:eastAsia="Times New Roman" w:hint="default"/>
          <w:spacing w:val="-2"/>
        </w:rPr>
        <w:t>24</w:t>
      </w:r>
      <w:r>
        <w:rPr>
          <w:spacing w:val="-2"/>
        </w:rPr>
        <w:t>小时链</w:t>
      </w:r>
      <w:r>
        <w:rPr>
          <w:spacing w:val="-50"/>
        </w:rPr>
        <w:t> </w:t>
      </w:r>
      <w:r>
        <w:rPr>
          <w:spacing w:val="-50"/>
        </w:rPr>
      </w:r>
      <w:r>
        <w:rPr/>
        <w:t>上交易笔数稳定，为上述客户业务开展提供有力支撑。</w:t>
      </w:r>
    </w:p>
    <w:p>
      <w:pPr>
        <w:pStyle w:val="BodyText"/>
        <w:spacing w:line="370" w:lineRule="atLeast" w:before="33"/>
        <w:ind w:left="513" w:right="986"/>
        <w:jc w:val="left"/>
      </w:pPr>
      <w:r>
        <w:rPr>
          <w:rFonts w:ascii="Times New Roman" w:hAnsi="Times New Roman" w:cs="Times New Roman" w:eastAsia="Times New Roman" w:hint="default"/>
          <w:b/>
          <w:bCs/>
        </w:rPr>
        <w:t>2</w:t>
      </w:r>
      <w:r>
        <w:rPr>
          <w:rFonts w:ascii="宋体" w:hAnsi="宋体" w:cs="宋体" w:eastAsia="宋体" w:hint="default"/>
          <w:b/>
          <w:bCs/>
        </w:rPr>
        <w:t>、金融软件</w:t>
      </w:r>
      <w:r>
        <w:rPr>
          <w:rFonts w:ascii="宋体" w:hAnsi="宋体" w:cs="宋体" w:eastAsia="宋体" w:hint="default"/>
          <w:b/>
          <w:bCs/>
          <w:w w:val="99"/>
        </w:rPr>
        <w:t> </w:t>
      </w:r>
      <w:r>
        <w:rPr>
          <w:spacing w:val="-2"/>
        </w:rPr>
        <w:t>数字经济时代金融行业的新需求日益增长，依托在金融行业所积累的丰富经验和技术优势，金融团队不断完善其解决方</w:t>
      </w:r>
    </w:p>
    <w:p>
      <w:pPr>
        <w:pStyle w:val="BodyText"/>
        <w:spacing w:line="233" w:lineRule="exact"/>
        <w:ind w:right="986"/>
        <w:jc w:val="left"/>
      </w:pPr>
      <w:r>
        <w:rPr/>
        <w:t>案，持续加大软件产品开发力度。</w:t>
      </w:r>
    </w:p>
    <w:p>
      <w:pPr>
        <w:pStyle w:val="BodyText"/>
        <w:spacing w:line="235" w:lineRule="auto" w:before="160"/>
        <w:ind w:right="1042" w:firstLine="360"/>
        <w:jc w:val="left"/>
      </w:pPr>
      <w:r>
        <w:rPr>
          <w:spacing w:val="-2"/>
        </w:rPr>
        <w:t>在互联网和开放银行领域，公司整合业务系统、互联网系统建设能力，推出了开放银行拳头产品金融开放平台。金融开</w:t>
      </w:r>
      <w:r>
        <w:rPr/>
        <w:t> </w:t>
      </w:r>
      <w:r>
        <w:rPr>
          <w:spacing w:val="-3"/>
        </w:rPr>
        <w:t>放平台贯彻</w:t>
      </w:r>
      <w:r>
        <w:rPr>
          <w:rFonts w:ascii="Times New Roman" w:hAnsi="Times New Roman" w:cs="Times New Roman" w:eastAsia="Times New Roman" w:hint="default"/>
          <w:spacing w:val="-3"/>
        </w:rPr>
        <w:t>“</w:t>
      </w:r>
      <w:r>
        <w:rPr>
          <w:spacing w:val="-3"/>
        </w:rPr>
        <w:t>金融服务无处不在</w:t>
      </w:r>
      <w:r>
        <w:rPr>
          <w:rFonts w:ascii="Times New Roman" w:hAnsi="Times New Roman" w:cs="Times New Roman" w:eastAsia="Times New Roman" w:hint="default"/>
          <w:spacing w:val="-3"/>
        </w:rPr>
        <w:t>”</w:t>
      </w:r>
      <w:r>
        <w:rPr>
          <w:spacing w:val="-3"/>
        </w:rPr>
        <w:t>的方针，对业务服务进行治理，整合客户管理、账户管理、支付结算、风险控制、存款产品、</w:t>
      </w:r>
      <w:r>
        <w:rPr>
          <w:spacing w:val="-82"/>
        </w:rPr>
        <w:t> </w:t>
      </w:r>
      <w:r>
        <w:rPr>
          <w:spacing w:val="-82"/>
        </w:rPr>
      </w:r>
      <w:r>
        <w:rPr>
          <w:spacing w:val="-2"/>
        </w:rPr>
        <w:t>贷款产品、理财产品、金融产品等银行能力，减少重复性工作，屏蔽异构系统之间差异，形成企业级标准服务输出。在保证</w:t>
      </w:r>
      <w:r>
        <w:rPr>
          <w:spacing w:val="-68"/>
        </w:rPr>
        <w:t> </w:t>
      </w:r>
      <w:r>
        <w:rPr>
          <w:spacing w:val="-68"/>
        </w:rPr>
      </w:r>
      <w:r>
        <w:rPr>
          <w:spacing w:val="-2"/>
        </w:rPr>
        <w:t>安全可靠的前提下，向外部提供能力嵌入生态场景，聚合外部优质能力提升金融服务水平，将银行、开发者、合作伙伴、客</w:t>
      </w:r>
      <w:r>
        <w:rPr>
          <w:spacing w:val="-70"/>
        </w:rPr>
        <w:t> </w:t>
      </w:r>
      <w:r>
        <w:rPr>
          <w:spacing w:val="-70"/>
        </w:rPr>
      </w:r>
      <w:r>
        <w:rPr/>
        <w:t>户汇聚在一起，建立互利互赢的</w:t>
      </w:r>
      <w:r>
        <w:rPr>
          <w:rFonts w:ascii="Times New Roman" w:hAnsi="Times New Roman" w:cs="Times New Roman" w:eastAsia="Times New Roman" w:hint="default"/>
        </w:rPr>
        <w:t>“</w:t>
      </w:r>
      <w:r>
        <w:rPr/>
        <w:t>金融服务生态圈</w:t>
      </w:r>
      <w:r>
        <w:rPr>
          <w:rFonts w:ascii="Times New Roman" w:hAnsi="Times New Roman" w:cs="Times New Roman" w:eastAsia="Times New Roman" w:hint="default"/>
        </w:rPr>
        <w:t>”</w:t>
      </w:r>
      <w:r>
        <w:rPr/>
        <w:t>。</w:t>
      </w:r>
    </w:p>
    <w:p>
      <w:pPr>
        <w:pStyle w:val="BodyText"/>
        <w:spacing w:line="232" w:lineRule="auto" w:before="146"/>
        <w:ind w:right="1051" w:firstLine="360"/>
        <w:jc w:val="both"/>
      </w:pPr>
      <w:r>
        <w:rPr/>
        <w:t>在互联网金融领域，</w:t>
      </w:r>
      <w:r>
        <w:rPr>
          <w:rFonts w:ascii="Times New Roman" w:hAnsi="Times New Roman" w:cs="Times New Roman" w:eastAsia="Times New Roman" w:hint="default"/>
        </w:rPr>
        <w:t>“</w:t>
      </w:r>
      <w:r>
        <w:rPr/>
        <w:t>银企汇</w:t>
      </w:r>
      <w:r>
        <w:rPr>
          <w:rFonts w:ascii="Times New Roman" w:hAnsi="Times New Roman" w:cs="Times New Roman" w:eastAsia="Times New Roman" w:hint="default"/>
        </w:rPr>
        <w:t>”</w:t>
      </w:r>
      <w:r>
        <w:rPr/>
        <w:t>围绕数字化场景营销的定位，结合在金融行业的丰富实践经验，重点打造</w:t>
      </w:r>
      <w:r>
        <w:rPr>
          <w:rFonts w:ascii="Times New Roman" w:hAnsi="Times New Roman" w:cs="Times New Roman" w:eastAsia="Times New Roman" w:hint="default"/>
        </w:rPr>
        <w:t>“</w:t>
      </w:r>
      <w:r>
        <w:rPr/>
        <w:t>一核三端</w:t>
      </w:r>
      <w:r>
        <w:rPr>
          <w:rFonts w:ascii="Times New Roman" w:hAnsi="Times New Roman" w:cs="Times New Roman" w:eastAsia="Times New Roman" w:hint="default"/>
        </w:rPr>
        <w:t>”</w:t>
      </w:r>
      <w:r>
        <w:rPr/>
        <w:t>的产 </w:t>
      </w:r>
      <w:r>
        <w:rPr>
          <w:spacing w:val="-2"/>
        </w:rPr>
        <w:t>品体系、大数据一站式精准营销服务。公司持续深耕数字营销平台、移动营业厅、人人都是营销家、盈客平台四大产品，并</w:t>
      </w:r>
      <w:r>
        <w:rPr>
          <w:spacing w:val="-69"/>
        </w:rPr>
        <w:t> </w:t>
      </w:r>
      <w:r>
        <w:rPr>
          <w:spacing w:val="-69"/>
        </w:rPr>
      </w:r>
      <w:r>
        <w:rPr>
          <w:spacing w:val="-2"/>
        </w:rPr>
        <w:t>在下半年联合腾讯推出云普惠平台，助力银行打造客户蓄水池，解决低成本批量获客难、金融产品创新难、金融产品转化低</w:t>
      </w:r>
      <w:r>
        <w:rPr>
          <w:spacing w:val="-64"/>
        </w:rPr>
        <w:t> </w:t>
      </w:r>
      <w:r>
        <w:rPr>
          <w:spacing w:val="-64"/>
        </w:rPr>
      </w:r>
      <w:r>
        <w:rPr/>
        <w:t>和品牌影响力弱等难题。报告期内，公司完成了汇旅游生态平台、汇营销数据助手软件、汇营销知识平台、数字营销平台、</w:t>
      </w:r>
    </w:p>
    <w:p>
      <w:pPr>
        <w:spacing w:after="0" w:line="232" w:lineRule="auto"/>
        <w:jc w:val="both"/>
        <w:sectPr>
          <w:footerReference w:type="default" r:id="rId15"/>
          <w:pgSz w:w="11910" w:h="16840"/>
          <w:pgMar w:footer="979" w:header="748" w:top="1060" w:bottom="1160" w:left="980" w:right="0"/>
          <w:pgNumType w:start="18"/>
        </w:sectPr>
      </w:pPr>
    </w:p>
    <w:p>
      <w:pPr>
        <w:spacing w:line="240" w:lineRule="auto" w:before="8"/>
        <w:rPr>
          <w:rFonts w:ascii="宋体" w:hAnsi="宋体" w:cs="宋体" w:eastAsia="宋体" w:hint="default"/>
          <w:sz w:val="22"/>
          <w:szCs w:val="22"/>
        </w:rPr>
      </w:pPr>
    </w:p>
    <w:p>
      <w:pPr>
        <w:pStyle w:val="BodyText"/>
        <w:spacing w:line="237" w:lineRule="auto" w:before="46"/>
        <w:ind w:right="1130"/>
        <w:jc w:val="both"/>
      </w:pPr>
      <w:r>
        <w:rPr>
          <w:spacing w:val="-2"/>
        </w:rPr>
        <w:t>移动营业厅软件、银企聚合平台、银企汇盈客平台等产品的软件著作权产品认证，为公司在行业的发展提供了强大的核心竞</w:t>
      </w:r>
      <w:r>
        <w:rPr>
          <w:spacing w:val="-63"/>
        </w:rPr>
        <w:t> </w:t>
      </w:r>
      <w:r>
        <w:rPr>
          <w:spacing w:val="-63"/>
        </w:rPr>
      </w:r>
      <w:r>
        <w:rPr>
          <w:spacing w:val="-2"/>
        </w:rPr>
        <w:t>争力。在银行总账方面，总账管理系统持续研发，完善产品能力，构建总账系统实施工具，提升工具化能力，继续优化总账</w:t>
      </w:r>
      <w:r>
        <w:rPr>
          <w:spacing w:val="-68"/>
        </w:rPr>
        <w:t> </w:t>
      </w:r>
      <w:r>
        <w:rPr>
          <w:spacing w:val="-68"/>
        </w:rPr>
      </w:r>
      <w:r>
        <w:rPr>
          <w:spacing w:val="-2"/>
        </w:rPr>
        <w:t>系统的核算引擎效率，提升总账系统的性能参数，为总账系统快速实施及为客户提供更加稳定高效的交易级总账系统提供更</w:t>
      </w:r>
      <w:r>
        <w:rPr>
          <w:spacing w:val="-63"/>
        </w:rPr>
        <w:t> </w:t>
      </w:r>
      <w:r>
        <w:rPr>
          <w:spacing w:val="-63"/>
        </w:rPr>
      </w:r>
      <w:r>
        <w:rPr/>
        <w:t>加稳定的平台与后台支持。</w:t>
      </w:r>
    </w:p>
    <w:p>
      <w:pPr>
        <w:pStyle w:val="BodyText"/>
        <w:spacing w:line="237" w:lineRule="auto" w:before="155"/>
        <w:ind w:right="1034" w:firstLine="360"/>
        <w:jc w:val="left"/>
      </w:pPr>
      <w:r>
        <w:rPr/>
        <w:t>在云托管领域，全资子公司东华金云携手腾讯云深度合作后，将人工智能融合到银行传统金融业务中，通过人脸识别、 </w:t>
      </w:r>
      <w:r>
        <w:rPr>
          <w:spacing w:val="-2"/>
        </w:rPr>
        <w:t>活体检测、语音识别技术，多源信息交叉校验，精准匹配客户身份；以知识图谱技术，推送场景问答，有针对性的进行智能</w:t>
      </w:r>
      <w:r>
        <w:rPr>
          <w:spacing w:val="-68"/>
        </w:rPr>
        <w:t> </w:t>
      </w:r>
      <w:r>
        <w:rPr>
          <w:spacing w:val="-68"/>
        </w:rPr>
      </w:r>
      <w:r>
        <w:rPr>
          <w:spacing w:val="-2"/>
        </w:rPr>
        <w:t>身份复核；利用微表情技术，实时监控分析贷款客户心理；结合反欺诈系统，综合人行个人征信、银行卡、手机设备等多方</w:t>
      </w:r>
      <w:r>
        <w:rPr>
          <w:spacing w:val="-68"/>
        </w:rPr>
        <w:t> </w:t>
      </w:r>
      <w:r>
        <w:rPr>
          <w:spacing w:val="-68"/>
        </w:rPr>
      </w:r>
      <w:r>
        <w:rPr>
          <w:spacing w:val="-2"/>
        </w:rPr>
        <w:t>面信息比对，快速获取客户位置信息、设备编号、附近环境等相关要素，形成行为属性分析数据；大数据智能风控系统，整</w:t>
      </w:r>
      <w:r>
        <w:rPr>
          <w:spacing w:val="-70"/>
        </w:rPr>
        <w:t> </w:t>
      </w:r>
      <w:r>
        <w:rPr>
          <w:spacing w:val="-70"/>
        </w:rPr>
      </w:r>
      <w:r>
        <w:rPr>
          <w:spacing w:val="-2"/>
        </w:rPr>
        <w:t>合多源风控数据，快速灵活配置风控方案，实现高效实时审批。报告期内，东华金云已为多家实现智能设备交易渠道的多重</w:t>
      </w:r>
      <w:r>
        <w:rPr>
          <w:spacing w:val="-64"/>
        </w:rPr>
        <w:t> </w:t>
      </w:r>
      <w:r>
        <w:rPr>
          <w:spacing w:val="-64"/>
        </w:rPr>
      </w:r>
      <w:r>
        <w:rPr>
          <w:spacing w:val="-2"/>
        </w:rPr>
        <w:t>整合，智能设备、无纸化、无柜台化智能办理，以全新的服务流程、营销展示形式、互动式用户体验、信息捕捉技术等，实</w:t>
      </w:r>
      <w:r>
        <w:rPr>
          <w:spacing w:val="-65"/>
        </w:rPr>
        <w:t> </w:t>
      </w:r>
      <w:r>
        <w:rPr>
          <w:spacing w:val="-65"/>
        </w:rPr>
      </w:r>
      <w:r>
        <w:rPr/>
        <w:t>现线上旗舰店和线下体验区有机结合的智能化零售银行服务新模式，开辟科技惠民的新征程。</w:t>
      </w:r>
    </w:p>
    <w:p>
      <w:pPr>
        <w:pStyle w:val="BodyText"/>
        <w:spacing w:line="237" w:lineRule="auto" w:before="155"/>
        <w:ind w:right="1131" w:firstLine="360"/>
        <w:jc w:val="both"/>
      </w:pPr>
      <w:r>
        <w:rPr>
          <w:spacing w:val="-2"/>
        </w:rPr>
        <w:t>在金融信贷领域，公司运用移动互联、大数据、人工智能、电子签章、微服务等相关前沿技术，深入融合到信贷业务办</w:t>
      </w:r>
      <w:r>
        <w:rPr/>
        <w:t> </w:t>
      </w:r>
      <w:r>
        <w:rPr>
          <w:spacing w:val="-2"/>
        </w:rPr>
        <w:t>理流程中，从而提升客户经理工作效率，减轻客户经理工作量；纯线上自助贷款产品及与助贷机构合作的信贷产品研发，大</w:t>
      </w:r>
      <w:r>
        <w:rPr>
          <w:spacing w:val="-64"/>
        </w:rPr>
        <w:t> </w:t>
      </w:r>
      <w:r>
        <w:rPr>
          <w:spacing w:val="-64"/>
        </w:rPr>
      </w:r>
      <w:r>
        <w:rPr>
          <w:spacing w:val="-2"/>
        </w:rPr>
        <w:t>数据风控和全流程无纸化办公的落地，真正实现了上门尽调，现场放款的一站式贷款服务，助力银行拓展获客渠道、增强盈</w:t>
      </w:r>
      <w:r>
        <w:rPr>
          <w:spacing w:val="-64"/>
        </w:rPr>
        <w:t> </w:t>
      </w:r>
      <w:r>
        <w:rPr>
          <w:spacing w:val="-64"/>
        </w:rPr>
      </w:r>
      <w:r>
        <w:rPr>
          <w:spacing w:val="-2"/>
        </w:rPr>
        <w:t>利能力与核心竞争力；同时公司在报告期内研发推出了移动勘查平台，与银行合作的评估公司人员使用该平台完成对评估资</w:t>
      </w:r>
      <w:r>
        <w:rPr>
          <w:spacing w:val="-64"/>
        </w:rPr>
        <w:t> </w:t>
      </w:r>
      <w:r>
        <w:rPr>
          <w:spacing w:val="-64"/>
        </w:rPr>
      </w:r>
      <w:r>
        <w:rPr/>
        <w:t>产的现场勘查，可释放客户经理工作压力，使其专注于核心工作。</w:t>
      </w:r>
    </w:p>
    <w:p>
      <w:pPr>
        <w:pStyle w:val="BodyText"/>
        <w:spacing w:line="237" w:lineRule="auto" w:before="155"/>
        <w:ind w:right="986" w:firstLine="360"/>
        <w:jc w:val="left"/>
      </w:pPr>
      <w:r>
        <w:rPr>
          <w:spacing w:val="-2"/>
        </w:rPr>
        <w:t>在征信反洗钱领域，报告期内，公司已研发基于区块链和大数据技术的地方征信系统，征信综合报送系统、百行征信接</w:t>
      </w:r>
      <w:r>
        <w:rPr/>
        <w:t> </w:t>
      </w:r>
      <w:r>
        <w:rPr>
          <w:spacing w:val="-2"/>
        </w:rPr>
        <w:t>口系统等；为了将逐步优化现有征信产品，提高产品化率，在信贷风控和监管报数方向研发外部数据管理平台、统一监管报</w:t>
      </w:r>
      <w:r>
        <w:rPr>
          <w:spacing w:val="-64"/>
        </w:rPr>
        <w:t> </w:t>
      </w:r>
      <w:r>
        <w:rPr>
          <w:spacing w:val="-64"/>
        </w:rPr>
      </w:r>
      <w:r>
        <w:rPr>
          <w:spacing w:val="-2"/>
        </w:rPr>
        <w:t>数平台等新产品。数据服务方面，公司征信团队成员全程参与了央行一、二代征信系统的建设，具备建立征信系统的业务和</w:t>
      </w:r>
      <w:r>
        <w:rPr>
          <w:spacing w:val="-65"/>
        </w:rPr>
        <w:t> </w:t>
      </w:r>
      <w:r>
        <w:rPr>
          <w:spacing w:val="-65"/>
        </w:rPr>
      </w:r>
      <w:r>
        <w:rPr>
          <w:spacing w:val="-4"/>
        </w:rPr>
        <w:t>技术能力。我司已与数家行业协会商谈，拟与行业协会合作建立征信平台，从会员单位采集企业信用数据和欺诈黑名单数据，</w:t>
      </w:r>
      <w:r>
        <w:rPr>
          <w:spacing w:val="-44"/>
        </w:rPr>
        <w:t> </w:t>
      </w:r>
      <w:r>
        <w:rPr>
          <w:spacing w:val="-44"/>
        </w:rPr>
      </w:r>
      <w:r>
        <w:rPr>
          <w:spacing w:val="-2"/>
        </w:rPr>
        <w:t>为会员单位提供征信数据服务。公司作为反洗钱监测分析二代系统应用软件开发商，研发成功的东华反洗钱平台产品紧跟反</w:t>
      </w:r>
      <w:r>
        <w:rPr>
          <w:spacing w:val="-64"/>
        </w:rPr>
        <w:t> </w:t>
      </w:r>
      <w:r>
        <w:rPr>
          <w:spacing w:val="-64"/>
        </w:rPr>
      </w:r>
      <w:r>
        <w:rPr>
          <w:spacing w:val="-4"/>
        </w:rPr>
        <w:t>洗钱管理和监控的各类要求，确保客户反洗钱业务的合规性和可靠性，东华反洗钱工作平台：已完成反洗钱工作平台银行版、</w:t>
      </w:r>
      <w:r>
        <w:rPr>
          <w:spacing w:val="-44"/>
        </w:rPr>
        <w:t> </w:t>
      </w:r>
      <w:r>
        <w:rPr>
          <w:spacing w:val="-44"/>
        </w:rPr>
      </w:r>
      <w:r>
        <w:rPr/>
        <w:t>保险公司版、通用版（非银类）的基础开发，后续根据现场情况迭代细化开发，目前已在</w:t>
      </w:r>
      <w:r>
        <w:rPr>
          <w:rFonts w:ascii="Times New Roman" w:hAnsi="Times New Roman" w:cs="Times New Roman" w:eastAsia="Times New Roman" w:hint="default"/>
        </w:rPr>
        <w:t>8</w:t>
      </w:r>
      <w:r>
        <w:rPr/>
        <w:t>家机构部署实施。</w:t>
      </w:r>
    </w:p>
    <w:p>
      <w:pPr>
        <w:pStyle w:val="BodyText"/>
        <w:spacing w:line="232" w:lineRule="auto" w:before="146"/>
        <w:ind w:right="1131" w:firstLine="360"/>
        <w:jc w:val="both"/>
      </w:pPr>
      <w:r>
        <w:rPr>
          <w:spacing w:val="-2"/>
        </w:rPr>
        <w:t>在融资租赁领域，公司凭借多年的融资租赁软件行业丰富经验，依托于智慧投融资管理系统所积累的丰富经验推出了投</w:t>
      </w:r>
      <w:r>
        <w:rPr/>
        <w:t> </w:t>
      </w:r>
      <w:r>
        <w:rPr>
          <w:spacing w:val="-2"/>
        </w:rPr>
        <w:t>融资平台相关产品，通过统一的应用平台对租赁公司进行信息化建设，实现信息的统一管理，并将租赁业务、资金管理以及</w:t>
      </w:r>
      <w:r>
        <w:rPr>
          <w:spacing w:val="-64"/>
        </w:rPr>
        <w:t> </w:t>
      </w:r>
      <w:r>
        <w:rPr>
          <w:spacing w:val="-64"/>
        </w:rPr>
      </w:r>
      <w:r>
        <w:rPr>
          <w:spacing w:val="-2"/>
        </w:rPr>
        <w:t>账务核算有效地结合起来。同时，通过其他系统的集成，实现了统一的管理信息化系统建设目标。针对互联网端获取的情况</w:t>
      </w:r>
      <w:r>
        <w:rPr>
          <w:spacing w:val="-64"/>
        </w:rPr>
        <w:t> </w:t>
      </w:r>
      <w:r>
        <w:rPr>
          <w:spacing w:val="-64"/>
        </w:rPr>
      </w:r>
      <w:r>
        <w:rPr/>
        <w:t>推出的</w:t>
      </w:r>
      <w:r>
        <w:rPr>
          <w:rFonts w:ascii="Times New Roman" w:hAnsi="Times New Roman" w:cs="Times New Roman" w:eastAsia="Times New Roman" w:hint="default"/>
        </w:rPr>
        <w:t>“</w:t>
      </w:r>
      <w:r>
        <w:rPr/>
        <w:t>互联网获客软件产品</w:t>
      </w:r>
      <w:r>
        <w:rPr>
          <w:rFonts w:ascii="Times New Roman" w:hAnsi="Times New Roman" w:cs="Times New Roman" w:eastAsia="Times New Roman" w:hint="default"/>
        </w:rPr>
        <w:t>”</w:t>
      </w:r>
      <w:r>
        <w:rPr/>
        <w:t>为融资租赁公司的获客提供更加灵活的渠道，其产品在保留</w:t>
      </w:r>
      <w:r>
        <w:rPr>
          <w:rFonts w:ascii="Times New Roman" w:hAnsi="Times New Roman" w:cs="Times New Roman" w:eastAsia="Times New Roman" w:hint="default"/>
        </w:rPr>
        <w:t>WEB</w:t>
      </w:r>
      <w:r>
        <w:rPr/>
        <w:t>端获客的产品下，结合微信</w:t>
      </w:r>
      <w:r>
        <w:rPr>
          <w:spacing w:val="-24"/>
        </w:rPr>
        <w:t> </w:t>
      </w:r>
      <w:r>
        <w:rPr>
          <w:spacing w:val="-24"/>
        </w:rPr>
      </w:r>
      <w:r>
        <w:rPr/>
        <w:t>端等获客方式，融入大数据云风控及各类第</w:t>
      </w:r>
      <w:r>
        <w:rPr>
          <w:rFonts w:ascii="Times New Roman" w:hAnsi="Times New Roman" w:cs="Times New Roman" w:eastAsia="Times New Roman" w:hint="default"/>
        </w:rPr>
        <w:t>3</w:t>
      </w:r>
      <w:r>
        <w:rPr/>
        <w:t>方反欺诈手段，按照</w:t>
      </w:r>
      <w:r>
        <w:rPr>
          <w:rFonts w:ascii="Times New Roman" w:hAnsi="Times New Roman" w:cs="Times New Roman" w:eastAsia="Times New Roman" w:hint="default"/>
        </w:rPr>
        <w:t>“</w:t>
      </w:r>
      <w:r>
        <w:rPr/>
        <w:t>网络直销、交易驱动、集中运维、线上签约</w:t>
      </w:r>
      <w:r>
        <w:rPr>
          <w:rFonts w:ascii="Times New Roman" w:hAnsi="Times New Roman" w:cs="Times New Roman" w:eastAsia="Times New Roman" w:hint="default"/>
        </w:rPr>
        <w:t>”</w:t>
      </w:r>
      <w:r>
        <w:rPr/>
        <w:t>的原则，打</w:t>
      </w:r>
      <w:r>
        <w:rPr>
          <w:spacing w:val="-68"/>
        </w:rPr>
        <w:t> </w:t>
      </w:r>
      <w:r>
        <w:rPr/>
        <w:t>造互联网</w:t>
      </w:r>
      <w:r>
        <w:rPr>
          <w:rFonts w:ascii="Times New Roman" w:hAnsi="Times New Roman" w:cs="Times New Roman" w:eastAsia="Times New Roman" w:hint="default"/>
        </w:rPr>
        <w:t>“</w:t>
      </w:r>
      <w:r>
        <w:rPr/>
        <w:t>业务创建</w:t>
      </w:r>
      <w:r>
        <w:rPr>
          <w:rFonts w:ascii="Times New Roman" w:hAnsi="Times New Roman" w:cs="Times New Roman" w:eastAsia="Times New Roman" w:hint="default"/>
        </w:rPr>
        <w:t>”+“</w:t>
      </w:r>
      <w:r>
        <w:rPr/>
        <w:t>生态获客</w:t>
      </w:r>
      <w:r>
        <w:rPr>
          <w:rFonts w:ascii="Times New Roman" w:hAnsi="Times New Roman" w:cs="Times New Roman" w:eastAsia="Times New Roman" w:hint="default"/>
        </w:rPr>
        <w:t>”</w:t>
      </w:r>
      <w:r>
        <w:rPr/>
        <w:t>平台。</w:t>
      </w:r>
    </w:p>
    <w:p>
      <w:pPr>
        <w:pStyle w:val="BodyText"/>
        <w:spacing w:line="237" w:lineRule="auto" w:before="145"/>
        <w:ind w:right="1130" w:firstLine="360"/>
        <w:jc w:val="both"/>
      </w:pPr>
      <w:r>
        <w:rPr>
          <w:spacing w:val="-2"/>
        </w:rPr>
        <w:t>在投融资领域，专为财务公司投融资业务发展而开发的衍生产品，业务种类涵盖面广业务支撑能力强，极大程度上满足</w:t>
      </w:r>
      <w:r>
        <w:rPr/>
        <w:t> </w:t>
      </w:r>
      <w:r>
        <w:rPr>
          <w:spacing w:val="-2"/>
        </w:rPr>
        <w:t>财务公司业务需求，通过实施不同案例也不断积累更多经验，解决客户提出新问题的能力不断加强，因此投融资业务系统等</w:t>
      </w:r>
      <w:r>
        <w:rPr>
          <w:spacing w:val="-63"/>
        </w:rPr>
        <w:t> </w:t>
      </w:r>
      <w:r>
        <w:rPr>
          <w:spacing w:val="-63"/>
        </w:rPr>
      </w:r>
      <w:r>
        <w:rPr>
          <w:spacing w:val="-2"/>
        </w:rPr>
        <w:t>系列产品销量未来看好相关产品研发主体功能已经完成，优化升级后的投融资管理平台集合了投资与融资的管理系统，采用</w:t>
      </w:r>
      <w:r>
        <w:rPr>
          <w:spacing w:val="-64"/>
        </w:rPr>
        <w:t> </w:t>
      </w:r>
      <w:r>
        <w:rPr>
          <w:spacing w:val="-64"/>
        </w:rPr>
      </w:r>
      <w:r>
        <w:rPr>
          <w:spacing w:val="-2"/>
        </w:rPr>
        <w:t>大数据智能筛选、智能分析功能，增加了集团财务公司投融资机会并提高投融资的能力，保证财务公司对投资管理系统高并</w:t>
      </w:r>
      <w:r>
        <w:rPr>
          <w:spacing w:val="-63"/>
        </w:rPr>
        <w:t> </w:t>
      </w:r>
      <w:r>
        <w:rPr>
          <w:spacing w:val="-63"/>
        </w:rPr>
      </w:r>
      <w:r>
        <w:rPr/>
        <w:t>发的性能要求，使投资集团具备对外提供多种投资组合的能力，并提高集团财务公司投资匹配的能力。</w:t>
      </w:r>
    </w:p>
    <w:p>
      <w:pPr>
        <w:pStyle w:val="Heading5"/>
        <w:spacing w:line="240" w:lineRule="auto" w:before="153"/>
        <w:ind w:right="986"/>
        <w:jc w:val="left"/>
        <w:rPr>
          <w:b w:val="0"/>
          <w:bCs w:val="0"/>
        </w:rPr>
      </w:pPr>
      <w:r>
        <w:rPr>
          <w:rFonts w:ascii="Times New Roman" w:hAnsi="Times New Roman" w:cs="Times New Roman" w:eastAsia="Times New Roman" w:hint="default"/>
        </w:rPr>
        <w:t>3</w:t>
      </w:r>
      <w:r>
        <w:rPr/>
        <w:t>、智慧城市</w:t>
      </w:r>
      <w:r>
        <w:rPr>
          <w:b w:val="0"/>
          <w:bCs w:val="0"/>
        </w:rPr>
      </w:r>
    </w:p>
    <w:p>
      <w:pPr>
        <w:pStyle w:val="BodyText"/>
        <w:spacing w:line="370" w:lineRule="atLeast" w:before="19"/>
        <w:ind w:left="513" w:right="98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）数字政府</w:t>
      </w:r>
      <w:r>
        <w:rPr>
          <w:rFonts w:ascii="宋体" w:hAnsi="宋体" w:cs="宋体" w:eastAsia="宋体" w:hint="default"/>
          <w:b/>
          <w:bCs/>
          <w:w w:val="99"/>
        </w:rPr>
        <w:t> </w:t>
      </w:r>
      <w:r>
        <w:rPr>
          <w:spacing w:val="-2"/>
        </w:rPr>
        <w:t>为用户提升智慧城市建设理念，帮助政府打造智慧政务服务能力、优化城市管理者在城市治理、决策规划和产业互联等</w:t>
      </w:r>
    </w:p>
    <w:p>
      <w:pPr>
        <w:pStyle w:val="BodyText"/>
        <w:spacing w:line="232" w:lineRule="exact" w:before="22"/>
        <w:ind w:right="1130"/>
        <w:jc w:val="both"/>
      </w:pPr>
      <w:r>
        <w:rPr/>
        <w:t>方面的执行能力，公司在数字政府领域研发出未来</w:t>
      </w:r>
      <w:r>
        <w:rPr>
          <w:spacing w:val="6"/>
        </w:rPr>
        <w:t> </w:t>
      </w:r>
      <w:r>
        <w:rPr/>
        <w:t>城市的智慧大脑和产业大脑的核心引擎</w:t>
      </w:r>
      <w:r>
        <w:rPr>
          <w:rFonts w:ascii="Times New Roman" w:hAnsi="Times New Roman" w:cs="Times New Roman" w:eastAsia="Times New Roman" w:hint="default"/>
        </w:rPr>
        <w:t>——</w:t>
      </w:r>
      <w:r>
        <w:rPr/>
        <w:t>东华智慧中台：基于腾讯三</w:t>
      </w:r>
      <w:r>
        <w:rPr>
          <w:spacing w:val="-88"/>
        </w:rPr>
        <w:t> </w:t>
      </w:r>
      <w:r>
        <w:rPr>
          <w:spacing w:val="-88"/>
        </w:rPr>
      </w:r>
      <w:r>
        <w:rPr/>
        <w:t>中台核心产品能力，融入东华在公共服务支撑组件、行业大数据、行业</w:t>
      </w:r>
      <w:r>
        <w:rPr>
          <w:rFonts w:ascii="Times New Roman" w:hAnsi="Times New Roman" w:cs="Times New Roman" w:eastAsia="Times New Roman" w:hint="default"/>
        </w:rPr>
        <w:t>AI</w:t>
      </w:r>
      <w:r>
        <w:rPr/>
        <w:t>长期积淀的共性业务、技术能力，形成适应不同</w:t>
      </w:r>
      <w:r>
        <w:rPr>
          <w:spacing w:val="-13"/>
        </w:rPr>
        <w:t> </w:t>
      </w:r>
      <w:r>
        <w:rPr>
          <w:spacing w:val="-13"/>
        </w:rPr>
      </w:r>
      <w:r>
        <w:rPr/>
        <w:t>应用规模、不同应用场景的中台服务能力。</w:t>
      </w:r>
    </w:p>
    <w:p>
      <w:pPr>
        <w:pStyle w:val="BodyText"/>
        <w:spacing w:line="232" w:lineRule="exact" w:before="159"/>
        <w:ind w:right="1130" w:firstLine="360"/>
        <w:jc w:val="both"/>
      </w:pPr>
      <w:r>
        <w:rPr/>
        <w:t>东华智慧中台包括应用中台、数据中台、</w:t>
      </w:r>
      <w:r>
        <w:rPr>
          <w:rFonts w:ascii="Times New Roman" w:hAnsi="Times New Roman" w:cs="Times New Roman" w:eastAsia="Times New Roman" w:hint="default"/>
        </w:rPr>
        <w:t>AI</w:t>
      </w:r>
      <w:r>
        <w:rPr/>
        <w:t>中台，分别提供通用技术框架能力，大数据全生命周期管控和服务能力， 跨视频、音频、文本等的</w:t>
      </w:r>
      <w:r>
        <w:rPr>
          <w:rFonts w:ascii="Times New Roman" w:hAnsi="Times New Roman" w:cs="Times New Roman" w:eastAsia="Times New Roman" w:hint="default"/>
        </w:rPr>
        <w:t>AI</w:t>
      </w:r>
      <w:r>
        <w:rPr/>
        <w:t>模型构建及</w:t>
      </w:r>
      <w:r>
        <w:rPr>
          <w:rFonts w:ascii="Times New Roman" w:hAnsi="Times New Roman" w:cs="Times New Roman" w:eastAsia="Times New Roman" w:hint="default"/>
        </w:rPr>
        <w:t>AI</w:t>
      </w:r>
      <w:r>
        <w:rPr/>
        <w:t>分析服务能力。支持快速构建未来城市、产业互联网的统一技术底座，通过统一</w:t>
      </w:r>
      <w:r>
        <w:rPr>
          <w:spacing w:val="-26"/>
        </w:rPr>
        <w:t> </w:t>
      </w:r>
      <w:r>
        <w:rPr>
          <w:spacing w:val="-26"/>
        </w:rPr>
      </w:r>
      <w:r>
        <w:rPr/>
        <w:t>的服务中台进行能力聚合和快速供给，为上层应用提供高效可靠的技术和应用支撑</w:t>
      </w:r>
      <w:r>
        <w:rPr>
          <w:spacing w:val="6"/>
        </w:rPr>
        <w:t> </w:t>
      </w:r>
      <w:r>
        <w:rPr/>
        <w:t>，提供灵活的服务、敏捷的业务构建能</w:t>
      </w:r>
      <w:r>
        <w:rPr>
          <w:spacing w:val="-88"/>
        </w:rPr>
        <w:t> </w:t>
      </w:r>
      <w:r>
        <w:rPr>
          <w:spacing w:val="-88"/>
        </w:rPr>
      </w:r>
      <w:r>
        <w:rPr/>
        <w:t>力。</w:t>
      </w:r>
    </w:p>
    <w:p>
      <w:pPr>
        <w:pStyle w:val="BodyText"/>
        <w:spacing w:line="388" w:lineRule="exact" w:before="34"/>
        <w:ind w:left="513" w:right="103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）智慧应急</w:t>
      </w:r>
      <w:r>
        <w:rPr>
          <w:rFonts w:ascii="宋体" w:hAnsi="宋体" w:cs="宋体" w:eastAsia="宋体" w:hint="default"/>
          <w:b/>
          <w:bCs/>
          <w:w w:val="99"/>
        </w:rPr>
        <w:t> </w:t>
      </w:r>
      <w:r>
        <w:rPr>
          <w:spacing w:val="-3"/>
        </w:rPr>
        <w:t>东华智慧应急管理平台是按照</w:t>
      </w:r>
      <w:r>
        <w:rPr>
          <w:rFonts w:ascii="Times New Roman" w:hAnsi="Times New Roman" w:cs="Times New Roman" w:eastAsia="Times New Roman" w:hint="default"/>
          <w:spacing w:val="-3"/>
        </w:rPr>
        <w:t>“</w:t>
      </w:r>
      <w:r>
        <w:rPr>
          <w:spacing w:val="-3"/>
        </w:rPr>
        <w:t>一个中心、九个系统</w:t>
      </w:r>
      <w:r>
        <w:rPr>
          <w:rFonts w:ascii="Times New Roman" w:hAnsi="Times New Roman" w:cs="Times New Roman" w:eastAsia="Times New Roman" w:hint="default"/>
          <w:spacing w:val="-3"/>
        </w:rPr>
        <w:t>”</w:t>
      </w:r>
      <w:r>
        <w:rPr>
          <w:spacing w:val="-3"/>
        </w:rPr>
        <w:t>的总体产品框架，通过整合公安、消防、环保、气象、水利、林业、</w:t>
      </w:r>
    </w:p>
    <w:p>
      <w:pPr>
        <w:pStyle w:val="BodyText"/>
        <w:spacing w:line="179" w:lineRule="exact"/>
        <w:ind w:right="0"/>
        <w:jc w:val="both"/>
      </w:pPr>
      <w:r>
        <w:rPr/>
        <w:t>应急等各安委会成员单位的感知设备数据、应急资源数据、监管监测数据，以及重点监管企业的感知数据，包括移动终端、</w:t>
      </w:r>
    </w:p>
    <w:p>
      <w:pPr>
        <w:pStyle w:val="BodyText"/>
        <w:spacing w:line="236" w:lineRule="exact" w:before="20"/>
        <w:ind w:right="1142"/>
        <w:jc w:val="both"/>
      </w:pPr>
      <w:r>
        <w:rPr/>
        <w:t>摄像头（</w:t>
      </w:r>
      <w:r>
        <w:rPr>
          <w:rFonts w:ascii="Times New Roman" w:hAnsi="Times New Roman" w:cs="Times New Roman" w:eastAsia="Times New Roman" w:hint="default"/>
        </w:rPr>
        <w:t>AI</w:t>
      </w:r>
      <w:r>
        <w:rPr/>
        <w:t>视频结构化技术）、传感器、无人机等，依据卫星通信资源、消防卫星网、公专互补的通信网络，建设以防为</w:t>
      </w:r>
      <w:r>
        <w:rPr>
          <w:spacing w:val="-20"/>
        </w:rPr>
        <w:t> </w:t>
      </w:r>
      <w:r>
        <w:rPr>
          <w:spacing w:val="-20"/>
        </w:rPr>
      </w:r>
      <w:r>
        <w:rPr/>
        <w:t>主，防抗救相结合，统一指挥、专常兼备、反应灵敏、上下联动、平战结合的空天地一体化应急管理平台。</w:t>
      </w:r>
    </w:p>
    <w:p>
      <w:pPr>
        <w:pStyle w:val="BodyText"/>
        <w:spacing w:line="232" w:lineRule="exact" w:before="156"/>
        <w:ind w:right="1051" w:firstLine="360"/>
        <w:jc w:val="both"/>
      </w:pPr>
      <w:r>
        <w:rPr/>
        <w:t>利用大数据关联、挖掘分析，实现地区内资源合理配置、智能分析研判。针对突发事件，依据动态研判结果快速决策， </w:t>
      </w:r>
      <w:r>
        <w:rPr>
          <w:spacing w:val="-2"/>
        </w:rPr>
        <w:t>将风险与对应的资源动态匹配，对现场进行有效处置，实现统一指挥、分级响应。为领导决策、专家会商提供坚实的数据支</w:t>
      </w:r>
    </w:p>
    <w:p>
      <w:pPr>
        <w:spacing w:after="0" w:line="232" w:lineRule="exact"/>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986"/>
        <w:jc w:val="left"/>
      </w:pPr>
      <w:r>
        <w:rPr/>
        <w:t>持。</w:t>
      </w:r>
    </w:p>
    <w:p>
      <w:pPr>
        <w:spacing w:line="240" w:lineRule="auto" w:before="4"/>
        <w:rPr>
          <w:rFonts w:ascii="宋体" w:hAnsi="宋体" w:cs="宋体" w:eastAsia="宋体" w:hint="default"/>
          <w:sz w:val="8"/>
          <w:szCs w:val="8"/>
        </w:rPr>
      </w:pPr>
    </w:p>
    <w:p>
      <w:pPr>
        <w:pStyle w:val="Heading5"/>
        <w:spacing w:line="240" w:lineRule="auto" w:before="44"/>
        <w:ind w:right="986"/>
        <w:jc w:val="left"/>
        <w:rPr>
          <w:b w:val="0"/>
          <w:bCs w:val="0"/>
        </w:rPr>
      </w:pPr>
      <w:r>
        <w:rPr/>
        <w:t>（</w:t>
      </w:r>
      <w:r>
        <w:rPr>
          <w:rFonts w:ascii="Times New Roman" w:hAnsi="Times New Roman" w:cs="Times New Roman" w:eastAsia="Times New Roman" w:hint="default"/>
        </w:rPr>
        <w:t>3</w:t>
      </w:r>
      <w:r>
        <w:rPr/>
        <w:t>）智慧公安军警</w:t>
      </w:r>
      <w:r>
        <w:rPr>
          <w:b w:val="0"/>
          <w:bCs w:val="0"/>
        </w:rPr>
      </w:r>
    </w:p>
    <w:p>
      <w:pPr>
        <w:pStyle w:val="BodyText"/>
        <w:spacing w:line="228" w:lineRule="auto" w:before="152"/>
        <w:ind w:right="1128" w:firstLine="360"/>
        <w:jc w:val="both"/>
      </w:pPr>
      <w:r>
        <w:rPr>
          <w:spacing w:val="-2"/>
        </w:rPr>
        <w:t>鉴于全国公安行业的统一架构标准的确立，东华软件数据智能业务重新梳理构建了针对警务云的产品方案体系，在基础</w:t>
      </w:r>
      <w:r>
        <w:rPr/>
        <w:t> 研发层面，针对</w:t>
      </w:r>
      <w:r>
        <w:rPr>
          <w:rFonts w:ascii="Times New Roman" w:hAnsi="Times New Roman" w:cs="Times New Roman" w:eastAsia="Times New Roman" w:hint="default"/>
        </w:rPr>
        <w:t>AI</w:t>
      </w:r>
      <w:r>
        <w:rPr/>
        <w:t>算法与大数据模型，加强与科研院所与第三方合作，强化算法融合平台的建设，取得积极效果。针对海</w:t>
      </w:r>
      <w:r>
        <w:rPr>
          <w:spacing w:val="-18"/>
        </w:rPr>
        <w:t> </w:t>
      </w:r>
      <w:r>
        <w:rPr>
          <w:spacing w:val="-18"/>
        </w:rPr>
      </w:r>
      <w:r>
        <w:rPr>
          <w:spacing w:val="-1"/>
        </w:rPr>
        <w:t>量数据的现实环境，以及新标准的推出，于</w:t>
      </w:r>
      <w:r>
        <w:rPr>
          <w:rFonts w:ascii="Times New Roman" w:hAnsi="Times New Roman" w:cs="Times New Roman" w:eastAsia="Times New Roman" w:hint="default"/>
          <w:spacing w:val="-1"/>
        </w:rPr>
        <w:t>DAAS</w:t>
      </w:r>
      <w:r>
        <w:rPr>
          <w:spacing w:val="-1"/>
        </w:rPr>
        <w:t>层推进匹配开发数据服务平台，已完成关键模块研发，预计于</w:t>
      </w:r>
      <w:r>
        <w:rPr>
          <w:rFonts w:ascii="Times New Roman" w:hAnsi="Times New Roman" w:cs="Times New Roman" w:eastAsia="Times New Roman" w:hint="default"/>
          <w:spacing w:val="-1"/>
        </w:rPr>
        <w:t>2020</w:t>
      </w:r>
      <w:r>
        <w:rPr>
          <w:spacing w:val="-1"/>
        </w:rPr>
        <w:t>年年中</w:t>
      </w:r>
      <w:r>
        <w:rPr>
          <w:spacing w:val="-68"/>
        </w:rPr>
        <w:t> </w:t>
      </w:r>
      <w:r>
        <w:rPr>
          <w:spacing w:val="-68"/>
        </w:rPr>
      </w:r>
      <w:r>
        <w:rPr/>
        <w:t>全部匹配部颁标准。同时，针对各警种应用中的共性特点，整合并重构</w:t>
      </w:r>
      <w:r>
        <w:rPr>
          <w:rFonts w:ascii="Times New Roman" w:hAnsi="Times New Roman" w:cs="Times New Roman" w:eastAsia="Times New Roman" w:hint="default"/>
        </w:rPr>
        <w:t>SAAS</w:t>
      </w:r>
      <w:r>
        <w:rPr/>
        <w:t>层的工具化系列产品。针对个性化警种，完善 督查大数据系统并推广复制、推出精神病患者救助系统用于实战等。</w:t>
      </w:r>
    </w:p>
    <w:p>
      <w:pPr>
        <w:pStyle w:val="BodyText"/>
        <w:spacing w:line="370" w:lineRule="atLeast" w:before="33"/>
        <w:ind w:left="513" w:right="986"/>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）智慧文旅</w:t>
      </w:r>
      <w:r>
        <w:rPr>
          <w:rFonts w:ascii="宋体" w:hAnsi="宋体" w:cs="宋体" w:eastAsia="宋体" w:hint="default"/>
          <w:b/>
          <w:bCs/>
          <w:w w:val="99"/>
        </w:rPr>
        <w:t> </w:t>
      </w:r>
      <w:r>
        <w:rPr>
          <w:spacing w:val="-2"/>
        </w:rPr>
        <w:t>东华智慧文旅平台：在全国大力推进文旅产业融合发展的机遇下，借力已有的数字化、智慧化成果，借鉴已有的先进经</w:t>
      </w:r>
    </w:p>
    <w:p>
      <w:pPr>
        <w:pStyle w:val="BodyText"/>
        <w:spacing w:line="232" w:lineRule="auto" w:before="3"/>
        <w:ind w:right="1131"/>
        <w:jc w:val="both"/>
      </w:pPr>
      <w:r>
        <w:rPr>
          <w:spacing w:val="-2"/>
        </w:rPr>
        <w:t>验模式，公司以</w:t>
      </w:r>
      <w:r>
        <w:rPr>
          <w:rFonts w:ascii="Times New Roman" w:hAnsi="Times New Roman" w:cs="Times New Roman" w:eastAsia="Times New Roman" w:hint="default"/>
          <w:spacing w:val="-2"/>
        </w:rPr>
        <w:t>“</w:t>
      </w:r>
      <w:r>
        <w:rPr>
          <w:spacing w:val="-2"/>
        </w:rPr>
        <w:t>东华智慧文旅平台</w:t>
      </w:r>
      <w:r>
        <w:rPr>
          <w:rFonts w:ascii="Times New Roman" w:hAnsi="Times New Roman" w:cs="Times New Roman" w:eastAsia="Times New Roman" w:hint="default"/>
          <w:spacing w:val="-2"/>
        </w:rPr>
        <w:t>”</w:t>
      </w:r>
      <w:r>
        <w:rPr>
          <w:spacing w:val="-2"/>
        </w:rPr>
        <w:t>为抓手，以游客服务、行业管理、大数据分析为核心平台功能，打造完善的目的地文旅</w:t>
      </w:r>
      <w:r>
        <w:rPr>
          <w:spacing w:val="-47"/>
        </w:rPr>
        <w:t> </w:t>
      </w:r>
      <w:r>
        <w:rPr>
          <w:spacing w:val="-47"/>
        </w:rPr>
      </w:r>
      <w:r>
        <w:rPr>
          <w:spacing w:val="-2"/>
        </w:rPr>
        <w:t>公共服务体系，提升游客旅游体验的同时带动并提升文旅产业智慧化程度，更好的发挥产业促进、资源整合、统筹协调和服</w:t>
      </w:r>
      <w:r>
        <w:rPr>
          <w:spacing w:val="-64"/>
        </w:rPr>
        <w:t> </w:t>
      </w:r>
      <w:r>
        <w:rPr>
          <w:spacing w:val="-64"/>
        </w:rPr>
      </w:r>
      <w:r>
        <w:rPr/>
        <w:t>务监管职能，助推文化旅游产业持续发展。</w:t>
      </w:r>
    </w:p>
    <w:p>
      <w:pPr>
        <w:pStyle w:val="Heading5"/>
        <w:spacing w:line="240" w:lineRule="auto" w:before="154"/>
        <w:ind w:right="986"/>
        <w:jc w:val="left"/>
        <w:rPr>
          <w:b w:val="0"/>
          <w:bCs w:val="0"/>
        </w:rPr>
      </w:pPr>
      <w:r>
        <w:rPr/>
        <w:t>（</w:t>
      </w:r>
      <w:r>
        <w:rPr>
          <w:rFonts w:ascii="Times New Roman" w:hAnsi="Times New Roman" w:cs="Times New Roman" w:eastAsia="Times New Roman" w:hint="default"/>
        </w:rPr>
        <w:t>5</w:t>
      </w:r>
      <w:r>
        <w:rPr/>
        <w:t>）数字农业农村</w:t>
      </w:r>
      <w:r>
        <w:rPr>
          <w:b w:val="0"/>
          <w:bCs w:val="0"/>
        </w:rPr>
      </w:r>
    </w:p>
    <w:p>
      <w:pPr>
        <w:pStyle w:val="BodyText"/>
        <w:spacing w:line="225" w:lineRule="auto" w:before="152"/>
        <w:ind w:right="1130" w:firstLine="360"/>
        <w:jc w:val="both"/>
      </w:pPr>
      <w:r>
        <w:rPr>
          <w:rFonts w:ascii="Times New Roman" w:hAnsi="Times New Roman" w:cs="Times New Roman" w:eastAsia="Times New Roman" w:hint="default"/>
          <w:spacing w:val="-2"/>
        </w:rPr>
        <w:t>TDC</w:t>
      </w:r>
      <w:r>
        <w:rPr>
          <w:spacing w:val="-2"/>
        </w:rPr>
        <w:t>数字农村平台：由东华智慧城市联合腾讯公司共同研发，依托双方多年行业经验与技术积累，围绕数字中国战略与</w:t>
      </w:r>
      <w:r>
        <w:rPr/>
        <w:t> 乡村振兴战略，以连接农民与农业的互动、连接农村与城市的社群交流等服务</w:t>
      </w:r>
      <w:r>
        <w:rPr>
          <w:rFonts w:ascii="Times New Roman" w:hAnsi="Times New Roman" w:cs="Times New Roman" w:eastAsia="Times New Roman" w:hint="default"/>
        </w:rPr>
        <w:t>WeLink</w:t>
      </w:r>
      <w:r>
        <w:rPr/>
        <w:t>为核心、结合以农业生产品为核心的</w:t>
      </w:r>
      <w:r>
        <w:rPr>
          <w:spacing w:val="-50"/>
        </w:rPr>
        <w:t> </w:t>
      </w:r>
      <w:r>
        <w:rPr>
          <w:spacing w:val="-50"/>
        </w:rPr>
      </w:r>
      <w:r>
        <w:rPr>
          <w:spacing w:val="-2"/>
        </w:rPr>
        <w:t>自动化种植与科学培育</w:t>
      </w:r>
      <w:r>
        <w:rPr>
          <w:rFonts w:ascii="Times New Roman" w:hAnsi="Times New Roman" w:cs="Times New Roman" w:eastAsia="Times New Roman" w:hint="default"/>
          <w:spacing w:val="-2"/>
        </w:rPr>
        <w:t>WeFarm</w:t>
      </w:r>
      <w:r>
        <w:rPr>
          <w:spacing w:val="-2"/>
        </w:rPr>
        <w:t>，加上知识创新、技术创新、数据驱动为一体的产业链</w:t>
      </w:r>
      <w:r>
        <w:rPr>
          <w:rFonts w:ascii="Times New Roman" w:hAnsi="Times New Roman" w:cs="Times New Roman" w:eastAsia="Times New Roman" w:hint="default"/>
          <w:spacing w:val="-2"/>
        </w:rPr>
        <w:t>WeLead</w:t>
      </w:r>
      <w:r>
        <w:rPr>
          <w:spacing w:val="-2"/>
        </w:rPr>
        <w:t>，驱动农业农村行业数字化转</w:t>
      </w:r>
      <w:r>
        <w:rPr>
          <w:spacing w:val="-42"/>
        </w:rPr>
        <w:t> </w:t>
      </w:r>
      <w:r>
        <w:rPr>
          <w:spacing w:val="-42"/>
        </w:rPr>
      </w:r>
      <w:r>
        <w:rPr/>
        <w:t>型升级，实现</w:t>
      </w:r>
      <w:r>
        <w:rPr>
          <w:rFonts w:ascii="Times New Roman" w:hAnsi="Times New Roman" w:cs="Times New Roman" w:eastAsia="Times New Roman" w:hint="default"/>
        </w:rPr>
        <w:t>“</w:t>
      </w:r>
      <w:r>
        <w:rPr/>
        <w:t>未来乡村</w:t>
      </w:r>
      <w:r>
        <w:rPr>
          <w:rFonts w:ascii="Times New Roman" w:hAnsi="Times New Roman" w:cs="Times New Roman" w:eastAsia="Times New Roman" w:hint="default"/>
        </w:rPr>
        <w:t>”WeCountryside</w:t>
      </w:r>
      <w:r>
        <w:rPr/>
        <w:t>的美好愿景。平台荣获中国国际数字和软件服务交易会</w:t>
      </w:r>
      <w:r>
        <w:rPr>
          <w:rFonts w:ascii="Times New Roman" w:hAnsi="Times New Roman" w:cs="Times New Roman" w:eastAsia="Times New Roman" w:hint="default"/>
        </w:rPr>
        <w:t>"</w:t>
      </w:r>
      <w:r>
        <w:rPr/>
        <w:t>最佳数字化转型实践奖。</w:t>
      </w:r>
    </w:p>
    <w:p>
      <w:pPr>
        <w:pStyle w:val="BodyText"/>
        <w:spacing w:line="390" w:lineRule="atLeast" w:before="3"/>
        <w:ind w:left="513" w:right="1111"/>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）智慧住建</w:t>
      </w:r>
      <w:r>
        <w:rPr>
          <w:rFonts w:ascii="宋体" w:hAnsi="宋体" w:cs="宋体" w:eastAsia="宋体" w:hint="default"/>
          <w:b/>
          <w:bCs/>
          <w:w w:val="99"/>
        </w:rPr>
        <w:t> </w:t>
      </w:r>
      <w:r>
        <w:rPr/>
        <w:t>东华互联网</w:t>
      </w:r>
      <w:r>
        <w:rPr>
          <w:rFonts w:ascii="Times New Roman" w:hAnsi="Times New Roman" w:cs="Times New Roman" w:eastAsia="Times New Roman" w:hint="default"/>
        </w:rPr>
        <w:t>+</w:t>
      </w:r>
      <w:r>
        <w:rPr/>
        <w:t>住建应用平台：东华大住建产业联盟借助其多年的住建行业解决方案经验及基础平台技术积累，充分运用</w:t>
      </w:r>
    </w:p>
    <w:p>
      <w:pPr>
        <w:pStyle w:val="BodyText"/>
        <w:spacing w:line="218" w:lineRule="exact"/>
        <w:ind w:right="0"/>
        <w:jc w:val="both"/>
      </w:pPr>
      <w:r>
        <w:rPr/>
        <w:t>互联网、云计算、大数据、人工智能等信息技术，面向各省市住建厅、地市级住建局及执法大队管理机构，提供住建、房管</w:t>
      </w:r>
    </w:p>
    <w:p>
      <w:pPr>
        <w:pStyle w:val="BodyText"/>
        <w:spacing w:line="240" w:lineRule="auto"/>
        <w:ind w:right="1133"/>
        <w:jc w:val="both"/>
      </w:pPr>
      <w:r>
        <w:rPr>
          <w:spacing w:val="-2"/>
        </w:rPr>
        <w:t>（含住保）、社区、园区等全业务领域的大住建产业信息化服务能力，拥有全面、成熟的档案数字化与数据整理、全生命周</w:t>
      </w:r>
      <w:r>
        <w:rPr>
          <w:spacing w:val="-67"/>
        </w:rPr>
        <w:t> </w:t>
      </w:r>
      <w:r>
        <w:rPr>
          <w:spacing w:val="-67"/>
        </w:rPr>
      </w:r>
      <w:r>
        <w:rPr/>
        <w:t>期业务监管、住建大数据辅助决策、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住建</w:t>
      </w:r>
      <w:r>
        <w:rPr>
          <w:rFonts w:ascii="Times New Roman" w:hAnsi="Times New Roman" w:cs="Times New Roman" w:eastAsia="Times New Roman" w:hint="default"/>
        </w:rPr>
        <w:t>”</w:t>
      </w:r>
      <w:r>
        <w:rPr/>
        <w:t>等应用服务实践。</w:t>
      </w:r>
    </w:p>
    <w:p>
      <w:pPr>
        <w:pStyle w:val="BodyText"/>
        <w:spacing w:line="390" w:lineRule="atLeast"/>
        <w:ind w:left="513" w:right="986"/>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）智慧水利软件</w:t>
      </w:r>
      <w:r>
        <w:rPr>
          <w:rFonts w:ascii="宋体" w:hAnsi="宋体" w:cs="宋体" w:eastAsia="宋体" w:hint="default"/>
          <w:b/>
          <w:bCs/>
          <w:w w:val="99"/>
        </w:rPr>
        <w:t> </w:t>
      </w:r>
      <w:r>
        <w:rPr>
          <w:spacing w:val="-2"/>
        </w:rPr>
        <w:t>公司拥有水利专业和水利通用两大类软件产品。此外，公司持续加大水利软件产品的研发工作，基于</w:t>
      </w:r>
      <w:r>
        <w:rPr>
          <w:rFonts w:ascii="Times New Roman" w:hAnsi="Times New Roman" w:cs="Times New Roman" w:eastAsia="Times New Roman" w:hint="default"/>
          <w:spacing w:val="-2"/>
        </w:rPr>
        <w:t>“</w:t>
      </w:r>
      <w:r>
        <w:rPr>
          <w:spacing w:val="-2"/>
        </w:rPr>
        <w:t>产、学、研</w:t>
      </w:r>
      <w:r>
        <w:rPr>
          <w:rFonts w:ascii="Times New Roman" w:hAnsi="Times New Roman" w:cs="Times New Roman" w:eastAsia="Times New Roman" w:hint="default"/>
          <w:spacing w:val="-2"/>
        </w:rPr>
        <w:t>”</w:t>
      </w:r>
      <w:r>
        <w:rPr>
          <w:spacing w:val="-2"/>
        </w:rPr>
        <w:t>结合</w:t>
      </w:r>
    </w:p>
    <w:p>
      <w:pPr>
        <w:pStyle w:val="BodyText"/>
        <w:spacing w:line="219" w:lineRule="exact"/>
        <w:ind w:right="0"/>
        <w:jc w:val="both"/>
      </w:pPr>
      <w:r>
        <w:rPr/>
        <w:t>的发展模式，通过云计算、大数据、物联网、移动互联、人工智能、水文模型、空间分析、流程管理等综合技术的运用，围</w:t>
      </w:r>
    </w:p>
    <w:p>
      <w:pPr>
        <w:pStyle w:val="BodyText"/>
        <w:spacing w:line="232" w:lineRule="exact" w:before="24"/>
        <w:ind w:right="1129"/>
        <w:jc w:val="both"/>
      </w:pPr>
      <w:r>
        <w:rPr>
          <w:spacing w:val="-2"/>
        </w:rPr>
        <w:t>绕水资源保护、水灾害防治、水环境治理、水利工程建设与管理、水生态修复、水政执法等业务邻域继续深化智慧水利软件</w:t>
      </w:r>
      <w:r>
        <w:rPr>
          <w:spacing w:val="-67"/>
        </w:rPr>
        <w:t> </w:t>
      </w:r>
      <w:r>
        <w:rPr>
          <w:spacing w:val="-67"/>
        </w:rPr>
      </w:r>
      <w:r>
        <w:rPr>
          <w:spacing w:val="-2"/>
        </w:rPr>
        <w:t>研究。此外，还拥有梳理信息化资源整合、水资源大数据、水利监督、河湖长制、水资源管理、流域综合调度、水利工程全</w:t>
      </w:r>
      <w:r>
        <w:rPr>
          <w:spacing w:val="-65"/>
        </w:rPr>
        <w:t> </w:t>
      </w:r>
      <w:r>
        <w:rPr>
          <w:spacing w:val="-65"/>
        </w:rPr>
      </w:r>
      <w:r>
        <w:rPr/>
        <w:t>生命周期管理、农村饮水安全、水旱灾害防御、水利支撑平台、专业模型、专业</w:t>
      </w:r>
      <w:r>
        <w:rPr>
          <w:rFonts w:ascii="Times New Roman" w:hAnsi="Times New Roman" w:cs="Times New Roman" w:eastAsia="Times New Roman" w:hint="default"/>
        </w:rPr>
        <w:t>GIS</w:t>
      </w:r>
      <w:r>
        <w:rPr/>
        <w:t>组件等系列产品与解决方案。</w:t>
      </w:r>
    </w:p>
    <w:p>
      <w:pPr>
        <w:pStyle w:val="BodyText"/>
        <w:spacing w:line="232" w:lineRule="auto" w:before="138"/>
        <w:ind w:right="1129" w:firstLine="360"/>
        <w:jc w:val="both"/>
      </w:pPr>
      <w:r>
        <w:rPr>
          <w:spacing w:val="-2"/>
        </w:rPr>
        <w:t>在城市水务领域，主要解决的应用问题是，为配合城市排水设施管理体制改革，及利用信息化手段帮助新组建的排水公</w:t>
      </w:r>
      <w:r>
        <w:rPr/>
        <w:t> </w:t>
      </w:r>
      <w:r>
        <w:rPr>
          <w:spacing w:val="-2"/>
        </w:rPr>
        <w:t>司快速构建排水管网管理能力，从而支撑城市水环境治理，黑臭水体整治和污水处理系统提质增效等重点工作。业务应用涵</w:t>
      </w:r>
      <w:r>
        <w:rPr>
          <w:spacing w:val="-65"/>
        </w:rPr>
        <w:t> </w:t>
      </w:r>
      <w:r>
        <w:rPr>
          <w:spacing w:val="-65"/>
        </w:rPr>
      </w:r>
      <w:r>
        <w:rPr>
          <w:spacing w:val="-1"/>
        </w:rPr>
        <w:t>盖城市排水设施一张图（</w:t>
      </w:r>
      <w:r>
        <w:rPr>
          <w:rFonts w:ascii="Times New Roman" w:hAnsi="Times New Roman" w:cs="Times New Roman" w:eastAsia="Times New Roman" w:hint="default"/>
          <w:spacing w:val="-1"/>
        </w:rPr>
        <w:t>GIS</w:t>
      </w:r>
      <w:r>
        <w:rPr>
          <w:spacing w:val="-1"/>
        </w:rPr>
        <w:t>）、在线监测一张网、生产巡检和应急指挥等，在系统中采用物联网技术微服务架构和数据中</w:t>
      </w:r>
      <w:r>
        <w:rPr>
          <w:spacing w:val="-49"/>
        </w:rPr>
        <w:t> </w:t>
      </w:r>
      <w:r>
        <w:rPr>
          <w:spacing w:val="-49"/>
        </w:rPr>
      </w:r>
      <w:r>
        <w:rPr/>
        <w:t>台、业务中台技术。</w:t>
      </w:r>
    </w:p>
    <w:p>
      <w:pPr>
        <w:pStyle w:val="BodyText"/>
        <w:spacing w:line="390" w:lineRule="atLeast" w:before="15"/>
        <w:ind w:left="513" w:right="986"/>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）物联网和工业互联网</w:t>
      </w:r>
      <w:r>
        <w:rPr>
          <w:rFonts w:ascii="宋体" w:hAnsi="宋体" w:cs="宋体" w:eastAsia="宋体" w:hint="default"/>
          <w:b/>
          <w:bCs/>
          <w:w w:val="99"/>
        </w:rPr>
        <w:t> </w:t>
      </w:r>
      <w:r>
        <w:rPr>
          <w:spacing w:val="-2"/>
        </w:rPr>
        <w:t>基于物联网技术的</w:t>
      </w:r>
      <w:r>
        <w:rPr>
          <w:rFonts w:ascii="Times New Roman" w:hAnsi="Times New Roman" w:cs="Times New Roman" w:eastAsia="Times New Roman" w:hint="default"/>
          <w:spacing w:val="-2"/>
        </w:rPr>
        <w:t>PASS</w:t>
      </w:r>
      <w:r>
        <w:rPr>
          <w:spacing w:val="-2"/>
        </w:rPr>
        <w:t>平台：东华工业</w:t>
      </w:r>
      <w:r>
        <w:rPr>
          <w:rFonts w:ascii="Times New Roman" w:hAnsi="Times New Roman" w:cs="Times New Roman" w:eastAsia="Times New Roman" w:hint="default"/>
          <w:spacing w:val="-2"/>
        </w:rPr>
        <w:t>4.0</w:t>
      </w:r>
      <w:r>
        <w:rPr>
          <w:spacing w:val="-2"/>
        </w:rPr>
        <w:t>研究院经过多年的项目经验及技术积累，开发的基于物联网的</w:t>
      </w:r>
      <w:r>
        <w:rPr>
          <w:rFonts w:ascii="Times New Roman" w:hAnsi="Times New Roman" w:cs="Times New Roman" w:eastAsia="Times New Roman" w:hint="default"/>
          <w:spacing w:val="-2"/>
        </w:rPr>
        <w:t>PASS</w:t>
      </w:r>
      <w:r>
        <w:rPr>
          <w:spacing w:val="-2"/>
        </w:rPr>
        <w:t>平台能够</w:t>
      </w:r>
    </w:p>
    <w:p>
      <w:pPr>
        <w:pStyle w:val="BodyText"/>
        <w:spacing w:line="232" w:lineRule="exact" w:before="8"/>
        <w:ind w:right="1133"/>
        <w:jc w:val="both"/>
      </w:pPr>
      <w:r>
        <w:rPr>
          <w:spacing w:val="-2"/>
        </w:rPr>
        <w:t>集成上千种物联网公有及私有协议，存在较高技术门槛，目前在国内同行业处于领先水平，目前正在和腾讯及华为在一些项</w:t>
      </w:r>
      <w:r>
        <w:rPr>
          <w:spacing w:val="-66"/>
        </w:rPr>
        <w:t> </w:t>
      </w:r>
      <w:r>
        <w:rPr>
          <w:spacing w:val="-66"/>
        </w:rPr>
      </w:r>
      <w:r>
        <w:rPr/>
        <w:t>目上合作，此平台在各行业物联网应用中有非常大的市场空间。</w:t>
      </w:r>
    </w:p>
    <w:p>
      <w:pPr>
        <w:pStyle w:val="BodyText"/>
        <w:spacing w:line="232" w:lineRule="exact" w:before="159"/>
        <w:ind w:right="1131" w:firstLine="360"/>
        <w:jc w:val="both"/>
      </w:pPr>
      <w:r>
        <w:rPr/>
        <w:t>基于虚拟现实</w:t>
      </w:r>
      <w:r>
        <w:rPr>
          <w:rFonts w:ascii="Times New Roman" w:hAnsi="Times New Roman" w:cs="Times New Roman" w:eastAsia="Times New Roman" w:hint="default"/>
        </w:rPr>
        <w:t>VR</w:t>
      </w:r>
      <w:r>
        <w:rPr/>
        <w:t>技术的</w:t>
      </w:r>
      <w:r>
        <w:rPr>
          <w:rFonts w:ascii="Times New Roman" w:hAnsi="Times New Roman" w:cs="Times New Roman" w:eastAsia="Times New Roman" w:hint="default"/>
        </w:rPr>
        <w:t>SASS</w:t>
      </w:r>
      <w:r>
        <w:rPr/>
        <w:t>平台：东华工业</w:t>
      </w:r>
      <w:r>
        <w:rPr>
          <w:rFonts w:ascii="Times New Roman" w:hAnsi="Times New Roman" w:cs="Times New Roman" w:eastAsia="Times New Roman" w:hint="default"/>
        </w:rPr>
        <w:t>4.0</w:t>
      </w:r>
      <w:r>
        <w:rPr/>
        <w:t>研究院着手研发的虚拟现实</w:t>
      </w:r>
      <w:r>
        <w:rPr>
          <w:rFonts w:ascii="Times New Roman" w:hAnsi="Times New Roman" w:cs="Times New Roman" w:eastAsia="Times New Roman" w:hint="default"/>
        </w:rPr>
        <w:t>VR</w:t>
      </w:r>
      <w:r>
        <w:rPr/>
        <w:t>技术与工控</w:t>
      </w:r>
      <w:r>
        <w:rPr>
          <w:rFonts w:ascii="Times New Roman" w:hAnsi="Times New Roman" w:cs="Times New Roman" w:eastAsia="Times New Roman" w:hint="default"/>
        </w:rPr>
        <w:t>SCADA</w:t>
      </w:r>
      <w:r>
        <w:rPr/>
        <w:t>管控技术的融合产 </w:t>
      </w:r>
      <w:r>
        <w:rPr>
          <w:spacing w:val="-2"/>
        </w:rPr>
        <w:t>品，经过多年的项目经验和不断的产品更新研发，已经成熟地应用到智慧矿山、建筑智能化、智慧园区、智慧医院、智慧水</w:t>
      </w:r>
      <w:r>
        <w:rPr>
          <w:spacing w:val="-69"/>
        </w:rPr>
        <w:t> </w:t>
      </w:r>
      <w:r>
        <w:rPr>
          <w:spacing w:val="-69"/>
        </w:rPr>
      </w:r>
      <w:r>
        <w:rPr>
          <w:spacing w:val="-2"/>
        </w:rPr>
        <w:t>务、智慧监狱、智慧旅游等众多行业，可以炫酷直观的在三维环境下真实的展现现实设备的实时运行状态，为领导参观及应</w:t>
      </w:r>
      <w:r>
        <w:rPr>
          <w:spacing w:val="-64"/>
        </w:rPr>
        <w:t> </w:t>
      </w:r>
      <w:r>
        <w:rPr>
          <w:spacing w:val="-64"/>
        </w:rPr>
      </w:r>
      <w:r>
        <w:rPr/>
        <w:t>急救援提供强有力的技术保障，市场空间巨大。</w:t>
      </w:r>
    </w:p>
    <w:p>
      <w:pPr>
        <w:pStyle w:val="BodyText"/>
        <w:spacing w:line="370" w:lineRule="atLeast" w:before="13"/>
        <w:ind w:left="513" w:right="986"/>
        <w:jc w:val="left"/>
      </w:pPr>
      <w:r>
        <w:rPr>
          <w:rFonts w:ascii="宋体" w:hAnsi="宋体" w:cs="宋体" w:eastAsia="宋体" w:hint="default"/>
          <w:b/>
          <w:bCs/>
        </w:rPr>
        <w:t>（</w:t>
      </w:r>
      <w:r>
        <w:rPr>
          <w:rFonts w:ascii="Times New Roman" w:hAnsi="Times New Roman" w:cs="Times New Roman" w:eastAsia="Times New Roman" w:hint="default"/>
          <w:b/>
          <w:bCs/>
        </w:rPr>
        <w:t>9</w:t>
      </w:r>
      <w:r>
        <w:rPr>
          <w:rFonts w:ascii="宋体" w:hAnsi="宋体" w:cs="宋体" w:eastAsia="宋体" w:hint="default"/>
          <w:b/>
          <w:bCs/>
        </w:rPr>
        <w:t>）东华网智</w:t>
      </w:r>
      <w:r>
        <w:rPr>
          <w:rFonts w:ascii="宋体" w:hAnsi="宋体" w:cs="宋体" w:eastAsia="宋体" w:hint="default"/>
          <w:b/>
          <w:bCs/>
          <w:w w:val="99"/>
        </w:rPr>
        <w:t> </w:t>
      </w:r>
      <w:r>
        <w:rPr>
          <w:spacing w:val="-2"/>
        </w:rPr>
        <w:t>报告期内，东华网智持续深耕医疗、金融、能源、运营商等行业用户的运维监控系统需求，运用人工智能技术开发了东</w:t>
      </w:r>
    </w:p>
    <w:p>
      <w:pPr>
        <w:pStyle w:val="BodyText"/>
        <w:spacing w:line="225" w:lineRule="auto" w:before="10"/>
        <w:ind w:right="1131"/>
        <w:jc w:val="both"/>
      </w:pPr>
      <w:r>
        <w:rPr>
          <w:spacing w:val="-1"/>
        </w:rPr>
        <w:t>华</w:t>
      </w:r>
      <w:r>
        <w:rPr>
          <w:rFonts w:ascii="Times New Roman" w:hAnsi="Times New Roman" w:cs="Times New Roman" w:eastAsia="Times New Roman" w:hint="default"/>
          <w:spacing w:val="-1"/>
        </w:rPr>
        <w:t>AIOps</w:t>
      </w:r>
      <w:r>
        <w:rPr>
          <w:spacing w:val="-1"/>
        </w:rPr>
        <w:t>人工智能运维平台，基于机器学习的中枢大脑，自动从海量运维数据中不断的提炼总结规则，指挥监测系统采集大</w:t>
      </w:r>
      <w:r>
        <w:rPr>
          <w:spacing w:val="-61"/>
        </w:rPr>
        <w:t> </w:t>
      </w:r>
      <w:r>
        <w:rPr>
          <w:spacing w:val="-61"/>
        </w:rPr>
      </w:r>
      <w:r>
        <w:rPr/>
        <w:t>脑决策所需的数据，自动做出分析、决策，并指挥调度自动化脚本去执行大脑的决策，从而达到</w:t>
      </w:r>
      <w:r>
        <w:rPr>
          <w:rFonts w:ascii="Times New Roman" w:hAnsi="Times New Roman" w:cs="Times New Roman" w:eastAsia="Times New Roman" w:hint="default"/>
        </w:rPr>
        <w:t>“</w:t>
      </w:r>
      <w:r>
        <w:rPr/>
        <w:t>通过系统的</w:t>
      </w:r>
      <w:r>
        <w:rPr>
          <w:rFonts w:ascii="Times New Roman" w:hAnsi="Times New Roman" w:cs="Times New Roman" w:eastAsia="Times New Roman" w:hint="default"/>
        </w:rPr>
        <w:t>AI</w:t>
      </w:r>
      <w:r>
        <w:rPr/>
        <w:t>调度中枢进</w:t>
      </w:r>
      <w:r>
        <w:rPr>
          <w:spacing w:val="-82"/>
        </w:rPr>
        <w:t> </w:t>
      </w:r>
      <w:r>
        <w:rPr>
          <w:spacing w:val="-82"/>
        </w:rPr>
      </w:r>
      <w:r>
        <w:rPr/>
        <w:t>行智能、自动的监控管理，做到质量、成本、效率三者兼顾的真正无人值守运维管理</w:t>
      </w:r>
      <w:r>
        <w:rPr>
          <w:rFonts w:ascii="Times New Roman" w:hAnsi="Times New Roman" w:cs="Times New Roman" w:eastAsia="Times New Roman" w:hint="default"/>
        </w:rPr>
        <w:t>”</w:t>
      </w:r>
      <w:r>
        <w:rPr/>
        <w:t>的整体目标，以应对提高运维能力及</w:t>
      </w:r>
      <w:r>
        <w:rPr>
          <w:spacing w:val="-74"/>
        </w:rPr>
        <w:t> </w:t>
      </w:r>
      <w:r>
        <w:rPr>
          <w:spacing w:val="-74"/>
        </w:rPr>
      </w:r>
      <w:r>
        <w:rPr/>
        <w:t>效率，并可应对由于灾害造成的缺少运维人员甚至是无运维人员的极端情况，无间断保障</w:t>
      </w:r>
      <w:r>
        <w:rPr>
          <w:rFonts w:ascii="Times New Roman" w:hAnsi="Times New Roman" w:cs="Times New Roman" w:eastAsia="Times New Roman" w:hint="default"/>
        </w:rPr>
        <w:t>IT</w:t>
      </w:r>
      <w:r>
        <w:rPr/>
        <w:t>系统的正常运行。</w:t>
      </w:r>
    </w:p>
    <w:p>
      <w:pPr>
        <w:spacing w:line="240" w:lineRule="auto" w:before="10"/>
        <w:rPr>
          <w:rFonts w:ascii="宋体" w:hAnsi="宋体" w:cs="宋体" w:eastAsia="宋体" w:hint="default"/>
          <w:sz w:val="12"/>
          <w:szCs w:val="12"/>
        </w:rPr>
      </w:pPr>
    </w:p>
    <w:p>
      <w:pPr>
        <w:pStyle w:val="BodyText"/>
        <w:spacing w:line="232" w:lineRule="exact"/>
        <w:ind w:right="1130" w:firstLine="360"/>
        <w:jc w:val="both"/>
      </w:pPr>
      <w:r>
        <w:rPr>
          <w:spacing w:val="-2"/>
        </w:rPr>
        <w:t>与此同时，东华网智继续在数据安全领域内持续开发，已经研发的数据库审计产品在医疗行业内获得了广泛的应用，累</w:t>
      </w:r>
      <w:r>
        <w:rPr/>
        <w:t> </w:t>
      </w:r>
      <w:r>
        <w:rPr>
          <w:spacing w:val="-2"/>
        </w:rPr>
        <w:t>计推广的医院用户有近百家，未来一年将围绕数据安全领域持续开发数据安全防护、数据脱敏等产品，继而推广到医疗、金</w:t>
      </w:r>
    </w:p>
    <w:p>
      <w:pPr>
        <w:spacing w:after="0" w:line="232" w:lineRule="exact"/>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融等行业领域。</w:t>
      </w:r>
    </w:p>
    <w:p>
      <w:pPr>
        <w:pStyle w:val="Heading5"/>
        <w:spacing w:line="240" w:lineRule="auto" w:before="153"/>
        <w:ind w:right="986"/>
        <w:jc w:val="left"/>
        <w:rPr>
          <w:b w:val="0"/>
          <w:bCs w:val="0"/>
        </w:rPr>
      </w:pPr>
      <w:r>
        <w:rPr>
          <w:rFonts w:ascii="Times New Roman" w:hAnsi="Times New Roman" w:cs="Times New Roman" w:eastAsia="Times New Roman" w:hint="default"/>
        </w:rPr>
        <w:t>4</w:t>
      </w:r>
      <w:r>
        <w:rPr/>
        <w:t>、能源产品</w:t>
      </w:r>
      <w:r>
        <w:rPr>
          <w:b w:val="0"/>
          <w:bCs w:val="0"/>
        </w:rPr>
      </w:r>
    </w:p>
    <w:p>
      <w:pPr>
        <w:spacing w:line="240" w:lineRule="auto" w:before="10"/>
        <w:rPr>
          <w:rFonts w:ascii="宋体" w:hAnsi="宋体" w:cs="宋体" w:eastAsia="宋体" w:hint="default"/>
          <w:b/>
          <w:bCs/>
          <w:sz w:val="12"/>
          <w:szCs w:val="12"/>
        </w:rPr>
      </w:pPr>
    </w:p>
    <w:p>
      <w:pPr>
        <w:pStyle w:val="BodyText"/>
        <w:spacing w:line="232" w:lineRule="exact"/>
        <w:ind w:right="1042" w:firstLine="360"/>
        <w:jc w:val="left"/>
      </w:pPr>
      <w:r>
        <w:rPr/>
        <w:t>报告期内，东华</w:t>
      </w:r>
      <w:r>
        <w:rPr>
          <w:rFonts w:ascii="Times New Roman" w:hAnsi="Times New Roman" w:cs="Times New Roman" w:eastAsia="Times New Roman" w:hint="default"/>
        </w:rPr>
        <w:t>-Avatar</w:t>
      </w:r>
      <w:r>
        <w:rPr/>
        <w:t>（阿凡达）工业互联网平台的建设有序进展。</w:t>
      </w:r>
      <w:r>
        <w:rPr>
          <w:rFonts w:ascii="Times New Roman" w:hAnsi="Times New Roman" w:cs="Times New Roman" w:eastAsia="Times New Roman" w:hint="default"/>
        </w:rPr>
        <w:t>Avatar</w:t>
      </w:r>
      <w:r>
        <w:rPr/>
        <w:t>工业大数据基础平台</w:t>
      </w:r>
      <w:r>
        <w:rPr>
          <w:rFonts w:ascii="Times New Roman" w:hAnsi="Times New Roman" w:cs="Times New Roman" w:eastAsia="Times New Roman" w:hint="default"/>
        </w:rPr>
        <w:t>4.0</w:t>
      </w:r>
      <w:r>
        <w:rPr/>
        <w:t>版开始新一轮迭代， 形成</w:t>
      </w:r>
      <w:r>
        <w:rPr>
          <w:rFonts w:ascii="Times New Roman" w:hAnsi="Times New Roman" w:cs="Times New Roman" w:eastAsia="Times New Roman" w:hint="default"/>
        </w:rPr>
        <w:t>Avatar</w:t>
      </w:r>
      <w:r>
        <w:rPr/>
        <w:t>工业大数据</w:t>
      </w:r>
      <w:r>
        <w:rPr>
          <w:rFonts w:ascii="Times New Roman" w:hAnsi="Times New Roman" w:cs="Times New Roman" w:eastAsia="Times New Roman" w:hint="default"/>
        </w:rPr>
        <w:t>-</w:t>
      </w:r>
      <w:r>
        <w:rPr/>
        <w:t>基础软件、工具类软件、设备分析类软件、管理应用类软件、营销交易类软件、</w:t>
      </w:r>
      <w:r>
        <w:rPr>
          <w:rFonts w:ascii="Times New Roman" w:hAnsi="Times New Roman" w:cs="Times New Roman" w:eastAsia="Times New Roman" w:hint="default"/>
        </w:rPr>
        <w:t>IoT</w:t>
      </w:r>
      <w:r>
        <w:rPr/>
        <w:t>网关及边缘计算</w:t>
      </w:r>
      <w:r>
        <w:rPr>
          <w:spacing w:val="-84"/>
        </w:rPr>
        <w:t> </w:t>
      </w:r>
      <w:r>
        <w:rPr>
          <w:spacing w:val="-84"/>
        </w:rPr>
      </w:r>
      <w:r>
        <w:rPr/>
        <w:t>一体机、新能源集控类软件、基于工业互联网体系架构的安全类软件等一系列产品线，为公司建设东华</w:t>
      </w:r>
      <w:r>
        <w:rPr>
          <w:rFonts w:ascii="Times New Roman" w:hAnsi="Times New Roman" w:cs="Times New Roman" w:eastAsia="Times New Roman" w:hint="default"/>
        </w:rPr>
        <w:t>-Avatar</w:t>
      </w:r>
      <w:r>
        <w:rPr/>
        <w:t>（阿凡达）</w:t>
      </w:r>
      <w:r>
        <w:rPr>
          <w:spacing w:val="-8"/>
        </w:rPr>
        <w:t> </w:t>
      </w:r>
      <w:r>
        <w:rPr>
          <w:spacing w:val="-8"/>
        </w:rPr>
      </w:r>
      <w:r>
        <w:rPr/>
        <w:t>工业互联网平台奠定基础，为继续加强公司技术优势建立宽阔的护城河，也为</w:t>
      </w:r>
      <w:r>
        <w:rPr>
          <w:rFonts w:ascii="Times New Roman" w:hAnsi="Times New Roman" w:cs="Times New Roman" w:eastAsia="Times New Roman" w:hint="default"/>
        </w:rPr>
        <w:t>2020</w:t>
      </w:r>
      <w:r>
        <w:rPr/>
        <w:t>年的销售提供充足弹药。</w:t>
      </w:r>
    </w:p>
    <w:p>
      <w:pPr>
        <w:pStyle w:val="Heading5"/>
        <w:spacing w:line="240" w:lineRule="auto" w:before="134"/>
        <w:ind w:right="986"/>
        <w:jc w:val="left"/>
        <w:rPr>
          <w:b w:val="0"/>
          <w:bCs w:val="0"/>
        </w:rPr>
      </w:pPr>
      <w:r>
        <w:rPr/>
        <w:t>（三）主要子公司发展情况</w:t>
      </w:r>
      <w:r>
        <w:rPr>
          <w:b w:val="0"/>
          <w:bCs w:val="0"/>
        </w:rPr>
      </w:r>
    </w:p>
    <w:p>
      <w:pPr>
        <w:pStyle w:val="BodyText"/>
        <w:spacing w:line="370" w:lineRule="atLeast" w:before="32"/>
        <w:ind w:left="513" w:right="986"/>
        <w:jc w:val="left"/>
      </w:pPr>
      <w:r>
        <w:rPr>
          <w:rFonts w:ascii="Times New Roman" w:hAnsi="Times New Roman" w:cs="Times New Roman" w:eastAsia="Times New Roman" w:hint="default"/>
          <w:b/>
          <w:bCs/>
        </w:rPr>
        <w:t>1</w:t>
      </w:r>
      <w:r>
        <w:rPr>
          <w:rFonts w:ascii="宋体" w:hAnsi="宋体" w:cs="宋体" w:eastAsia="宋体" w:hint="default"/>
          <w:b/>
          <w:bCs/>
        </w:rPr>
        <w:t>、神州新桥</w:t>
      </w:r>
      <w:r>
        <w:rPr>
          <w:rFonts w:ascii="宋体" w:hAnsi="宋体" w:cs="宋体" w:eastAsia="宋体" w:hint="default"/>
          <w:b/>
          <w:bCs/>
          <w:w w:val="99"/>
        </w:rPr>
        <w:t> </w:t>
      </w:r>
      <w:r>
        <w:rPr>
          <w:spacing w:val="-2"/>
        </w:rPr>
        <w:t>神州新桥拥有多年服务于金融、运营商、政企的行业经验，拥有全面强健的全国服务平台体系。公司持续聚焦主营业务</w:t>
      </w:r>
    </w:p>
    <w:p>
      <w:pPr>
        <w:pStyle w:val="BodyText"/>
        <w:spacing w:line="225" w:lineRule="auto" w:before="10"/>
        <w:ind w:right="1129"/>
        <w:jc w:val="both"/>
      </w:pPr>
      <w:r>
        <w:rPr>
          <w:spacing w:val="-2"/>
        </w:rPr>
        <w:t>发展，主要业务方向为机房环境、</w:t>
      </w:r>
      <w:r>
        <w:rPr>
          <w:rFonts w:ascii="Times New Roman" w:hAnsi="Times New Roman" w:cs="Times New Roman" w:eastAsia="Times New Roman" w:hint="default"/>
          <w:spacing w:val="-2"/>
        </w:rPr>
        <w:t>IT</w:t>
      </w:r>
      <w:r>
        <w:rPr>
          <w:spacing w:val="-2"/>
        </w:rPr>
        <w:t>基础设施、安防监控、一体化系统运维平台、应用开发、云计算平台设计和实施、技术</w:t>
      </w:r>
      <w:r>
        <w:rPr>
          <w:spacing w:val="-51"/>
        </w:rPr>
        <w:t> </w:t>
      </w:r>
      <w:r>
        <w:rPr>
          <w:spacing w:val="-51"/>
        </w:rPr>
      </w:r>
      <w:r>
        <w:rPr/>
        <w:t>工程实施外包、安全咨询等。现具有信息系统集成及服务一级、涉密信息系统集成甲级（系统集成</w:t>
      </w:r>
      <w:r>
        <w:rPr>
          <w:rFonts w:ascii="Times New Roman" w:hAnsi="Times New Roman" w:cs="Times New Roman" w:eastAsia="Times New Roman" w:hint="default"/>
        </w:rPr>
        <w:t>/</w:t>
      </w:r>
      <w:r>
        <w:rPr/>
        <w:t>安防监控）、安防工程</w:t>
      </w:r>
      <w:r>
        <w:rPr>
          <w:spacing w:val="-46"/>
        </w:rPr>
        <w:t> </w:t>
      </w:r>
      <w:r>
        <w:rPr>
          <w:spacing w:val="-46"/>
        </w:rPr>
      </w:r>
      <w:r>
        <w:rPr/>
        <w:t>企业设计施工维护能力一级、</w:t>
      </w:r>
      <w:r>
        <w:rPr>
          <w:rFonts w:ascii="Times New Roman" w:hAnsi="Times New Roman" w:cs="Times New Roman" w:eastAsia="Times New Roman" w:hint="default"/>
        </w:rPr>
        <w:t>ITSS</w:t>
      </w:r>
      <w:r>
        <w:rPr/>
        <w:t>、电子智能化等集成行业领先资质。在保持原有优势业务基础上，</w:t>
      </w:r>
      <w:r>
        <w:rPr>
          <w:rFonts w:ascii="Times New Roman" w:hAnsi="Times New Roman" w:cs="Times New Roman" w:eastAsia="Times New Roman" w:hint="default"/>
        </w:rPr>
        <w:t>2019</w:t>
      </w:r>
      <w:r>
        <w:rPr/>
        <w:t>年公司在云数据</w:t>
      </w:r>
      <w:r>
        <w:rPr>
          <w:spacing w:val="-10"/>
        </w:rPr>
        <w:t> </w:t>
      </w:r>
      <w:r>
        <w:rPr>
          <w:spacing w:val="-10"/>
        </w:rPr>
      </w:r>
      <w:r>
        <w:rPr/>
        <w:t>中心、大数据运维、大安全战略、灾难备份等技术领域加大投入，持续提升自身能力。</w:t>
      </w:r>
    </w:p>
    <w:p>
      <w:pPr>
        <w:pStyle w:val="BodyText"/>
        <w:spacing w:line="370" w:lineRule="atLeast" w:before="34"/>
        <w:ind w:left="513" w:right="98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）云数据中心</w:t>
      </w:r>
      <w:r>
        <w:rPr>
          <w:rFonts w:ascii="宋体" w:hAnsi="宋体" w:cs="宋体" w:eastAsia="宋体" w:hint="default"/>
          <w:b/>
          <w:bCs/>
          <w:w w:val="99"/>
        </w:rPr>
        <w:t> </w:t>
      </w:r>
      <w:r>
        <w:rPr>
          <w:spacing w:val="-2"/>
        </w:rPr>
        <w:t>报告期内，神州新桥中标多个云数据中心项目，为山西农信、中国银行、浦发银行等用户建设同城灾备中心以及异地灾</w:t>
      </w:r>
    </w:p>
    <w:p>
      <w:pPr>
        <w:pStyle w:val="BodyText"/>
        <w:spacing w:line="237" w:lineRule="auto"/>
        <w:ind w:right="1130"/>
        <w:jc w:val="both"/>
      </w:pPr>
      <w:r>
        <w:rPr>
          <w:spacing w:val="-2"/>
        </w:rPr>
        <w:t>备中心，为用户规划业务访问路径，实现业务多地双活，同时实现多个系统在多个数据中心的高可用，利用云计算技术的弹</w:t>
      </w:r>
      <w:r>
        <w:rPr>
          <w:spacing w:val="-64"/>
        </w:rPr>
        <w:t> </w:t>
      </w:r>
      <w:r>
        <w:rPr>
          <w:spacing w:val="-64"/>
        </w:rPr>
      </w:r>
      <w:r>
        <w:rPr>
          <w:spacing w:val="-2"/>
        </w:rPr>
        <w:t>性和扩展性，为用户实现当发生系统级别、机房级灾难等主中心故障时进行客户无感知的快速切换。神州新桥数据中心支持</w:t>
      </w:r>
      <w:r>
        <w:rPr>
          <w:spacing w:val="-63"/>
        </w:rPr>
        <w:t> </w:t>
      </w:r>
      <w:r>
        <w:rPr>
          <w:spacing w:val="-63"/>
        </w:rPr>
      </w:r>
      <w:r>
        <w:rPr/>
        <w:t>团队，集咨询、设计、集成和实施能力于一体，为客户的不间断、无感知、业务连续性等方面改进持续努力。</w:t>
      </w:r>
    </w:p>
    <w:p>
      <w:pPr>
        <w:pStyle w:val="BodyText"/>
        <w:spacing w:line="370" w:lineRule="atLeast" w:before="32"/>
        <w:ind w:left="513" w:right="98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）大数据运维</w:t>
      </w:r>
      <w:r>
        <w:rPr>
          <w:rFonts w:ascii="宋体" w:hAnsi="宋体" w:cs="宋体" w:eastAsia="宋体" w:hint="default"/>
          <w:b/>
          <w:bCs/>
          <w:w w:val="99"/>
        </w:rPr>
        <w:t> </w:t>
      </w:r>
      <w:r>
        <w:rPr>
          <w:spacing w:val="-2"/>
        </w:rPr>
        <w:t>神州新桥利用在数据存储类项目中的实施经验，为通联金融、湖北农信等多家客户提供了从网络、存储、备份等多个技</w:t>
      </w:r>
    </w:p>
    <w:p>
      <w:pPr>
        <w:pStyle w:val="BodyText"/>
        <w:spacing w:line="236" w:lineRule="exact" w:before="18"/>
        <w:ind w:right="1051"/>
        <w:jc w:val="both"/>
      </w:pPr>
      <w:r>
        <w:rPr/>
        <w:t>术层面的设计和实施方案。结合用户技术的发展趋势，为用户进行了网络及存储系统的规划设计，制作了详细的设计方案， 包括组网规划、存储层规划、与数据中心的连通性、存储资源计算等内容，为用户进行了安全稳定的切换和实施。</w:t>
      </w:r>
    </w:p>
    <w:p>
      <w:pPr>
        <w:pStyle w:val="Heading5"/>
        <w:spacing w:line="240" w:lineRule="auto" w:before="131"/>
        <w:ind w:right="986"/>
        <w:jc w:val="left"/>
        <w:rPr>
          <w:b w:val="0"/>
          <w:bCs w:val="0"/>
        </w:rPr>
      </w:pPr>
      <w:r>
        <w:rPr/>
        <w:t>（</w:t>
      </w:r>
      <w:r>
        <w:rPr>
          <w:rFonts w:ascii="Times New Roman" w:hAnsi="Times New Roman" w:cs="Times New Roman" w:eastAsia="Times New Roman" w:hint="default"/>
        </w:rPr>
        <w:t>3</w:t>
      </w:r>
      <w:r>
        <w:rPr/>
        <w:t>）大安全战略</w:t>
      </w:r>
      <w:r>
        <w:rPr>
          <w:b w:val="0"/>
          <w:bCs w:val="0"/>
        </w:rPr>
      </w:r>
    </w:p>
    <w:p>
      <w:pPr>
        <w:pStyle w:val="BodyText"/>
        <w:spacing w:line="228" w:lineRule="auto" w:before="150"/>
        <w:ind w:right="1032" w:firstLine="360"/>
        <w:jc w:val="left"/>
      </w:pPr>
      <w:r>
        <w:rPr>
          <w:rFonts w:ascii="Times New Roman" w:hAnsi="Times New Roman" w:cs="Times New Roman" w:eastAsia="Times New Roman" w:hint="default"/>
          <w:spacing w:val="-2"/>
        </w:rPr>
        <w:t>2019</w:t>
      </w:r>
      <w:r>
        <w:rPr>
          <w:spacing w:val="-2"/>
        </w:rPr>
        <w:t>年，基于国家层面的网络空间安全要求不断提升，带来客户新形式下全方面的安全提升需求。神州新桥的安全团队</w:t>
      </w:r>
      <w:r>
        <w:rPr/>
        <w:t> 对用户的安全技术进行整合式改造</w:t>
      </w:r>
      <w:r>
        <w:rPr>
          <w:rFonts w:ascii="Times New Roman" w:hAnsi="Times New Roman" w:cs="Times New Roman" w:eastAsia="Times New Roman" w:hint="default"/>
        </w:rPr>
        <w:t>,</w:t>
      </w:r>
      <w:r>
        <w:rPr/>
        <w:t>帮助金融、运营商、能源等拥有关键基础设施的企业从基于合规模型的安全建设方向，</w:t>
      </w:r>
      <w:r>
        <w:rPr>
          <w:spacing w:val="-47"/>
        </w:rPr>
        <w:t> </w:t>
      </w:r>
      <w:r>
        <w:rPr>
          <w:spacing w:val="-47"/>
        </w:rPr>
      </w:r>
      <w:r>
        <w:rPr>
          <w:spacing w:val="-2"/>
        </w:rPr>
        <w:t>转向基于攻防能力模型的安全体系建设。依托于神州新桥运营多年的服务体系和完善的厂商合作生态，为客户提供安全事件</w:t>
      </w:r>
      <w:r>
        <w:rPr>
          <w:spacing w:val="-63"/>
        </w:rPr>
        <w:t> </w:t>
      </w:r>
      <w:r>
        <w:rPr>
          <w:spacing w:val="-63"/>
        </w:rPr>
      </w:r>
      <w:r>
        <w:rPr>
          <w:spacing w:val="-3"/>
        </w:rPr>
        <w:t>响应工程师、</w:t>
      </w:r>
      <w:r>
        <w:rPr>
          <w:rFonts w:ascii="Times New Roman" w:hAnsi="Times New Roman" w:cs="Times New Roman" w:eastAsia="Times New Roman" w:hint="default"/>
          <w:spacing w:val="-3"/>
        </w:rPr>
        <w:t>SOC</w:t>
      </w:r>
      <w:r>
        <w:rPr>
          <w:spacing w:val="-3"/>
        </w:rPr>
        <w:t>分析师、安全专家等梯队完善的安全队伍，借助于大数据、人工智能等相关技术，对海量的安全数据整合、</w:t>
      </w:r>
      <w:r>
        <w:rPr>
          <w:spacing w:val="-88"/>
        </w:rPr>
        <w:t> </w:t>
      </w:r>
      <w:r>
        <w:rPr>
          <w:spacing w:val="-88"/>
        </w:rPr>
      </w:r>
      <w:r>
        <w:rPr>
          <w:spacing w:val="-2"/>
        </w:rPr>
        <w:t>分析，构建安全集成、智能分析、态势感知、协同处置、运营可视的安全能力。</w:t>
      </w:r>
      <w:r>
        <w:rPr>
          <w:rFonts w:ascii="Times New Roman" w:hAnsi="Times New Roman" w:cs="Times New Roman" w:eastAsia="Times New Roman" w:hint="default"/>
          <w:spacing w:val="-2"/>
        </w:rPr>
        <w:t>2019</w:t>
      </w:r>
      <w:r>
        <w:rPr>
          <w:spacing w:val="-2"/>
        </w:rPr>
        <w:t>年，新桥安全团队在多个金融、政企客</w:t>
      </w:r>
      <w:r>
        <w:rPr>
          <w:spacing w:val="-62"/>
        </w:rPr>
        <w:t> </w:t>
      </w:r>
      <w:r>
        <w:rPr>
          <w:spacing w:val="-62"/>
        </w:rPr>
      </w:r>
      <w:r>
        <w:rPr/>
        <w:t>户落地支持，与客户共同面对复杂多变的国内外安全态势，取得了较好的市场口碑和业绩贡献。</w:t>
      </w:r>
    </w:p>
    <w:p>
      <w:pPr>
        <w:pStyle w:val="BodyText"/>
        <w:spacing w:line="370" w:lineRule="atLeast" w:before="36"/>
        <w:ind w:left="513" w:right="986"/>
        <w:jc w:val="left"/>
      </w:pPr>
      <w:r>
        <w:rPr>
          <w:rFonts w:ascii="Times New Roman" w:hAnsi="Times New Roman" w:cs="Times New Roman" w:eastAsia="Times New Roman" w:hint="default"/>
          <w:b/>
          <w:bCs/>
        </w:rPr>
        <w:t>2</w:t>
      </w:r>
      <w:r>
        <w:rPr>
          <w:rFonts w:ascii="宋体" w:hAnsi="宋体" w:cs="宋体" w:eastAsia="宋体" w:hint="default"/>
          <w:b/>
          <w:bCs/>
        </w:rPr>
        <w:t>、合创科技</w:t>
      </w:r>
      <w:r>
        <w:rPr>
          <w:rFonts w:ascii="宋体" w:hAnsi="宋体" w:cs="宋体" w:eastAsia="宋体" w:hint="default"/>
          <w:b/>
          <w:bCs/>
          <w:w w:val="99"/>
        </w:rPr>
        <w:t> </w:t>
      </w:r>
      <w:r>
        <w:rPr>
          <w:spacing w:val="-2"/>
        </w:rPr>
        <w:t>作为公司全资子公司，合创科技主要从事涉密信息系统集成、软件开发和服务，重点领域客户的信息系统集成、软件开</w:t>
      </w:r>
    </w:p>
    <w:p>
      <w:pPr>
        <w:pStyle w:val="BodyText"/>
        <w:spacing w:line="239" w:lineRule="exact"/>
        <w:ind w:right="0"/>
        <w:jc w:val="both"/>
      </w:pPr>
      <w:r>
        <w:rPr/>
        <w:t>发和服务</w:t>
      </w:r>
      <w:r>
        <w:rPr>
          <w:spacing w:val="-77"/>
        </w:rPr>
        <w:t>。</w:t>
      </w:r>
      <w:r>
        <w:rPr/>
        <w:t>截至目前</w:t>
      </w:r>
      <w:r>
        <w:rPr>
          <w:spacing w:val="-77"/>
        </w:rPr>
        <w:t>，</w:t>
      </w:r>
      <w:r>
        <w:rPr/>
        <w:t>公司具有信息系统</w:t>
      </w:r>
      <w:r>
        <w:rPr>
          <w:spacing w:val="1"/>
        </w:rPr>
        <w:t>集</w:t>
      </w:r>
      <w:r>
        <w:rPr/>
        <w:t>成及服务一级资质</w:t>
      </w:r>
      <w:r>
        <w:rPr>
          <w:spacing w:val="-77"/>
        </w:rPr>
        <w:t>、</w:t>
      </w:r>
      <w:r>
        <w:rPr/>
        <w:t>安防工程企业一级资质</w:t>
      </w:r>
      <w:r>
        <w:rPr>
          <w:spacing w:val="-77"/>
        </w:rPr>
        <w:t>、</w:t>
      </w:r>
      <w:r>
        <w:rPr>
          <w:rFonts w:ascii="Times New Roman" w:hAnsi="Times New Roman" w:cs="Times New Roman" w:eastAsia="Times New Roman" w:hint="default"/>
        </w:rPr>
        <w:t>I</w:t>
      </w:r>
      <w:r>
        <w:rPr>
          <w:rFonts w:ascii="Times New Roman" w:hAnsi="Times New Roman" w:cs="Times New Roman" w:eastAsia="Times New Roman" w:hint="default"/>
          <w:spacing w:val="-2"/>
        </w:rPr>
        <w:t>T</w:t>
      </w:r>
      <w:r>
        <w:rPr>
          <w:rFonts w:ascii="Times New Roman" w:hAnsi="Times New Roman" w:cs="Times New Roman" w:eastAsia="Times New Roman" w:hint="default"/>
          <w:w w:val="99"/>
        </w:rPr>
        <w:t>SS</w:t>
      </w:r>
      <w:r>
        <w:rPr/>
        <w:t>二级证书等</w:t>
      </w:r>
      <w:r>
        <w:rPr>
          <w:spacing w:val="-77"/>
        </w:rPr>
        <w:t>，</w:t>
      </w:r>
      <w:r>
        <w:rPr/>
        <w:t>并取得了</w:t>
      </w:r>
      <w:r>
        <w:rPr>
          <w:rFonts w:ascii="Times New Roman" w:hAnsi="Times New Roman" w:cs="Times New Roman" w:eastAsia="Times New Roman" w:hint="default"/>
          <w:w w:val="99"/>
        </w:rPr>
        <w:t>ISO1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01</w:t>
      </w:r>
      <w:r>
        <w:rPr/>
        <w:t>、</w:t>
      </w:r>
    </w:p>
    <w:p>
      <w:pPr>
        <w:pStyle w:val="BodyText"/>
        <w:spacing w:line="242" w:lineRule="exact"/>
        <w:ind w:right="0"/>
        <w:jc w:val="both"/>
      </w:pPr>
      <w:r>
        <w:rPr>
          <w:rFonts w:ascii="Times New Roman" w:hAnsi="Times New Roman" w:cs="Times New Roman" w:eastAsia="Times New Roman" w:hint="default"/>
        </w:rPr>
        <w:t>ISO20000</w:t>
      </w:r>
      <w:r>
        <w:rPr/>
        <w:t>、</w:t>
      </w:r>
      <w:r>
        <w:rPr>
          <w:rFonts w:ascii="Times New Roman" w:hAnsi="Times New Roman" w:cs="Times New Roman" w:eastAsia="Times New Roman" w:hint="default"/>
        </w:rPr>
        <w:t>ISO27001</w:t>
      </w:r>
      <w:r>
        <w:rPr/>
        <w:t>等质量体系认证，拥有近</w:t>
      </w:r>
      <w:r>
        <w:rPr>
          <w:rFonts w:ascii="Times New Roman" w:hAnsi="Times New Roman" w:cs="Times New Roman" w:eastAsia="Times New Roman" w:hint="default"/>
        </w:rPr>
        <w:t>120</w:t>
      </w:r>
      <w:r>
        <w:rPr/>
        <w:t>项软件著作权。</w:t>
      </w:r>
    </w:p>
    <w:p>
      <w:pPr>
        <w:pStyle w:val="BodyText"/>
        <w:spacing w:line="237" w:lineRule="auto" w:before="142"/>
        <w:ind w:right="986" w:firstLine="360"/>
        <w:jc w:val="left"/>
      </w:pPr>
      <w:r>
        <w:rPr>
          <w:spacing w:val="-2"/>
        </w:rPr>
        <w:t>报告期内，合创科技成功签约海南、山西、山东等多个省级人大常委办公厅以及中国共产党吉林省纪律检查委员会、中</w:t>
      </w:r>
      <w:r>
        <w:rPr/>
        <w:t> </w:t>
      </w:r>
      <w:r>
        <w:rPr>
          <w:spacing w:val="-4"/>
        </w:rPr>
        <w:t>共大厂回族自治县委政法委员会；顺利签约三亚、北京、延安、焦作等多个市级公安局以及克孜勒苏柯尔克孜自治州公安局、</w:t>
      </w:r>
      <w:r>
        <w:rPr>
          <w:spacing w:val="-46"/>
        </w:rPr>
        <w:t> </w:t>
      </w:r>
      <w:r>
        <w:rPr>
          <w:spacing w:val="-46"/>
        </w:rPr>
      </w:r>
      <w:r>
        <w:rPr>
          <w:spacing w:val="-2"/>
        </w:rPr>
        <w:t>宽城满族自治县公安局的平台建设和升级改造项目；成功签约包含数十个市、县在内的陕西省市县级粮库智能化升级改造工</w:t>
      </w:r>
      <w:r>
        <w:rPr>
          <w:spacing w:val="-64"/>
        </w:rPr>
        <w:t> </w:t>
      </w:r>
      <w:r>
        <w:rPr>
          <w:spacing w:val="-64"/>
        </w:rPr>
      </w:r>
      <w:r>
        <w:rPr/>
        <w:t>程。除此之外，公司成功签约中央及省级机要局的多个系统建设项目。</w:t>
      </w:r>
    </w:p>
    <w:p>
      <w:pPr>
        <w:pStyle w:val="BodyText"/>
        <w:spacing w:line="390" w:lineRule="atLeast" w:before="12"/>
        <w:ind w:left="513" w:right="1041"/>
        <w:jc w:val="left"/>
      </w:pPr>
      <w:r>
        <w:rPr>
          <w:rFonts w:ascii="Times New Roman" w:hAnsi="Times New Roman" w:cs="Times New Roman" w:eastAsia="Times New Roman" w:hint="default"/>
          <w:b/>
          <w:bCs/>
        </w:rPr>
        <w:t>3</w:t>
      </w:r>
      <w:r>
        <w:rPr>
          <w:rFonts w:ascii="宋体" w:hAnsi="宋体" w:cs="宋体" w:eastAsia="宋体" w:hint="default"/>
          <w:b/>
          <w:bCs/>
        </w:rPr>
        <w:t>、东华厚盾</w:t>
      </w:r>
      <w:r>
        <w:rPr>
          <w:rFonts w:ascii="宋体" w:hAnsi="宋体" w:cs="宋体" w:eastAsia="宋体" w:hint="default"/>
          <w:b/>
          <w:bCs/>
          <w:w w:val="99"/>
        </w:rPr>
        <w:t> </w:t>
      </w:r>
      <w:r>
        <w:rPr>
          <w:spacing w:val="-1"/>
        </w:rPr>
        <w:t>报告期内</w:t>
      </w:r>
      <w:r>
        <w:rPr>
          <w:rFonts w:ascii="Times New Roman" w:hAnsi="Times New Roman" w:cs="Times New Roman" w:eastAsia="Times New Roman" w:hint="default"/>
          <w:spacing w:val="-1"/>
        </w:rPr>
        <w:t>,</w:t>
      </w:r>
      <w:r>
        <w:rPr>
          <w:spacing w:val="-1"/>
        </w:rPr>
        <w:t>东华厚盾以价值链为驱动，从业务、预算、资金、核算、税务、审计六项维度出发，对企业数据流、业务流、</w:t>
      </w:r>
    </w:p>
    <w:p>
      <w:pPr>
        <w:pStyle w:val="BodyText"/>
        <w:spacing w:line="219" w:lineRule="exact"/>
        <w:ind w:right="0"/>
        <w:jc w:val="both"/>
      </w:pPr>
      <w:r>
        <w:rPr/>
        <w:t>技术流进行深度融合，帮助企业构建经营层面的业财一体化体系，包括全面预算管理、投资项目管理、集中采购管理、资金</w:t>
      </w:r>
    </w:p>
    <w:p>
      <w:pPr>
        <w:pStyle w:val="BodyText"/>
        <w:spacing w:line="235" w:lineRule="auto" w:before="4"/>
        <w:ind w:right="986"/>
        <w:jc w:val="left"/>
      </w:pPr>
      <w:r>
        <w:rPr>
          <w:spacing w:val="-2"/>
        </w:rPr>
        <w:t>管理、资产管理、网报及费控管理、融资融信管理、合同管理系统等，成为企业实现业财融合、战略统筹决策、资源优化配</w:t>
      </w:r>
      <w:r>
        <w:rPr>
          <w:spacing w:val="-73"/>
        </w:rPr>
        <w:t> </w:t>
      </w:r>
      <w:r>
        <w:rPr>
          <w:spacing w:val="-73"/>
        </w:rPr>
      </w:r>
      <w:r>
        <w:rPr>
          <w:spacing w:val="-2"/>
        </w:rPr>
        <w:t>置、经营风险防范、成本费用及资金管控和绩效分析评估的综合经营管控平台。成功中标南方航空全面预算及集中采购项目</w:t>
      </w:r>
      <w:r>
        <w:rPr>
          <w:spacing w:val="-66"/>
        </w:rPr>
        <w:t> </w:t>
      </w:r>
      <w:r>
        <w:rPr>
          <w:spacing w:val="-66"/>
        </w:rPr>
      </w:r>
      <w:r>
        <w:rPr>
          <w:spacing w:val="-2"/>
        </w:rPr>
        <w:t>一体化升级项目，承接南京地铁的业财一体化财务控制系统、北金所财务一体化管控模块项目、国寿资产统一财务管理平台</w:t>
      </w:r>
      <w:r>
        <w:rPr>
          <w:spacing w:val="-62"/>
        </w:rPr>
        <w:t> </w:t>
      </w:r>
      <w:r>
        <w:rPr>
          <w:spacing w:val="-62"/>
        </w:rPr>
      </w:r>
      <w:r>
        <w:rPr>
          <w:spacing w:val="-4"/>
        </w:rPr>
        <w:t>项目，中国移动终端全面预算管理项目等。并在电力、交通、冶金、制造、能源、零售、金融、教育、城建等多个行业领域，</w:t>
      </w:r>
      <w:r>
        <w:rPr>
          <w:spacing w:val="-43"/>
        </w:rPr>
        <w:t> </w:t>
      </w:r>
      <w:r>
        <w:rPr>
          <w:spacing w:val="-43"/>
        </w:rPr>
      </w:r>
      <w:r>
        <w:rPr>
          <w:spacing w:val="-2"/>
        </w:rPr>
        <w:t>加强与中国黄金、南京城建、郑煤机、江苏中烟、申万宏源、大商所、中国电工、教科社以及中国电力工程顾问集团下属多</w:t>
      </w:r>
      <w:r>
        <w:rPr>
          <w:spacing w:val="-73"/>
        </w:rPr>
        <w:t> </w:t>
      </w:r>
      <w:r>
        <w:rPr>
          <w:spacing w:val="-73"/>
        </w:rPr>
      </w:r>
      <w:r>
        <w:rPr>
          <w:spacing w:val="-2"/>
        </w:rPr>
        <w:t>个电力设计院等老客户的进一步合作，签约多个系统的二期、三期、四期项目。在中小企业</w:t>
      </w:r>
      <w:r>
        <w:rPr>
          <w:rFonts w:ascii="Times New Roman" w:hAnsi="Times New Roman" w:cs="Times New Roman" w:eastAsia="Times New Roman" w:hint="default"/>
          <w:spacing w:val="-2"/>
        </w:rPr>
        <w:t>SaaS</w:t>
      </w:r>
      <w:r>
        <w:rPr>
          <w:spacing w:val="-2"/>
        </w:rPr>
        <w:t>服务领域，继续积极布局服</w:t>
      </w:r>
      <w:r>
        <w:rPr>
          <w:spacing w:val="-63"/>
        </w:rPr>
        <w:t> </w:t>
      </w:r>
      <w:r>
        <w:rPr>
          <w:spacing w:val="-63"/>
        </w:rPr>
      </w:r>
      <w:r>
        <w:rPr/>
        <w:t>务于中小企业的经营绩效管理云服务平台，探索在中小企业智慧经营服务方面的技术及产品创新。</w:t>
      </w:r>
    </w:p>
    <w:p>
      <w:pPr>
        <w:pStyle w:val="BodyText"/>
        <w:spacing w:line="240" w:lineRule="auto" w:before="153"/>
        <w:ind w:left="513" w:right="986"/>
        <w:jc w:val="left"/>
      </w:pPr>
      <w:r>
        <w:rPr/>
        <w:t>在公司战略方面，东华厚盾在研发和交付能力、先进技术支持、行业方案研究、市场营销等多方面取得实质性进展。在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32" w:lineRule="auto" w:before="50"/>
        <w:ind w:right="1129"/>
        <w:jc w:val="both"/>
      </w:pPr>
      <w:r>
        <w:rPr>
          <w:spacing w:val="-2"/>
        </w:rPr>
        <w:t>研发交付方面，东华厚盾通过对项目的研发交付效率及质量进行指标分解、制定改进方案及人员责任细化，真正提高了项目</w:t>
      </w:r>
      <w:r>
        <w:rPr>
          <w:spacing w:val="-63"/>
        </w:rPr>
        <w:t> </w:t>
      </w:r>
      <w:r>
        <w:rPr>
          <w:spacing w:val="-63"/>
        </w:rPr>
      </w:r>
      <w:r>
        <w:rPr/>
        <w:t>研发和交付的效率及质量，实现降本增效。在技术支持方面，东华厚盾从提升系统性能、架构升级、系统安全及</w:t>
      </w:r>
      <w:r>
        <w:rPr>
          <w:rFonts w:ascii="Times New Roman" w:hAnsi="Times New Roman" w:cs="Times New Roman" w:eastAsia="Times New Roman" w:hint="default"/>
        </w:rPr>
        <w:t>AI</w:t>
      </w:r>
      <w:r>
        <w:rPr/>
        <w:t>等多方</w:t>
      </w:r>
      <w:r>
        <w:rPr>
          <w:spacing w:val="-10"/>
        </w:rPr>
        <w:t> </w:t>
      </w:r>
      <w:r>
        <w:rPr>
          <w:spacing w:val="-10"/>
        </w:rPr>
      </w:r>
      <w:r>
        <w:rPr>
          <w:spacing w:val="-2"/>
        </w:rPr>
        <w:t>面为产品提供先进的技术保障。在行业研究方面，公司内部成立了多个管理会计行业应用创新小组，由专职人员聚焦管理会</w:t>
      </w:r>
      <w:r>
        <w:rPr>
          <w:spacing w:val="-66"/>
        </w:rPr>
        <w:t> </w:t>
      </w:r>
      <w:r>
        <w:rPr>
          <w:spacing w:val="-66"/>
        </w:rPr>
      </w:r>
      <w:r>
        <w:rPr>
          <w:spacing w:val="-2"/>
        </w:rPr>
        <w:t>计的行业应用研究，深入挖掘各行业客户的痛点难点，为客户提供更专业的信息化服务方案。在市场方面，加入工业和信息</w:t>
      </w:r>
      <w:r>
        <w:rPr>
          <w:spacing w:val="-62"/>
        </w:rPr>
        <w:t> </w:t>
      </w:r>
      <w:r>
        <w:rPr>
          <w:spacing w:val="-62"/>
        </w:rPr>
      </w:r>
      <w:r>
        <w:rPr>
          <w:spacing w:val="-1"/>
        </w:rPr>
        <w:t>通信业管理会计推广应用联盟，获得联盟授牌</w:t>
      </w:r>
      <w:r>
        <w:rPr>
          <w:rFonts w:ascii="Times New Roman" w:hAnsi="Times New Roman" w:cs="Times New Roman" w:eastAsia="Times New Roman" w:hint="default"/>
          <w:spacing w:val="-1"/>
        </w:rPr>
        <w:t>“</w:t>
      </w:r>
      <w:r>
        <w:rPr>
          <w:spacing w:val="-1"/>
        </w:rPr>
        <w:t>管理会计研究中心</w:t>
      </w:r>
      <w:r>
        <w:rPr>
          <w:rFonts w:ascii="Times New Roman" w:hAnsi="Times New Roman" w:cs="Times New Roman" w:eastAsia="Times New Roman" w:hint="default"/>
          <w:spacing w:val="-1"/>
        </w:rPr>
        <w:t>”</w:t>
      </w:r>
      <w:r>
        <w:rPr>
          <w:spacing w:val="-1"/>
        </w:rPr>
        <w:t>，产品荣获</w:t>
      </w:r>
      <w:r>
        <w:rPr>
          <w:rFonts w:ascii="Times New Roman" w:hAnsi="Times New Roman" w:cs="Times New Roman" w:eastAsia="Times New Roman" w:hint="default"/>
          <w:spacing w:val="-1"/>
        </w:rPr>
        <w:t>“2019</w:t>
      </w:r>
      <w:r>
        <w:rPr>
          <w:spacing w:val="-1"/>
        </w:rPr>
        <w:t>中国互联网全面预算管理软件领军企业</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0"/>
        </w:rPr>
        <w:t> </w:t>
      </w:r>
      <w:r>
        <w:rPr>
          <w:spacing w:val="-2"/>
        </w:rPr>
        <w:t>称号，受邀参加了财政部、财科院、中国管理会计学会等单位举办的专家会议和学术论坛，提高了公司品牌的品牌影响力和</w:t>
      </w:r>
      <w:r>
        <w:rPr>
          <w:spacing w:val="-64"/>
        </w:rPr>
        <w:t> </w:t>
      </w:r>
      <w:r>
        <w:rPr>
          <w:spacing w:val="-64"/>
        </w:rPr>
      </w:r>
      <w:r>
        <w:rPr/>
        <w:t>市场竞争力。</w:t>
      </w:r>
    </w:p>
    <w:p>
      <w:pPr>
        <w:spacing w:line="240" w:lineRule="auto" w:before="5"/>
        <w:rPr>
          <w:rFonts w:ascii="宋体" w:hAnsi="宋体" w:cs="宋体" w:eastAsia="宋体" w:hint="default"/>
          <w:sz w:val="22"/>
          <w:szCs w:val="22"/>
        </w:rPr>
      </w:pPr>
    </w:p>
    <w:p>
      <w:pPr>
        <w:pStyle w:val="Heading3"/>
        <w:spacing w:line="240" w:lineRule="auto"/>
        <w:ind w:right="986"/>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3"/>
        <w:ind w:right="98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8,849,012,664.06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8,470,591,084.10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健康行业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1,380,974,327.51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1,101,245,851.72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4,321,614,721.93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4,297,179,225.27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999,854,419.05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942,950,134.58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700,129,795.91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599,810,637.07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互联网及计算机服 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313,705,519.78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302,002,609.26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573,251,400.65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560,319,100.54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554,909,776.28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652,245,015.46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4,572,702.95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14,838,510.20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6,032,159,181.01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5,788,555,989.87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807,298,323.50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795,368,770.67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2,004,982,456.60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1,871,827,813.36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4,572,702.95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14,838,510.20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549,337,283.07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516,870,368.14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5,591,393,207.67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5,326,708,134.07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1,225,267,676.01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1,170,014,915.02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244,906,189.20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231,980,645.40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345,111,251.00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341,426,921.23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460,823,959.45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455,345,817.28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427,600,394.72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413,405,772.76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4,572,702.94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14,838,510.20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-69.18%</w:t>
            </w:r>
          </w:p>
        </w:tc>
      </w:tr>
    </w:tbl>
    <w:p>
      <w:pPr>
        <w:pStyle w:val="BodyText"/>
        <w:spacing w:line="240" w:lineRule="auto" w:before="10"/>
        <w:ind w:right="98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63"/>
        <w:ind w:left="0" w:right="1131"/>
        <w:jc w:val="right"/>
      </w:pPr>
      <w:r>
        <w:rPr/>
        <w:t>单位：元</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77"/>
        <w:gridCol w:w="1133"/>
        <w:gridCol w:w="1126"/>
        <w:gridCol w:w="1013"/>
        <w:gridCol w:w="1011"/>
        <w:gridCol w:w="1003"/>
        <w:gridCol w:w="1006"/>
        <w:gridCol w:w="1001"/>
        <w:gridCol w:w="1003"/>
      </w:tblGrid>
      <w:tr>
        <w:trPr>
          <w:trHeight w:val="404"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42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pacing w:val="-3"/>
                <w:sz w:val="16"/>
                <w:szCs w:val="16"/>
              </w:rPr>
              <w:t>年度</w:t>
            </w:r>
            <w:r>
              <w:rPr>
                <w:rFonts w:ascii="宋体" w:hAnsi="宋体" w:cs="宋体" w:eastAsia="宋体" w:hint="default"/>
                <w:sz w:val="16"/>
                <w:szCs w:val="16"/>
              </w:rPr>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pacing w:val="-3"/>
                <w:sz w:val="16"/>
                <w:szCs w:val="16"/>
              </w:rPr>
              <w:t>年度</w:t>
            </w:r>
            <w:r>
              <w:rPr>
                <w:rFonts w:ascii="宋体" w:hAnsi="宋体" w:cs="宋体" w:eastAsia="宋体" w:hint="default"/>
                <w:sz w:val="16"/>
                <w:szCs w:val="16"/>
              </w:rPr>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2" w:right="0"/>
              <w:jc w:val="left"/>
              <w:rPr>
                <w:rFonts w:ascii="宋体" w:hAnsi="宋体" w:cs="宋体" w:eastAsia="宋体" w:hint="default"/>
                <w:sz w:val="16"/>
                <w:szCs w:val="16"/>
              </w:rPr>
            </w:pPr>
            <w:r>
              <w:rPr>
                <w:rFonts w:ascii="宋体" w:hAnsi="宋体" w:cs="宋体" w:eastAsia="宋体" w:hint="default"/>
                <w:sz w:val="16"/>
                <w:szCs w:val="16"/>
              </w:rPr>
              <w:t>第一季度</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38" w:right="0"/>
              <w:jc w:val="left"/>
              <w:rPr>
                <w:rFonts w:ascii="宋体" w:hAnsi="宋体" w:cs="宋体" w:eastAsia="宋体" w:hint="default"/>
                <w:sz w:val="16"/>
                <w:szCs w:val="16"/>
              </w:rPr>
            </w:pPr>
            <w:r>
              <w:rPr>
                <w:rFonts w:ascii="宋体" w:hAnsi="宋体" w:cs="宋体" w:eastAsia="宋体" w:hint="default"/>
                <w:sz w:val="16"/>
                <w:szCs w:val="16"/>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80" w:right="0"/>
              <w:jc w:val="left"/>
              <w:rPr>
                <w:rFonts w:ascii="宋体" w:hAnsi="宋体" w:cs="宋体" w:eastAsia="宋体" w:hint="default"/>
                <w:sz w:val="16"/>
                <w:szCs w:val="16"/>
              </w:rPr>
            </w:pPr>
            <w:r>
              <w:rPr>
                <w:rFonts w:ascii="宋体" w:hAnsi="宋体" w:cs="宋体" w:eastAsia="宋体" w:hint="default"/>
                <w:sz w:val="16"/>
                <w:szCs w:val="16"/>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 w:right="0"/>
              <w:jc w:val="center"/>
              <w:rPr>
                <w:rFonts w:ascii="宋体" w:hAnsi="宋体" w:cs="宋体" w:eastAsia="宋体" w:hint="default"/>
                <w:sz w:val="16"/>
                <w:szCs w:val="16"/>
              </w:rPr>
            </w:pPr>
            <w:r>
              <w:rPr>
                <w:rFonts w:ascii="宋体" w:hAnsi="宋体" w:cs="宋体" w:eastAsia="宋体" w:hint="default"/>
                <w:sz w:val="16"/>
                <w:szCs w:val="16"/>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 w:right="0"/>
              <w:jc w:val="center"/>
              <w:rPr>
                <w:rFonts w:ascii="宋体" w:hAnsi="宋体" w:cs="宋体" w:eastAsia="宋体" w:hint="default"/>
                <w:sz w:val="16"/>
                <w:szCs w:val="16"/>
              </w:rPr>
            </w:pPr>
            <w:r>
              <w:rPr>
                <w:rFonts w:ascii="宋体" w:hAnsi="宋体" w:cs="宋体" w:eastAsia="宋体" w:hint="default"/>
                <w:sz w:val="16"/>
                <w:szCs w:val="16"/>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77" w:right="0"/>
              <w:jc w:val="left"/>
              <w:rPr>
                <w:rFonts w:ascii="宋体" w:hAnsi="宋体" w:cs="宋体" w:eastAsia="宋体" w:hint="default"/>
                <w:sz w:val="16"/>
                <w:szCs w:val="16"/>
              </w:rPr>
            </w:pPr>
            <w:r>
              <w:rPr>
                <w:rFonts w:ascii="宋体" w:hAnsi="宋体" w:cs="宋体" w:eastAsia="宋体" w:hint="default"/>
                <w:sz w:val="16"/>
                <w:szCs w:val="16"/>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75" w:right="0"/>
              <w:jc w:val="left"/>
              <w:rPr>
                <w:rFonts w:ascii="宋体" w:hAnsi="宋体" w:cs="宋体" w:eastAsia="宋体" w:hint="default"/>
                <w:sz w:val="16"/>
                <w:szCs w:val="16"/>
              </w:rPr>
            </w:pPr>
            <w:r>
              <w:rPr>
                <w:rFonts w:ascii="宋体" w:hAnsi="宋体" w:cs="宋体" w:eastAsia="宋体" w:hint="default"/>
                <w:sz w:val="16"/>
                <w:szCs w:val="16"/>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第四季度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91" w:right="0"/>
              <w:jc w:val="left"/>
              <w:rPr>
                <w:rFonts w:ascii="Times New Roman" w:hAnsi="Times New Roman" w:cs="Times New Roman" w:eastAsia="Times New Roman" w:hint="default"/>
                <w:sz w:val="13"/>
                <w:szCs w:val="13"/>
              </w:rPr>
            </w:pPr>
            <w:r>
              <w:rPr>
                <w:rFonts w:ascii="Times New Roman"/>
                <w:sz w:val="13"/>
              </w:rPr>
              <w:t>1,638,024,012.88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85" w:right="0"/>
              <w:jc w:val="left"/>
              <w:rPr>
                <w:rFonts w:ascii="Times New Roman" w:hAnsi="Times New Roman" w:cs="Times New Roman" w:eastAsia="Times New Roman" w:hint="default"/>
                <w:sz w:val="13"/>
                <w:szCs w:val="13"/>
              </w:rPr>
            </w:pPr>
            <w:r>
              <w:rPr>
                <w:rFonts w:ascii="Times New Roman"/>
                <w:sz w:val="13"/>
              </w:rPr>
              <w:t>1,955,046,914.75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2,140,373,059.27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54" w:right="0"/>
              <w:jc w:val="center"/>
              <w:rPr>
                <w:rFonts w:ascii="Times New Roman" w:hAnsi="Times New Roman" w:cs="Times New Roman" w:eastAsia="Times New Roman" w:hint="default"/>
                <w:sz w:val="13"/>
                <w:szCs w:val="13"/>
              </w:rPr>
            </w:pPr>
            <w:r>
              <w:rPr>
                <w:rFonts w:ascii="Times New Roman"/>
                <w:sz w:val="13"/>
              </w:rPr>
              <w:t>3,115,568,677.16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42" w:right="0"/>
              <w:jc w:val="center"/>
              <w:rPr>
                <w:rFonts w:ascii="Times New Roman" w:hAnsi="Times New Roman" w:cs="Times New Roman" w:eastAsia="Times New Roman" w:hint="default"/>
                <w:sz w:val="13"/>
                <w:szCs w:val="13"/>
              </w:rPr>
            </w:pPr>
            <w:r>
              <w:rPr>
                <w:rFonts w:ascii="Times New Roman"/>
                <w:sz w:val="13"/>
              </w:rPr>
              <w:t>1,400,070,934.32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1,723,962,640.02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z w:val="13"/>
              </w:rPr>
              <w:t>1,890,159,232.26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7" w:right="0"/>
              <w:jc w:val="center"/>
              <w:rPr>
                <w:rFonts w:ascii="Times New Roman" w:hAnsi="Times New Roman" w:cs="Times New Roman" w:eastAsia="Times New Roman" w:hint="default"/>
                <w:sz w:val="13"/>
                <w:szCs w:val="13"/>
              </w:rPr>
            </w:pPr>
            <w:r>
              <w:rPr>
                <w:rFonts w:ascii="Times New Roman"/>
                <w:sz w:val="13"/>
              </w:rPr>
              <w:t>3,456,398,277.50</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5" w:lineRule="auto" w:before="70"/>
              <w:ind w:left="24" w:right="21"/>
              <w:jc w:val="left"/>
              <w:rPr>
                <w:rFonts w:ascii="宋体" w:hAnsi="宋体" w:cs="宋体" w:eastAsia="宋体" w:hint="default"/>
                <w:sz w:val="16"/>
                <w:szCs w:val="16"/>
              </w:rPr>
            </w:pPr>
            <w:r>
              <w:rPr>
                <w:rFonts w:ascii="宋体" w:hAnsi="宋体" w:cs="宋体" w:eastAsia="宋体" w:hint="default"/>
                <w:spacing w:val="12"/>
                <w:sz w:val="16"/>
                <w:szCs w:val="16"/>
              </w:rPr>
              <w:t>归属于上市公司</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股东的净利润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87" w:right="0"/>
              <w:jc w:val="left"/>
              <w:rPr>
                <w:rFonts w:ascii="Times New Roman" w:hAnsi="Times New Roman" w:cs="Times New Roman" w:eastAsia="Times New Roman" w:hint="default"/>
                <w:sz w:val="13"/>
                <w:szCs w:val="13"/>
              </w:rPr>
            </w:pPr>
            <w:r>
              <w:rPr>
                <w:rFonts w:ascii="Times New Roman"/>
                <w:sz w:val="13"/>
              </w:rPr>
              <w:t>154,795,109.80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86" w:right="0"/>
              <w:jc w:val="left"/>
              <w:rPr>
                <w:rFonts w:ascii="Times New Roman" w:hAnsi="Times New Roman" w:cs="Times New Roman" w:eastAsia="Times New Roman" w:hint="default"/>
                <w:sz w:val="13"/>
                <w:szCs w:val="13"/>
              </w:rPr>
            </w:pPr>
            <w:r>
              <w:rPr>
                <w:rFonts w:ascii="Times New Roman"/>
                <w:sz w:val="13"/>
              </w:rPr>
              <w:t>232,031,126.11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366,641,601.54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99" w:right="0"/>
              <w:jc w:val="center"/>
              <w:rPr>
                <w:rFonts w:ascii="Times New Roman" w:hAnsi="Times New Roman" w:cs="Times New Roman" w:eastAsia="Times New Roman" w:hint="default"/>
                <w:sz w:val="13"/>
                <w:szCs w:val="13"/>
              </w:rPr>
            </w:pPr>
            <w:r>
              <w:rPr>
                <w:rFonts w:ascii="Times New Roman"/>
                <w:sz w:val="13"/>
              </w:rPr>
              <w:t>-169,766,065.43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36" w:right="0"/>
              <w:jc w:val="center"/>
              <w:rPr>
                <w:rFonts w:ascii="Times New Roman" w:hAnsi="Times New Roman" w:cs="Times New Roman" w:eastAsia="Times New Roman" w:hint="default"/>
                <w:sz w:val="13"/>
                <w:szCs w:val="13"/>
              </w:rPr>
            </w:pPr>
            <w:r>
              <w:rPr>
                <w:rFonts w:ascii="Times New Roman"/>
                <w:sz w:val="13"/>
              </w:rPr>
              <w:t>134,535,330.82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z w:val="13"/>
              </w:rPr>
              <w:t>199,156,016.27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z w:val="13"/>
              </w:rPr>
              <w:t>320,660,069.22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31" w:right="0"/>
              <w:jc w:val="center"/>
              <w:rPr>
                <w:rFonts w:ascii="Times New Roman" w:hAnsi="Times New Roman" w:cs="Times New Roman" w:eastAsia="Times New Roman" w:hint="default"/>
                <w:sz w:val="13"/>
                <w:szCs w:val="13"/>
              </w:rPr>
            </w:pPr>
            <w:r>
              <w:rPr>
                <w:rFonts w:ascii="Times New Roman"/>
                <w:sz w:val="13"/>
              </w:rPr>
              <w:t>152,058,160.07</w:t>
            </w:r>
          </w:p>
        </w:tc>
      </w:tr>
    </w:tbl>
    <w:p>
      <w:pPr>
        <w:pStyle w:val="BodyText"/>
        <w:spacing w:line="316" w:lineRule="auto" w:before="10"/>
        <w:ind w:left="513" w:right="986" w:hanging="361"/>
        <w:jc w:val="left"/>
      </w:pPr>
      <w:r>
        <w:rPr/>
        <w:t>说明经营季节性（或周期性）发生的原因及波动风险 </w:t>
      </w:r>
      <w:r>
        <w:rPr>
          <w:spacing w:val="-2"/>
        </w:rPr>
        <w:t>目前公司收入主要来源于行业应用软件开发、计算机信息系统集成和信息技术服务，客户主要涉及金融、医疗、政府等</w:t>
      </w:r>
    </w:p>
    <w:p>
      <w:pPr>
        <w:pStyle w:val="BodyText"/>
        <w:spacing w:line="309" w:lineRule="auto" w:before="19"/>
        <w:ind w:right="1130"/>
        <w:jc w:val="both"/>
      </w:pPr>
      <w:r>
        <w:rPr>
          <w:spacing w:val="-2"/>
        </w:rPr>
        <w:t>行业。公司客户大多会依据严格的财务预算和支出管理制度，在年初规划项目及安排支出，在下半年完成项目的招标和验收</w:t>
      </w:r>
      <w:r>
        <w:rPr>
          <w:spacing w:val="-63"/>
        </w:rPr>
        <w:t> </w:t>
      </w:r>
      <w:r>
        <w:rPr>
          <w:spacing w:val="-63"/>
        </w:rPr>
      </w:r>
      <w:r>
        <w:rPr>
          <w:spacing w:val="-2"/>
        </w:rPr>
        <w:t>等相关工作。因此，公司实现营业收入的高峰期通常在第三季度和第四季度，存在一定的季节性波动风险。从各季度的营业</w:t>
      </w:r>
      <w:r>
        <w:rPr>
          <w:spacing w:val="-64"/>
        </w:rPr>
        <w:t> </w:t>
      </w:r>
      <w:r>
        <w:rPr>
          <w:spacing w:val="-64"/>
        </w:rPr>
      </w:r>
      <w:r>
        <w:rPr/>
        <w:t>收入占比来看，</w:t>
      </w:r>
      <w:r>
        <w:rPr>
          <w:rFonts w:ascii="Times New Roman" w:hAnsi="Times New Roman" w:cs="Times New Roman" w:eastAsia="Times New Roman" w:hint="default"/>
        </w:rPr>
        <w:t>2018</w:t>
      </w:r>
      <w:r>
        <w:rPr/>
        <w:t>年公司第一到第四季度的营业收入占全年收入的比重分别为</w:t>
      </w:r>
      <w:r>
        <w:rPr>
          <w:rFonts w:ascii="Times New Roman" w:hAnsi="Times New Roman" w:cs="Times New Roman" w:eastAsia="Times New Roman" w:hint="default"/>
        </w:rPr>
        <w:t>16.53%</w:t>
      </w:r>
      <w:r>
        <w:rPr/>
        <w:t>、</w:t>
      </w:r>
      <w:r>
        <w:rPr>
          <w:rFonts w:ascii="Times New Roman" w:hAnsi="Times New Roman" w:cs="Times New Roman" w:eastAsia="Times New Roman" w:hint="default"/>
        </w:rPr>
        <w:t>20.35%</w:t>
      </w:r>
      <w:r>
        <w:rPr/>
        <w:t>、</w:t>
      </w:r>
      <w:r>
        <w:rPr>
          <w:rFonts w:ascii="Times New Roman" w:hAnsi="Times New Roman" w:cs="Times New Roman" w:eastAsia="Times New Roman" w:hint="default"/>
        </w:rPr>
        <w:t>22.31%</w:t>
      </w:r>
      <w:r>
        <w:rPr/>
        <w:t>和</w:t>
      </w:r>
      <w:r>
        <w:rPr>
          <w:rFonts w:ascii="Times New Roman" w:hAnsi="Times New Roman" w:cs="Times New Roman" w:eastAsia="Times New Roman" w:hint="default"/>
        </w:rPr>
        <w:t>40.80%</w:t>
      </w:r>
      <w:r>
        <w:rPr/>
        <w:t>，</w:t>
      </w:r>
      <w:r>
        <w:rPr>
          <w:rFonts w:ascii="Times New Roman" w:hAnsi="Times New Roman" w:cs="Times New Roman" w:eastAsia="Times New Roman" w:hint="default"/>
        </w:rPr>
        <w:t>2019 </w:t>
      </w:r>
      <w:r>
        <w:rPr/>
        <w:t>年公司第一到第四季度的营业收入占全年收入的比重分别为</w:t>
      </w:r>
      <w:r>
        <w:rPr>
          <w:rFonts w:ascii="Times New Roman" w:hAnsi="Times New Roman" w:cs="Times New Roman" w:eastAsia="Times New Roman" w:hint="default"/>
        </w:rPr>
        <w:t>18.51%</w:t>
      </w:r>
      <w:r>
        <w:rPr/>
        <w:t>、</w:t>
      </w:r>
      <w:r>
        <w:rPr>
          <w:rFonts w:ascii="Times New Roman" w:hAnsi="Times New Roman" w:cs="Times New Roman" w:eastAsia="Times New Roman" w:hint="default"/>
        </w:rPr>
        <w:t>22.09%</w:t>
      </w:r>
      <w:r>
        <w:rPr/>
        <w:t>、</w:t>
      </w:r>
      <w:r>
        <w:rPr>
          <w:rFonts w:ascii="Times New Roman" w:hAnsi="Times New Roman" w:cs="Times New Roman" w:eastAsia="Times New Roman" w:hint="default"/>
        </w:rPr>
        <w:t>24.19%</w:t>
      </w:r>
      <w:r>
        <w:rPr/>
        <w:t>和</w:t>
      </w:r>
      <w:r>
        <w:rPr>
          <w:rFonts w:ascii="Times New Roman" w:hAnsi="Times New Roman" w:cs="Times New Roman" w:eastAsia="Times New Roman" w:hint="default"/>
        </w:rPr>
        <w:t>35.21%</w:t>
      </w:r>
      <w:r>
        <w:rPr/>
        <w:t>，公司下半年营业收入占比 较高，呈现较强的季节性特征。</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健康行业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1,380,974,327.51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675,461,614.58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4,321,614,721.93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3,406,008,961.63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999,854,419.05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724,940,345.12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6,032,159,181.01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5,296,648,696.22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2,004,982,456.60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1,003,693,745.97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7.11%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5,591,393,207.67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4,031,040,113.30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1,225,267,676.01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883,172,871.17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63"/>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6"/>
        <w:jc w:val="left"/>
      </w:pPr>
      <w:r>
        <w:rPr/>
        <w:t>行业和产品分类</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健康行业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675,461,614.58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541,316,899.52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3,406,008,961.63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3,389,741,010.25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724,940,345.12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695,518,364.70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506,711,247.44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442,692,553.47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互联网及计算机 服务行业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226,726,986.85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221,670,281.15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417,549,166.87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411,590,529.27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435,700,572.12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486,875,369.26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-10.51%</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5,296,648,696.22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5,033,964,618.66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92,756,452.43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113,192,005.67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1,003,693,745.97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1,042,248,383.29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5"/>
              <w:jc w:val="righ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2,296,295.02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14,030,626.01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-83.63%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w:t>
      </w:r>
      <w:r>
        <w:rPr>
          <w:spacing w:val="-2"/>
        </w:rPr>
        <w:t>本期纳入合并财务报表范围的子公司共</w:t>
      </w:r>
      <w:r>
        <w:rPr>
          <w:rFonts w:ascii="Times New Roman" w:hAnsi="Times New Roman" w:cs="Times New Roman" w:eastAsia="Times New Roman" w:hint="default"/>
          <w:spacing w:val="-2"/>
        </w:rPr>
        <w:t>61</w:t>
      </w:r>
      <w:r>
        <w:rPr>
          <w:spacing w:val="-2"/>
        </w:rPr>
        <w:t>家，新增</w:t>
      </w:r>
      <w:r>
        <w:rPr>
          <w:rFonts w:ascii="Times New Roman" w:hAnsi="Times New Roman" w:cs="Times New Roman" w:eastAsia="Times New Roman" w:hint="default"/>
          <w:spacing w:val="-2"/>
        </w:rPr>
        <w:t>6</w:t>
      </w:r>
      <w:r>
        <w:rPr>
          <w:spacing w:val="-2"/>
        </w:rPr>
        <w:t>家子公司，减少</w:t>
      </w:r>
      <w:r>
        <w:rPr>
          <w:rFonts w:ascii="Times New Roman" w:hAnsi="Times New Roman" w:cs="Times New Roman" w:eastAsia="Times New Roman" w:hint="default"/>
          <w:spacing w:val="-2"/>
        </w:rPr>
        <w:t>3</w:t>
      </w:r>
      <w:r>
        <w:rPr>
          <w:spacing w:val="-2"/>
        </w:rPr>
        <w:t>家子公司。合并范围变更主体的具体信息详见</w:t>
      </w:r>
      <w:r>
        <w:rPr>
          <w:rFonts w:ascii="Times New Roman" w:hAnsi="Times New Roman" w:cs="Times New Roman" w:eastAsia="Times New Roman" w:hint="default"/>
          <w:spacing w:val="-2"/>
        </w:rPr>
        <w:t>“</w:t>
      </w:r>
      <w:r>
        <w:rPr>
          <w:spacing w:val="-2"/>
        </w:rPr>
        <w:t>附注七、</w:t>
      </w:r>
      <w:r>
        <w:rPr>
          <w:spacing w:val="-47"/>
        </w:rPr>
        <w:t> </w:t>
      </w:r>
      <w:r>
        <w:rPr/>
        <w:t>合并范围的变更</w:t>
      </w:r>
      <w:r>
        <w:rPr>
          <w:rFonts w:ascii="Times New Roman" w:hAnsi="Times New Roman" w:cs="Times New Roman" w:eastAsia="Times New Roman" w:hint="default"/>
        </w:rPr>
        <w:t>”</w:t>
      </w:r>
      <w:r>
        <w:rPr/>
        <w:t>。</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4892"/>
      </w:tblGrid>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1,182,112,050.56</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309,059,214.13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257,609,834.98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218,677,653.21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198,877,156.46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197,888,191.78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1,182,112,050.56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r>
    </w:tbl>
    <w:p>
      <w:pPr>
        <w:pStyle w:val="BodyText"/>
        <w:spacing w:line="240" w:lineRule="auto" w:before="49"/>
        <w:ind w:right="986"/>
        <w:jc w:val="left"/>
      </w:pPr>
      <w:r>
        <w:rPr/>
        <w:t>主要客户其他情况说明</w:t>
      </w:r>
    </w:p>
    <w:p>
      <w:pPr>
        <w:pStyle w:val="BodyText"/>
        <w:spacing w:line="338" w:lineRule="auto" w:before="119"/>
        <w:ind w:left="453" w:right="986" w:hanging="3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公司前五名客户与公司不存在任何关联关系，公司董事、监事、高级管理人员、核心技术人员、持股</w:t>
      </w:r>
      <w:r>
        <w:rPr>
          <w:rFonts w:ascii="Times New Roman" w:hAnsi="Times New Roman" w:cs="Times New Roman" w:eastAsia="Times New Roman" w:hint="default"/>
          <w:spacing w:val="-2"/>
        </w:rPr>
        <w:t>5%</w:t>
      </w:r>
      <w:r>
        <w:rPr>
          <w:spacing w:val="-2"/>
        </w:rPr>
        <w:t>以上股东、实际</w:t>
      </w:r>
    </w:p>
    <w:p>
      <w:pPr>
        <w:pStyle w:val="BodyText"/>
        <w:spacing w:line="217" w:lineRule="exact"/>
        <w:ind w:right="986"/>
        <w:jc w:val="left"/>
      </w:pPr>
      <w:r>
        <w:rPr/>
        <w:t>控制人和其他关联方在主要客户中不存在直接或者间接拥有权益的情形。</w:t>
      </w:r>
    </w:p>
    <w:p>
      <w:pPr>
        <w:pStyle w:val="BodyText"/>
        <w:spacing w:line="240" w:lineRule="auto" w:before="115"/>
        <w:ind w:right="986"/>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4892"/>
      </w:tblGrid>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1,691,563,478.05</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27.95%</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593,998,645.45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569,615,656.45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280,212,905.30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154,441,716.07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93,294,554.79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1,691,563,478.05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27.95%</w:t>
            </w:r>
          </w:p>
        </w:tc>
      </w:tr>
    </w:tbl>
    <w:p>
      <w:pPr>
        <w:pStyle w:val="BodyText"/>
        <w:spacing w:line="240" w:lineRule="auto" w:before="10"/>
        <w:ind w:right="986"/>
        <w:jc w:val="left"/>
      </w:pPr>
      <w:r>
        <w:rPr/>
        <w:t>主要供应商其他情况说明</w:t>
      </w:r>
    </w:p>
    <w:p>
      <w:pPr>
        <w:pStyle w:val="BodyText"/>
        <w:spacing w:line="240" w:lineRule="auto" w:before="7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3"/>
        <w:ind w:left="573" w:right="986"/>
        <w:jc w:val="left"/>
      </w:pPr>
      <w:r>
        <w:rPr/>
        <w:t>公司前五名供应商与公司不存在任何关联关系，公司董事、监事、高级管理人员、核心技术人员、持股</w:t>
      </w:r>
      <w:r>
        <w:rPr>
          <w:rFonts w:ascii="Times New Roman" w:hAnsi="Times New Roman" w:cs="Times New Roman" w:eastAsia="Times New Roman" w:hint="default"/>
        </w:rPr>
        <w:t>5%</w:t>
      </w:r>
      <w:r>
        <w:rPr/>
        <w:t>以上股东、</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实际控制人和其他关联方在主要供应商中不存在直接或者间接拥有权益的情形。</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44"/>
        <w:ind w:left="0" w:right="1160"/>
        <w:jc w:val="right"/>
      </w:pPr>
      <w:r>
        <w:rPr/>
        <w:pict>
          <v:shape style="position:absolute;margin-left:56.400002pt;margin-top:-96.878311pt;width:479.3pt;height:116.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637"/>
                    <w:gridCol w:w="1637"/>
                    <w:gridCol w:w="1332"/>
                    <w:gridCol w:w="304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343,855,697.89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293,566,960.81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17.13%</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520,270,526.23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599,530,467.67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-13.22%</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75,998,224.65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98,972,856.49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-23.21%</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596,502,193.18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416,928,963.49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43.07%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研发费用较上年同期增加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43.07%</w:t>
                        </w:r>
                        <w:r>
                          <w:rPr>
                            <w:rFonts w:ascii="宋体" w:hAnsi="宋体" w:cs="宋体" w:eastAsia="宋体" w:hint="default"/>
                            <w:sz w:val="18"/>
                            <w:szCs w:val="18"/>
                          </w:rPr>
                          <w:t>，主 要原因系本期投入研发费用增加所致</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4"/>
        <w:spacing w:line="240" w:lineRule="auto" w:before="36"/>
        <w:ind w:right="98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9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报告期内，公司继续专注于在智慧医疗、智慧城市、智慧金融等领域以及云计算、大数据、物联网、人工智能等新兴技</w:t>
      </w:r>
    </w:p>
    <w:p>
      <w:pPr>
        <w:pStyle w:val="BodyText"/>
        <w:spacing w:line="338" w:lineRule="auto" w:before="31"/>
        <w:ind w:right="986"/>
        <w:jc w:val="left"/>
      </w:pPr>
      <w:r>
        <w:rPr>
          <w:spacing w:val="-1"/>
        </w:rPr>
        <w:t>术的研发。目前，公司拥有软件著作权</w:t>
      </w:r>
      <w:r>
        <w:rPr>
          <w:rFonts w:ascii="Times New Roman" w:hAnsi="Times New Roman" w:cs="Times New Roman" w:eastAsia="Times New Roman" w:hint="default"/>
          <w:spacing w:val="-1"/>
        </w:rPr>
        <w:t>1,500</w:t>
      </w:r>
      <w:r>
        <w:rPr>
          <w:spacing w:val="-1"/>
        </w:rPr>
        <w:t>余项，研发支出总额</w:t>
      </w:r>
      <w:r>
        <w:rPr>
          <w:rFonts w:ascii="Times New Roman" w:hAnsi="Times New Roman" w:cs="Times New Roman" w:eastAsia="Times New Roman" w:hint="default"/>
          <w:spacing w:val="-1"/>
        </w:rPr>
        <w:t>1,225,070,157.70</w:t>
      </w:r>
      <w:r>
        <w:rPr>
          <w:spacing w:val="-1"/>
        </w:rPr>
        <w:t>元，占营业收入的</w:t>
      </w:r>
      <w:r>
        <w:rPr>
          <w:rFonts w:ascii="Times New Roman" w:hAnsi="Times New Roman" w:cs="Times New Roman" w:eastAsia="Times New Roman" w:hint="default"/>
          <w:spacing w:val="-1"/>
        </w:rPr>
        <w:t>13.84</w:t>
      </w:r>
      <w:r>
        <w:rPr>
          <w:spacing w:val="-1"/>
        </w:rPr>
        <w:t>，同比上升</w:t>
      </w:r>
      <w:r>
        <w:rPr>
          <w:rFonts w:ascii="Times New Roman" w:hAnsi="Times New Roman" w:cs="Times New Roman" w:eastAsia="Times New Roman" w:hint="default"/>
          <w:spacing w:val="-1"/>
        </w:rPr>
        <w:t>1.88%</w:t>
      </w:r>
      <w:r>
        <w:rPr>
          <w:spacing w:val="-1"/>
        </w:rPr>
        <w:t>。</w:t>
      </w:r>
      <w:r>
        <w:rPr>
          <w:spacing w:val="-45"/>
        </w:rPr>
        <w:t> </w:t>
      </w:r>
      <w:r>
        <w:rPr/>
        <w:t>公司研发投入情况</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35"/>
        <w:gridCol w:w="1949"/>
        <w:gridCol w:w="2393"/>
        <w:gridCol w:w="239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1,225,070,157.70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1,013,284,607.40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40,227,398.91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w:t>
            </w:r>
          </w:p>
        </w:tc>
      </w:tr>
    </w:tbl>
    <w:p>
      <w:pPr>
        <w:pStyle w:val="BodyText"/>
        <w:spacing w:line="240" w:lineRule="auto" w:before="49"/>
        <w:ind w:right="986"/>
        <w:jc w:val="left"/>
      </w:pPr>
      <w:r>
        <w:rPr/>
        <w:t>研发投入总额占营业收入的比重较上年发生显著变化的原因</w:t>
      </w:r>
    </w:p>
    <w:p>
      <w:pPr>
        <w:pStyle w:val="BodyText"/>
        <w:spacing w:line="338" w:lineRule="auto" w:before="11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9,954,899,024.73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9,422,146,686.63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9,652,494,669.04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9,070,685,878.99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302,404,355.69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351,460,807.64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503,677.39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93,669,656.28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-99.46%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125,930,161.02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199,113,108.32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-36.75%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-125,426,483.63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-105,443,452.04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18.95%</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2,689,342,320.78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3,315,286,083.64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-18.88%</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2,708,590,408.42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3,397,613,785.63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-20.28%</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-19,248,087.64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-82,327,701.99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-76.62%</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158,573,593.53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164,607,615.42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-3.67%</w:t>
            </w:r>
          </w:p>
        </w:tc>
      </w:tr>
    </w:tbl>
    <w:p>
      <w:pPr>
        <w:pStyle w:val="BodyText"/>
        <w:spacing w:line="240" w:lineRule="auto" w:before="10"/>
        <w:ind w:right="986"/>
        <w:jc w:val="left"/>
      </w:pPr>
      <w:r>
        <w:rPr/>
        <w:t>相关数据同比发生重大变动的主要影响因素说明</w:t>
      </w:r>
    </w:p>
    <w:p>
      <w:pPr>
        <w:pStyle w:val="BodyText"/>
        <w:spacing w:line="240" w:lineRule="auto" w:before="76"/>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6"/>
          <w:szCs w:val="16"/>
        </w:rPr>
      </w:pPr>
    </w:p>
    <w:p>
      <w:pPr>
        <w:pStyle w:val="BodyText"/>
        <w:spacing w:line="309" w:lineRule="auto"/>
        <w:ind w:right="1130" w:firstLine="360"/>
        <w:jc w:val="both"/>
      </w:pPr>
      <w:r>
        <w:rPr>
          <w:rFonts w:ascii="宋体" w:hAnsi="宋体" w:cs="宋体" w:eastAsia="宋体" w:hint="default"/>
          <w:spacing w:val="-1"/>
        </w:rPr>
        <w:t>1</w:t>
      </w:r>
      <w:r>
        <w:rPr>
          <w:spacing w:val="-1"/>
        </w:rPr>
        <w:t>、收到其他与投资活动有关的现金较上年同期减少</w:t>
      </w:r>
      <w:r>
        <w:rPr>
          <w:rFonts w:ascii="Times New Roman" w:hAnsi="Times New Roman" w:cs="Times New Roman" w:eastAsia="Times New Roman" w:hint="default"/>
          <w:spacing w:val="-1"/>
        </w:rPr>
        <w:t>99.65%</w:t>
      </w:r>
      <w:r>
        <w:rPr>
          <w:spacing w:val="-1"/>
        </w:rPr>
        <w:t>，主要原因系属子公司深圳市至高通信技术发展有限公司因</w:t>
      </w:r>
      <w:r>
        <w:rPr/>
        <w:t> </w:t>
      </w:r>
      <w:r>
        <w:rPr>
          <w:spacing w:val="-2"/>
        </w:rPr>
        <w:t>未完成业绩承诺，收回补偿款，导致本期收到其他与投资活动有关的现金较上年同期减少所致。从而导致投资活动现金流入</w:t>
      </w:r>
      <w:r>
        <w:rPr>
          <w:spacing w:val="-63"/>
        </w:rPr>
        <w:t> </w:t>
      </w:r>
      <w:r>
        <w:rPr>
          <w:spacing w:val="-63"/>
        </w:rPr>
      </w:r>
      <w:r>
        <w:rPr/>
        <w:t>小计较上年同期减少</w:t>
      </w:r>
      <w:r>
        <w:rPr>
          <w:rFonts w:ascii="Times New Roman" w:hAnsi="Times New Roman" w:cs="Times New Roman" w:eastAsia="Times New Roman" w:hint="default"/>
        </w:rPr>
        <w:t>99.46%</w:t>
      </w:r>
      <w:r>
        <w:rPr/>
        <w:t>。</w:t>
      </w:r>
    </w:p>
    <w:p>
      <w:pPr>
        <w:pStyle w:val="BodyText"/>
        <w:spacing w:line="300" w:lineRule="auto" w:before="161"/>
        <w:ind w:right="1132" w:firstLine="360"/>
        <w:jc w:val="both"/>
      </w:pPr>
      <w:r>
        <w:rPr>
          <w:rFonts w:ascii="宋体" w:hAnsi="宋体" w:cs="宋体" w:eastAsia="宋体" w:hint="default"/>
          <w:spacing w:val="-1"/>
        </w:rPr>
        <w:t>2</w:t>
      </w:r>
      <w:r>
        <w:rPr>
          <w:spacing w:val="-1"/>
        </w:rPr>
        <w:t>、支付其他与投资活动有关的现金较上年同期减少</w:t>
      </w:r>
      <w:r>
        <w:rPr>
          <w:rFonts w:ascii="Times New Roman" w:hAnsi="Times New Roman" w:cs="Times New Roman" w:eastAsia="Times New Roman" w:hint="default"/>
          <w:spacing w:val="-1"/>
        </w:rPr>
        <w:t>100%</w:t>
      </w:r>
      <w:r>
        <w:rPr>
          <w:spacing w:val="-1"/>
        </w:rPr>
        <w:t>，主要原因系上年公司处置子公司天津东华博雅，天津东华博</w:t>
      </w:r>
      <w:r>
        <w:rPr/>
        <w:t> 雅处置时点的现金转出所致。从而导致投资活动现金流出小计较上年同期减少</w:t>
      </w:r>
      <w:r>
        <w:rPr>
          <w:rFonts w:ascii="Times New Roman" w:hAnsi="Times New Roman" w:cs="Times New Roman" w:eastAsia="Times New Roman" w:hint="default"/>
        </w:rPr>
        <w:t>36.75%</w:t>
      </w:r>
      <w:r>
        <w:rPr/>
        <w:t>。</w:t>
      </w:r>
    </w:p>
    <w:p>
      <w:pPr>
        <w:spacing w:line="240" w:lineRule="auto" w:before="12"/>
        <w:rPr>
          <w:rFonts w:ascii="宋体" w:hAnsi="宋体" w:cs="宋体" w:eastAsia="宋体" w:hint="default"/>
          <w:sz w:val="12"/>
          <w:szCs w:val="12"/>
        </w:rPr>
      </w:pPr>
    </w:p>
    <w:p>
      <w:pPr>
        <w:pStyle w:val="BodyText"/>
        <w:spacing w:line="300" w:lineRule="auto"/>
        <w:ind w:right="1132" w:firstLine="360"/>
        <w:jc w:val="both"/>
      </w:pPr>
      <w:r>
        <w:rPr>
          <w:rFonts w:ascii="宋体" w:hAnsi="宋体" w:cs="宋体" w:eastAsia="宋体" w:hint="default"/>
          <w:spacing w:val="-1"/>
        </w:rPr>
        <w:t>3</w:t>
      </w:r>
      <w:r>
        <w:rPr>
          <w:spacing w:val="-1"/>
        </w:rPr>
        <w:t>、支付其他与筹资活动有关的现金较上年同期减少</w:t>
      </w:r>
      <w:r>
        <w:rPr>
          <w:rFonts w:ascii="Times New Roman" w:hAnsi="Times New Roman" w:cs="Times New Roman" w:eastAsia="Times New Roman" w:hint="default"/>
          <w:spacing w:val="-1"/>
        </w:rPr>
        <w:t>60.87%</w:t>
      </w:r>
      <w:r>
        <w:rPr>
          <w:spacing w:val="-1"/>
        </w:rPr>
        <w:t>，主要原因系公司偿还资金拆借款减少所致，从而导致筹资</w:t>
      </w:r>
      <w:r>
        <w:rPr/>
        <w:t> 活动产生的现金流量净额较上年同期减少</w:t>
      </w:r>
      <w:r>
        <w:rPr>
          <w:rFonts w:ascii="Times New Roman" w:hAnsi="Times New Roman" w:cs="Times New Roman" w:eastAsia="Times New Roman" w:hint="default"/>
        </w:rPr>
        <w:t>76.62%</w:t>
      </w:r>
      <w:r>
        <w:rPr/>
        <w:t>。</w:t>
      </w:r>
    </w:p>
    <w:p>
      <w:pPr>
        <w:spacing w:line="240" w:lineRule="auto" w:before="12"/>
        <w:rPr>
          <w:rFonts w:ascii="宋体" w:hAnsi="宋体" w:cs="宋体" w:eastAsia="宋体" w:hint="default"/>
          <w:sz w:val="12"/>
          <w:szCs w:val="12"/>
        </w:rPr>
      </w:pPr>
    </w:p>
    <w:p>
      <w:pPr>
        <w:pStyle w:val="BodyText"/>
        <w:spacing w:line="240" w:lineRule="auto"/>
        <w:ind w:right="986"/>
        <w:jc w:val="left"/>
      </w:pPr>
      <w:r>
        <w:rPr/>
        <w:t>报告期内公司经营活动产生的现金净流量与本年度净利润存在重大差异的原因说明</w:t>
      </w:r>
    </w:p>
    <w:p>
      <w:pPr>
        <w:pStyle w:val="BodyText"/>
        <w:spacing w:line="240" w:lineRule="auto" w:before="76"/>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277"/>
        <w:gridCol w:w="1560"/>
        <w:gridCol w:w="1274"/>
        <w:gridCol w:w="994"/>
        <w:gridCol w:w="1630"/>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1,980,680,688.09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2,086,641,271.60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5,939,629,519.53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5,560,938,612.15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5,297,891,129.14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4,636,520,569.72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25,557,826.31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5,757,183.93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0.11%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150,117,383.43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220,607,273.97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233,127,521.55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277,851,299.56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59,109,719.70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25,799,394.13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277"/>
        <w:gridCol w:w="1560"/>
        <w:gridCol w:w="1274"/>
        <w:gridCol w:w="994"/>
        <w:gridCol w:w="1630"/>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2,072,520,701.00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1,845,260,277.48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6" w:right="0"/>
              <w:jc w:val="left"/>
              <w:rPr>
                <w:rFonts w:ascii="Times New Roman" w:hAnsi="Times New Roman" w:cs="Times New Roman" w:eastAsia="Times New Roman" w:hint="default"/>
                <w:sz w:val="18"/>
                <w:szCs w:val="18"/>
              </w:rPr>
            </w:pPr>
            <w:r>
              <w:rPr>
                <w:rFonts w:ascii="Times New Roman"/>
                <w:sz w:val="18"/>
              </w:rPr>
              <w:t>11.47%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0.84%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截至报告期末，公司资产权利不存在受限情况。</w:t>
      </w:r>
    </w:p>
    <w:p>
      <w:pPr>
        <w:pStyle w:val="Heading3"/>
        <w:spacing w:line="240" w:lineRule="auto" w:before="100"/>
        <w:ind w:right="986"/>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776,140,866.20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664,576,883.39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850"/>
        <w:gridCol w:w="992"/>
        <w:gridCol w:w="994"/>
        <w:gridCol w:w="1274"/>
        <w:gridCol w:w="1136"/>
        <w:gridCol w:w="1238"/>
        <w:gridCol w:w="1045"/>
        <w:gridCol w:w="104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8"/>
              <w:jc w:val="both"/>
              <w:rPr>
                <w:rFonts w:ascii="宋体" w:hAnsi="宋体" w:cs="宋体" w:eastAsia="宋体" w:hint="default"/>
                <w:sz w:val="18"/>
                <w:szCs w:val="18"/>
              </w:rPr>
            </w:pPr>
            <w:r>
              <w:rPr>
                <w:rFonts w:ascii="宋体" w:hAnsi="宋体" w:cs="宋体" w:eastAsia="宋体" w:hint="default"/>
                <w:sz w:val="18"/>
                <w:szCs w:val="18"/>
              </w:rPr>
              <w:t>北京神州新 桥科技有限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软件及信息 技术服务业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Times New Roman" w:hAnsi="Times New Roman" w:cs="Times New Roman" w:eastAsia="Times New Roman" w:hint="default"/>
                <w:sz w:val="16"/>
                <w:szCs w:val="16"/>
              </w:rPr>
            </w:pPr>
            <w:r>
              <w:rPr>
                <w:rFonts w:ascii="Times New Roman"/>
                <w:sz w:val="16"/>
              </w:rPr>
              <w:t>300,000,000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2,152,820,460.16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5" w:right="0"/>
              <w:jc w:val="center"/>
              <w:rPr>
                <w:rFonts w:ascii="Times New Roman" w:hAnsi="Times New Roman" w:cs="Times New Roman" w:eastAsia="Times New Roman" w:hint="default"/>
                <w:sz w:val="16"/>
                <w:szCs w:val="16"/>
              </w:rPr>
            </w:pPr>
            <w:r>
              <w:rPr>
                <w:rFonts w:ascii="Times New Roman"/>
                <w:sz w:val="16"/>
              </w:rPr>
              <w:t>596,210,611.06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2,212,728,635.78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83,824,687.33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77,321,309.71</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8"/>
              <w:jc w:val="both"/>
              <w:rPr>
                <w:rFonts w:ascii="宋体" w:hAnsi="宋体" w:cs="宋体" w:eastAsia="宋体" w:hint="default"/>
                <w:sz w:val="18"/>
                <w:szCs w:val="18"/>
              </w:rPr>
            </w:pPr>
            <w:r>
              <w:rPr>
                <w:rFonts w:ascii="宋体" w:hAnsi="宋体" w:cs="宋体" w:eastAsia="宋体" w:hint="default"/>
                <w:sz w:val="18"/>
                <w:szCs w:val="18"/>
              </w:rPr>
              <w:t>北京东华合 创科技有限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3" w:right="56"/>
              <w:jc w:val="left"/>
              <w:rPr>
                <w:rFonts w:ascii="宋体" w:hAnsi="宋体" w:cs="宋体" w:eastAsia="宋体" w:hint="default"/>
                <w:sz w:val="18"/>
                <w:szCs w:val="18"/>
              </w:rPr>
            </w:pPr>
            <w:r>
              <w:rPr>
                <w:rFonts w:ascii="宋体" w:hAnsi="宋体" w:cs="宋体" w:eastAsia="宋体" w:hint="default"/>
                <w:sz w:val="18"/>
                <w:szCs w:val="18"/>
              </w:rPr>
              <w:t>软件及信息 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Times New Roman" w:hAnsi="Times New Roman" w:cs="Times New Roman" w:eastAsia="Times New Roman" w:hint="default"/>
                <w:sz w:val="16"/>
                <w:szCs w:val="16"/>
              </w:rPr>
            </w:pPr>
            <w:r>
              <w:rPr>
                <w:rFonts w:ascii="Times New Roman"/>
                <w:sz w:val="16"/>
              </w:rPr>
              <w:t>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1,666,636,974.43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center"/>
              <w:rPr>
                <w:rFonts w:ascii="Times New Roman" w:hAnsi="Times New Roman" w:cs="Times New Roman" w:eastAsia="Times New Roman" w:hint="default"/>
                <w:sz w:val="16"/>
                <w:szCs w:val="16"/>
              </w:rPr>
            </w:pPr>
            <w:r>
              <w:rPr>
                <w:rFonts w:ascii="Times New Roman"/>
                <w:sz w:val="16"/>
              </w:rPr>
              <w:t>920,018,820.46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6"/>
                <w:szCs w:val="16"/>
              </w:rPr>
            </w:pPr>
            <w:r>
              <w:rPr>
                <w:rFonts w:ascii="Times New Roman"/>
                <w:spacing w:val="-1"/>
                <w:sz w:val="16"/>
              </w:rPr>
              <w:t>799,671,733.45</w:t>
            </w:r>
            <w:r>
              <w:rPr>
                <w:rFonts w:ascii="Times New Roman"/>
                <w:sz w:val="16"/>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6"/>
                <w:szCs w:val="16"/>
              </w:rPr>
            </w:pPr>
            <w:r>
              <w:rPr>
                <w:rFonts w:ascii="Times New Roman"/>
                <w:sz w:val="16"/>
              </w:rPr>
              <w:t>98,904,398.10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93,883,550.55</w:t>
            </w:r>
          </w:p>
        </w:tc>
      </w:tr>
    </w:tbl>
    <w:p>
      <w:pPr>
        <w:pStyle w:val="BodyText"/>
        <w:spacing w:line="240" w:lineRule="auto" w:before="49"/>
        <w:ind w:right="986"/>
        <w:jc w:val="left"/>
      </w:pPr>
      <w:r>
        <w:rPr/>
        <w:t>报告期内取得和处置子公司的情况</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2909"/>
        <w:gridCol w:w="347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东华合创信通软件股份有限公司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东华软件（扬州）有限公司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东华智金科技有限公司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东华慧湾数字科技有限公司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天津静海区东华智慧软件技术有限公司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东华软件（长沙）有限公司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山东曹州云都大数据科技有限公司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山东农谷信息科技有限公司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东华电子信息产业（宁波）有限公司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短期内不会对公司本期和未来财务状况、经 营成果和现金流量造成重大影响。</w:t>
            </w:r>
          </w:p>
        </w:tc>
      </w:tr>
    </w:tbl>
    <w:p>
      <w:pPr>
        <w:pStyle w:val="BodyText"/>
        <w:spacing w:line="240" w:lineRule="auto" w:before="10"/>
        <w:ind w:right="986"/>
        <w:jc w:val="left"/>
      </w:pPr>
      <w:r>
        <w:rPr/>
        <w:t>主要控股参股公司情况说明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986" w:firstLine="360"/>
        <w:jc w:val="left"/>
      </w:pPr>
      <w:r>
        <w:rPr>
          <w:rFonts w:ascii="Times New Roman" w:hAnsi="Times New Roman" w:cs="Times New Roman" w:eastAsia="Times New Roman" w:hint="default"/>
          <w:spacing w:val="-2"/>
        </w:rPr>
        <w:t>1</w:t>
      </w:r>
      <w:r>
        <w:rPr>
          <w:spacing w:val="-2"/>
        </w:rPr>
        <w:t>、报告期内，北京卓智能研科技有限公司（原名为北京东华智中能源互联网科技有限公司，已由</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日完成工</w:t>
      </w:r>
      <w:r>
        <w:rPr/>
        <w:t> 商变更）和北京国能智研信息科技有限公司由参股公司变更为全资子公司。</w:t>
      </w:r>
    </w:p>
    <w:p>
      <w:pPr>
        <w:spacing w:line="240" w:lineRule="auto" w:before="4"/>
        <w:rPr>
          <w:rFonts w:ascii="宋体" w:hAnsi="宋体" w:cs="宋体" w:eastAsia="宋体" w:hint="default"/>
          <w:sz w:val="14"/>
          <w:szCs w:val="14"/>
        </w:rPr>
      </w:pPr>
    </w:p>
    <w:p>
      <w:pPr>
        <w:pStyle w:val="BodyText"/>
        <w:spacing w:line="240" w:lineRule="auto"/>
        <w:ind w:left="513" w:right="986"/>
        <w:jc w:val="left"/>
      </w:pPr>
      <w:r>
        <w:rPr>
          <w:rFonts w:ascii="Times New Roman" w:hAnsi="Times New Roman" w:cs="Times New Roman" w:eastAsia="Times New Roman" w:hint="default"/>
        </w:rPr>
        <w:t>2</w:t>
      </w:r>
      <w:r>
        <w:rPr/>
        <w:t>、报告期内，北京中能博泰科技有限公司由参股公司变更为控股子公司。</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3</w:t>
      </w:r>
      <w:r>
        <w:rPr/>
        <w:t>、报告期内，健康乐软件有限公司变更为东华医为科技有限公司的全资子公司。</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九、公司未来发展的展望</w:t>
      </w:r>
      <w:r>
        <w:rPr>
          <w:b w:val="0"/>
          <w:bCs w:val="0"/>
        </w:rPr>
      </w:r>
    </w:p>
    <w:p>
      <w:pPr>
        <w:spacing w:line="240" w:lineRule="auto" w:before="3"/>
        <w:rPr>
          <w:rFonts w:ascii="宋体" w:hAnsi="宋体" w:cs="宋体" w:eastAsia="宋体" w:hint="default"/>
          <w:b/>
          <w:bCs/>
          <w:sz w:val="23"/>
          <w:szCs w:val="23"/>
        </w:rPr>
      </w:pPr>
    </w:p>
    <w:p>
      <w:pPr>
        <w:pStyle w:val="Heading5"/>
        <w:spacing w:line="240" w:lineRule="auto"/>
        <w:ind w:right="986"/>
        <w:jc w:val="left"/>
        <w:rPr>
          <w:b w:val="0"/>
          <w:bCs w:val="0"/>
        </w:rPr>
      </w:pPr>
      <w:r>
        <w:rPr/>
        <w:t>（一）行业竞争格局和发展趋势</w:t>
      </w:r>
      <w:r>
        <w:rPr>
          <w:b w:val="0"/>
          <w:bCs w:val="0"/>
        </w:rPr>
      </w:r>
    </w:p>
    <w:p>
      <w:pPr>
        <w:spacing w:line="240" w:lineRule="auto" w:before="5"/>
        <w:rPr>
          <w:rFonts w:ascii="宋体" w:hAnsi="宋体" w:cs="宋体" w:eastAsia="宋体" w:hint="default"/>
          <w:b/>
          <w:bCs/>
          <w:sz w:val="13"/>
          <w:szCs w:val="13"/>
        </w:rPr>
      </w:pPr>
    </w:p>
    <w:p>
      <w:pPr>
        <w:pStyle w:val="BodyText"/>
        <w:spacing w:line="236" w:lineRule="exact"/>
        <w:ind w:right="986" w:firstLine="360"/>
        <w:jc w:val="left"/>
      </w:pPr>
      <w:r>
        <w:rPr>
          <w:rFonts w:ascii="Times New Roman" w:hAnsi="Times New Roman" w:cs="Times New Roman" w:eastAsia="Times New Roman" w:hint="default"/>
          <w:spacing w:val="-1"/>
        </w:rPr>
        <w:t>2019</w:t>
      </w:r>
      <w:r>
        <w:rPr>
          <w:spacing w:val="-1"/>
        </w:rPr>
        <w:t>年，国内软件与信息技术行业继续保持高速发展的态势，行业的全年</w:t>
      </w:r>
      <w:r>
        <w:rPr>
          <w:rFonts w:ascii="Times New Roman" w:hAnsi="Times New Roman" w:cs="Times New Roman" w:eastAsia="Times New Roman" w:hint="default"/>
          <w:spacing w:val="-1"/>
        </w:rPr>
        <w:t>GDP</w:t>
      </w:r>
      <w:r>
        <w:rPr>
          <w:spacing w:val="-1"/>
        </w:rPr>
        <w:t>增速高达</w:t>
      </w:r>
      <w:r>
        <w:rPr>
          <w:rFonts w:ascii="Times New Roman" w:hAnsi="Times New Roman" w:cs="Times New Roman" w:eastAsia="Times New Roman" w:hint="default"/>
          <w:spacing w:val="-1"/>
        </w:rPr>
        <w:t>18.7%</w:t>
      </w:r>
      <w:r>
        <w:rPr>
          <w:spacing w:val="-1"/>
        </w:rPr>
        <w:t>。公司将从软件与信息技</w:t>
      </w:r>
      <w:r>
        <w:rPr/>
        <w:t> 术服务、智慧医疗、智慧金融、智慧城市、物联网、云服务六个方面对所涉及的行业竞争格局和发展局势进行简要分析：</w:t>
      </w:r>
    </w:p>
    <w:p>
      <w:pPr>
        <w:pStyle w:val="BodyText"/>
        <w:spacing w:line="388" w:lineRule="exact" w:before="31"/>
        <w:ind w:left="513" w:right="986"/>
        <w:jc w:val="left"/>
      </w:pPr>
      <w:r>
        <w:rPr>
          <w:rFonts w:ascii="Times New Roman" w:hAnsi="Times New Roman" w:cs="Times New Roman" w:eastAsia="Times New Roman" w:hint="default"/>
          <w:b/>
          <w:bCs/>
        </w:rPr>
        <w:t>1</w:t>
      </w:r>
      <w:r>
        <w:rPr>
          <w:rFonts w:ascii="宋体" w:hAnsi="宋体" w:cs="宋体" w:eastAsia="宋体" w:hint="default"/>
          <w:b/>
          <w:bCs/>
        </w:rPr>
        <w:t>、软件与信息技术服务</w:t>
      </w:r>
      <w:r>
        <w:rPr>
          <w:rFonts w:ascii="宋体" w:hAnsi="宋体" w:cs="宋体" w:eastAsia="宋体" w:hint="default"/>
          <w:b/>
          <w:bCs/>
          <w:w w:val="99"/>
        </w:rPr>
        <w:t> </w:t>
      </w:r>
      <w:r>
        <w:rPr>
          <w:spacing w:val="-2"/>
        </w:rPr>
        <w:t>软件与信息技术服务业是信息社会的基础性、战略性产业。得益于《</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国家战略性新兴产业发展规划》、《扩大</w:t>
      </w:r>
    </w:p>
    <w:p>
      <w:pPr>
        <w:pStyle w:val="BodyText"/>
        <w:spacing w:line="187" w:lineRule="exact"/>
        <w:ind w:right="0"/>
        <w:jc w:val="both"/>
      </w:pPr>
      <w:r>
        <w:rPr/>
        <w:t>和升级信息消费三年行动计划（</w:t>
      </w:r>
      <w:r>
        <w:rPr>
          <w:rFonts w:ascii="Times New Roman" w:hAnsi="Times New Roman" w:cs="Times New Roman" w:eastAsia="Times New Roman" w:hint="default"/>
        </w:rPr>
        <w:t>2018-2020</w:t>
      </w:r>
      <w:r>
        <w:rPr/>
        <w:t>年）》等国家政策的大力支持和云服务、人工智能、区块链、大数据等新兴技术</w:t>
      </w:r>
    </w:p>
    <w:p>
      <w:pPr>
        <w:pStyle w:val="BodyText"/>
        <w:spacing w:line="232" w:lineRule="exact" w:before="17"/>
        <w:ind w:right="1128"/>
        <w:jc w:val="both"/>
      </w:pPr>
      <w:r>
        <w:rPr>
          <w:spacing w:val="-2"/>
        </w:rPr>
        <w:t>的应用创新，我国的软件与信息技术服务业营收规模稳定增长、服务质量日渐提升。据国家统计局初步核算，</w:t>
      </w:r>
      <w:r>
        <w:rPr>
          <w:rFonts w:ascii="Times New Roman" w:hAnsi="Times New Roman" w:cs="Times New Roman" w:eastAsia="Times New Roman" w:hint="default"/>
          <w:spacing w:val="-2"/>
        </w:rPr>
        <w:t>2019</w:t>
      </w:r>
      <w:r>
        <w:rPr>
          <w:spacing w:val="-2"/>
        </w:rPr>
        <w:t>年软件与</w:t>
      </w:r>
      <w:r>
        <w:rPr>
          <w:spacing w:val="-59"/>
        </w:rPr>
        <w:t> </w:t>
      </w:r>
      <w:r>
        <w:rPr>
          <w:spacing w:val="-59"/>
        </w:rPr>
      </w:r>
      <w:r>
        <w:rPr>
          <w:spacing w:val="-1"/>
        </w:rPr>
        <w:t>信息技术服务业的全年</w:t>
      </w:r>
      <w:r>
        <w:rPr>
          <w:rFonts w:ascii="Times New Roman" w:hAnsi="Times New Roman" w:cs="Times New Roman" w:eastAsia="Times New Roman" w:hint="default"/>
          <w:spacing w:val="-1"/>
        </w:rPr>
        <w:t>GDP</w:t>
      </w:r>
      <w:r>
        <w:rPr>
          <w:spacing w:val="-1"/>
        </w:rPr>
        <w:t>增速高达</w:t>
      </w:r>
      <w:r>
        <w:rPr>
          <w:rFonts w:ascii="Times New Roman" w:hAnsi="Times New Roman" w:cs="Times New Roman" w:eastAsia="Times New Roman" w:hint="default"/>
          <w:spacing w:val="-1"/>
        </w:rPr>
        <w:t>18.7%</w:t>
      </w:r>
      <w:r>
        <w:rPr>
          <w:spacing w:val="-1"/>
        </w:rPr>
        <w:t>，行业整体维持高景气度。同时，在中美贸易战等因素的影响下，我国软件与信</w:t>
      </w:r>
      <w:r>
        <w:rPr>
          <w:spacing w:val="-45"/>
        </w:rPr>
        <w:t> </w:t>
      </w:r>
      <w:r>
        <w:rPr>
          <w:spacing w:val="-45"/>
        </w:rPr>
      </w:r>
      <w:r>
        <w:rPr>
          <w:spacing w:val="-2"/>
        </w:rPr>
        <w:t>息技术行业正处于信息技术应用创新的黄金发展期，产业链上下游涌现出巨大的发展机遇，行业将迎来新一轮的高速增长与</w:t>
      </w:r>
      <w:r>
        <w:rPr>
          <w:spacing w:val="-64"/>
        </w:rPr>
        <w:t> </w:t>
      </w:r>
      <w:r>
        <w:rPr>
          <w:spacing w:val="-64"/>
        </w:rPr>
      </w:r>
      <w:r>
        <w:rPr/>
        <w:t>技术创新。</w:t>
      </w:r>
    </w:p>
    <w:p>
      <w:pPr>
        <w:pStyle w:val="BodyText"/>
        <w:spacing w:line="232" w:lineRule="exact" w:before="159"/>
        <w:ind w:right="986" w:firstLine="360"/>
        <w:jc w:val="left"/>
      </w:pPr>
      <w:r>
        <w:rPr>
          <w:spacing w:val="-2"/>
        </w:rPr>
        <w:t>公司作为软件与信息技术服务业的领军企业之一，将坚定追随国家政策的战略发展方向，持续提升核心竞争优势，向市</w:t>
      </w:r>
      <w:r>
        <w:rPr/>
        <w:t> 场提供优质的产品和服务，同时加深在人工智能、区块链、大数据等新兴技术的投入，继续实现向优质云服务商的转型。</w:t>
      </w:r>
    </w:p>
    <w:p>
      <w:pPr>
        <w:pStyle w:val="BodyText"/>
        <w:spacing w:line="392" w:lineRule="exact" w:before="28"/>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、智慧医疗</w:t>
      </w:r>
      <w:r>
        <w:rPr>
          <w:rFonts w:ascii="宋体" w:hAnsi="宋体" w:cs="宋体" w:eastAsia="宋体" w:hint="default"/>
          <w:b/>
          <w:bCs/>
          <w:w w:val="99"/>
        </w:rPr>
        <w:t> </w:t>
      </w:r>
      <w:r>
        <w:rPr/>
        <w:t>智慧医疗是我国重要的民生领域应用，也是国家政策积极扶持、医疗行业积极发展的战略方向。在国务院《</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p>
    <w:p>
      <w:pPr>
        <w:pStyle w:val="BodyText"/>
        <w:spacing w:line="185" w:lineRule="exact"/>
        <w:ind w:right="0"/>
        <w:jc w:val="both"/>
      </w:pPr>
      <w:r>
        <w:rPr>
          <w:spacing w:val="-4"/>
        </w:rPr>
        <w:t>深化医药卫生体制改革规划》的指导方针下，电子病历新政、医保支付、</w:t>
      </w:r>
      <w:r>
        <w:rPr>
          <w:rFonts w:ascii="Times New Roman" w:hAnsi="Times New Roman" w:cs="Times New Roman" w:eastAsia="Times New Roman" w:hint="default"/>
          <w:spacing w:val="-4"/>
        </w:rPr>
        <w:t>DRGs</w:t>
      </w:r>
      <w:r>
        <w:rPr>
          <w:spacing w:val="-4"/>
        </w:rPr>
        <w:t>试点等政策相继落地，卫健委相继推出的《关</w:t>
      </w:r>
    </w:p>
    <w:p>
      <w:pPr>
        <w:pStyle w:val="BodyText"/>
        <w:spacing w:line="232" w:lineRule="auto"/>
        <w:ind w:right="1128"/>
        <w:jc w:val="both"/>
      </w:pPr>
      <w:r>
        <w:rPr>
          <w:spacing w:val="-1"/>
        </w:rPr>
        <w:t>于完善</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医疗服务价格和医保支付政策的指导意见</w:t>
      </w:r>
      <w:r>
        <w:rPr>
          <w:rFonts w:ascii="Times New Roman" w:hAnsi="Times New Roman" w:cs="Times New Roman" w:eastAsia="Times New Roman" w:hint="default"/>
          <w:spacing w:val="-1"/>
        </w:rPr>
        <w:t>”</w:t>
      </w:r>
      <w:r>
        <w:rPr>
          <w:spacing w:val="-1"/>
        </w:rPr>
        <w:t>》、《促进健康产业高质量发展行动纲要</w:t>
      </w:r>
      <w:r>
        <w:rPr>
          <w:rFonts w:ascii="Times New Roman" w:hAnsi="Times New Roman" w:cs="Times New Roman" w:eastAsia="Times New Roman" w:hint="default"/>
          <w:spacing w:val="-1"/>
        </w:rPr>
        <w:t>2019-2022</w:t>
      </w:r>
      <w:r>
        <w:rPr>
          <w:spacing w:val="-1"/>
        </w:rPr>
        <w:t>年》进一步完</w:t>
      </w:r>
      <w:r>
        <w:rPr>
          <w:spacing w:val="-77"/>
        </w:rPr>
        <w:t> </w:t>
      </w:r>
      <w:r>
        <w:rPr>
          <w:spacing w:val="-77"/>
        </w:rPr>
      </w:r>
      <w:r>
        <w:rPr>
          <w:spacing w:val="-2"/>
        </w:rPr>
        <w:t>善了智慧医疗的行业政策，推动了国内医疗信息化的建设。在此次新型冠状病毒防疫工作中，卫健委发布《国家卫生健康委</w:t>
      </w:r>
      <w:r>
        <w:rPr>
          <w:spacing w:val="-64"/>
        </w:rPr>
        <w:t> </w:t>
      </w:r>
      <w:r>
        <w:rPr>
          <w:spacing w:val="-64"/>
        </w:rPr>
      </w:r>
      <w:r>
        <w:rPr>
          <w:spacing w:val="-2"/>
        </w:rPr>
        <w:t>办公厅关于在疫情防控中做好互联网诊疗咨询服务工作的通知》，充分实践了智慧医疗行业的服务能力，为行业带来丰富的</w:t>
      </w:r>
      <w:r>
        <w:rPr>
          <w:spacing w:val="-66"/>
        </w:rPr>
        <w:t> </w:t>
      </w:r>
      <w:r>
        <w:rPr>
          <w:spacing w:val="-66"/>
        </w:rPr>
      </w:r>
      <w:r>
        <w:rPr/>
        <w:t>发展机遇。</w:t>
      </w:r>
    </w:p>
    <w:p>
      <w:pPr>
        <w:pStyle w:val="BodyText"/>
        <w:spacing w:line="232" w:lineRule="exact" w:before="73"/>
        <w:ind w:right="1132" w:firstLine="360"/>
        <w:jc w:val="both"/>
      </w:pPr>
      <w:r>
        <w:rPr>
          <w:spacing w:val="-2"/>
        </w:rPr>
        <w:t>公司将依托在智慧医疗行业积累的技术经验和丰富的行业资源，结合云计算、大数据等前沿科技，加快互联网医院的建</w:t>
      </w:r>
      <w:r>
        <w:rPr/>
        <w:t> </w:t>
      </w:r>
      <w:r>
        <w:rPr>
          <w:spacing w:val="-1"/>
        </w:rPr>
        <w:t>设和</w:t>
      </w:r>
      <w:r>
        <w:rPr>
          <w:rFonts w:ascii="Times New Roman" w:hAnsi="Times New Roman" w:cs="Times New Roman" w:eastAsia="Times New Roman" w:hint="default"/>
          <w:spacing w:val="-1"/>
        </w:rPr>
        <w:t>“</w:t>
      </w:r>
      <w:r>
        <w:rPr>
          <w:spacing w:val="-1"/>
        </w:rPr>
        <w:t>一链三云</w:t>
      </w:r>
      <w:r>
        <w:rPr>
          <w:rFonts w:ascii="Times New Roman" w:hAnsi="Times New Roman" w:cs="Times New Roman" w:eastAsia="Times New Roman" w:hint="default"/>
          <w:spacing w:val="-1"/>
        </w:rPr>
        <w:t>”</w:t>
      </w:r>
      <w:r>
        <w:rPr>
          <w:spacing w:val="-1"/>
        </w:rPr>
        <w:t>战略的落地，发挥</w:t>
      </w:r>
      <w:r>
        <w:rPr>
          <w:rFonts w:ascii="Times New Roman" w:hAnsi="Times New Roman" w:cs="Times New Roman" w:eastAsia="Times New Roman" w:hint="default"/>
          <w:spacing w:val="-1"/>
        </w:rPr>
        <w:t>iMedical</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
        </w:rPr>
        <w:t>Could</w:t>
      </w:r>
      <w:r>
        <w:rPr>
          <w:spacing w:val="-1"/>
        </w:rPr>
        <w:t>云</w:t>
      </w:r>
      <w:r>
        <w:rPr>
          <w:rFonts w:ascii="Times New Roman" w:hAnsi="Times New Roman" w:cs="Times New Roman" w:eastAsia="Times New Roman" w:hint="default"/>
          <w:spacing w:val="-1"/>
        </w:rPr>
        <w:t>HIS</w:t>
      </w:r>
      <w:r>
        <w:rPr>
          <w:spacing w:val="-1"/>
        </w:rPr>
        <w:t>生态系统等产品的竞争优势，不断提升公司医疗信息化领域的产品优</w:t>
      </w:r>
      <w:r>
        <w:rPr>
          <w:spacing w:val="-86"/>
        </w:rPr>
        <w:t> </w:t>
      </w:r>
      <w:r>
        <w:rPr>
          <w:spacing w:val="-86"/>
        </w:rPr>
      </w:r>
      <w:r>
        <w:rPr/>
        <w:t>势和服务能力。</w:t>
      </w:r>
    </w:p>
    <w:p>
      <w:pPr>
        <w:pStyle w:val="Heading5"/>
        <w:spacing w:line="240" w:lineRule="auto" w:before="135"/>
        <w:ind w:right="986"/>
        <w:jc w:val="left"/>
        <w:rPr>
          <w:b w:val="0"/>
          <w:bCs w:val="0"/>
        </w:rPr>
      </w:pPr>
      <w:r>
        <w:rPr>
          <w:rFonts w:ascii="Times New Roman" w:hAnsi="Times New Roman" w:cs="Times New Roman" w:eastAsia="Times New Roman" w:hint="default"/>
        </w:rPr>
        <w:t>3</w:t>
      </w:r>
      <w:r>
        <w:rPr/>
        <w:t>、智慧金融</w:t>
      </w:r>
      <w:r>
        <w:rPr>
          <w:b w:val="0"/>
          <w:bCs w:val="0"/>
        </w:rPr>
      </w:r>
    </w:p>
    <w:p>
      <w:pPr>
        <w:pStyle w:val="BodyText"/>
        <w:spacing w:line="230" w:lineRule="auto" w:before="148"/>
        <w:ind w:right="986" w:firstLine="360"/>
        <w:jc w:val="left"/>
      </w:pPr>
      <w:r>
        <w:rPr/>
        <w:t>随着《中国金融业信息技术</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发展规划》、《金融科技（</w:t>
      </w:r>
      <w:r>
        <w:rPr>
          <w:rFonts w:ascii="Times New Roman" w:hAnsi="Times New Roman" w:cs="Times New Roman" w:eastAsia="Times New Roman" w:hint="default"/>
        </w:rPr>
        <w:t>FinTech</w:t>
      </w:r>
      <w:r>
        <w:rPr/>
        <w:t>）发展规划（</w:t>
      </w:r>
      <w:r>
        <w:rPr>
          <w:rFonts w:ascii="Times New Roman" w:hAnsi="Times New Roman" w:cs="Times New Roman" w:eastAsia="Times New Roman" w:hint="default"/>
        </w:rPr>
        <w:t>2019-2021</w:t>
      </w:r>
      <w:r>
        <w:rPr/>
        <w:t>年）》等政策的逐步 </w:t>
      </w:r>
      <w:r>
        <w:rPr>
          <w:spacing w:val="-4"/>
        </w:rPr>
        <w:t>落地，以及大数据、云计算、人工智能、区块链等底层技术的不断成熟，智慧金融的行业规模日益扩大、应用范围不断拓宽，</w:t>
      </w:r>
      <w:r>
        <w:rPr>
          <w:spacing w:val="-44"/>
        </w:rPr>
        <w:t> </w:t>
      </w:r>
      <w:r>
        <w:rPr>
          <w:spacing w:val="-44"/>
        </w:rPr>
      </w:r>
      <w:r>
        <w:rPr>
          <w:spacing w:val="-2"/>
        </w:rPr>
        <w:t>逐渐成为一种渗透至多行业、多场景应用的底层技术和基础设施。据艾瑞咨询预计，到</w:t>
      </w:r>
      <w:r>
        <w:rPr>
          <w:rFonts w:ascii="Times New Roman" w:hAnsi="Times New Roman" w:cs="Times New Roman" w:eastAsia="Times New Roman" w:hint="default"/>
          <w:spacing w:val="-2"/>
        </w:rPr>
        <w:t>2022</w:t>
      </w:r>
      <w:r>
        <w:rPr>
          <w:spacing w:val="-2"/>
        </w:rPr>
        <w:t>年中国金融机构技术资金投入将</w:t>
      </w:r>
      <w:r>
        <w:rPr>
          <w:spacing w:val="-60"/>
        </w:rPr>
        <w:t> </w:t>
      </w:r>
      <w:r>
        <w:rPr/>
        <w:t>达到</w:t>
      </w:r>
      <w:r>
        <w:rPr>
          <w:rFonts w:ascii="Times New Roman" w:hAnsi="Times New Roman" w:cs="Times New Roman" w:eastAsia="Times New Roman" w:hint="default"/>
        </w:rPr>
        <w:t>4034.7</w:t>
      </w:r>
      <w:r>
        <w:rPr/>
        <w:t>亿元，其中前沿科技投入占比将增长到</w:t>
      </w:r>
      <w:r>
        <w:rPr>
          <w:rFonts w:ascii="Times New Roman" w:hAnsi="Times New Roman" w:cs="Times New Roman" w:eastAsia="Times New Roman" w:hint="default"/>
        </w:rPr>
        <w:t>35.1%</w:t>
      </w:r>
      <w:r>
        <w:rPr/>
        <w:t>，行业整体投资热度高涨、发展前景明朗。</w:t>
      </w:r>
    </w:p>
    <w:p>
      <w:pPr>
        <w:pStyle w:val="BodyText"/>
        <w:spacing w:line="232" w:lineRule="exact" w:before="60"/>
        <w:ind w:right="986" w:firstLine="360"/>
        <w:jc w:val="left"/>
      </w:pPr>
      <w:r>
        <w:rPr>
          <w:spacing w:val="-2"/>
        </w:rPr>
        <w:t>公司后续将依托自身在金融行业的资源、人才、技术等优势，继续完善和拓展大数据、区块链、云计算等底层技术在公</w:t>
      </w:r>
      <w:r>
        <w:rPr/>
        <w:t> 司智慧金融解决方案中等应用，持续为新老客户提供、可靠的产品和服务。</w:t>
      </w:r>
    </w:p>
    <w:p>
      <w:pPr>
        <w:pStyle w:val="BodyText"/>
        <w:spacing w:line="370" w:lineRule="atLeast" w:before="11"/>
        <w:ind w:left="513" w:right="986"/>
        <w:jc w:val="left"/>
      </w:pPr>
      <w:r>
        <w:rPr>
          <w:rFonts w:ascii="Times New Roman" w:hAnsi="Times New Roman" w:cs="Times New Roman" w:eastAsia="Times New Roman" w:hint="default"/>
          <w:b/>
          <w:bCs/>
        </w:rPr>
        <w:t>4</w:t>
      </w:r>
      <w:r>
        <w:rPr>
          <w:rFonts w:ascii="宋体" w:hAnsi="宋体" w:cs="宋体" w:eastAsia="宋体" w:hint="default"/>
          <w:b/>
          <w:bCs/>
        </w:rPr>
        <w:t>、智慧城市</w:t>
      </w:r>
      <w:r>
        <w:rPr>
          <w:rFonts w:ascii="宋体" w:hAnsi="宋体" w:cs="宋体" w:eastAsia="宋体" w:hint="default"/>
          <w:b/>
          <w:bCs/>
          <w:w w:val="99"/>
        </w:rPr>
        <w:t> </w:t>
      </w:r>
      <w:r>
        <w:rPr>
          <w:spacing w:val="-2"/>
        </w:rPr>
        <w:t>在国家政策大力支持、科学技术飞速发展的背景下，我国智慧城市产业目前正处于快速发展期，市场规模呈现高水平增</w:t>
      </w:r>
    </w:p>
    <w:p>
      <w:pPr>
        <w:pStyle w:val="BodyText"/>
        <w:spacing w:line="230" w:lineRule="auto" w:before="5"/>
        <w:ind w:right="1131"/>
        <w:jc w:val="both"/>
      </w:pPr>
      <w:r>
        <w:rPr>
          <w:spacing w:val="-2"/>
        </w:rPr>
        <w:t>长。在政策层面，《智慧城市时空大数据平台建设技术大纲（</w:t>
      </w:r>
      <w:r>
        <w:rPr>
          <w:rFonts w:ascii="Times New Roman" w:hAnsi="Times New Roman" w:cs="Times New Roman" w:eastAsia="Times New Roman" w:hint="default"/>
          <w:spacing w:val="-2"/>
        </w:rPr>
        <w:t>2019</w:t>
      </w:r>
      <w:r>
        <w:rPr>
          <w:spacing w:val="-2"/>
        </w:rPr>
        <w:t>版）》等利好政策的不断推出与落地为智慧城市的建设提</w:t>
      </w:r>
      <w:r>
        <w:rPr>
          <w:spacing w:val="-63"/>
        </w:rPr>
        <w:t> </w:t>
      </w:r>
      <w:r>
        <w:rPr>
          <w:spacing w:val="-63"/>
        </w:rPr>
      </w:r>
      <w:r>
        <w:rPr>
          <w:spacing w:val="-2"/>
        </w:rPr>
        <w:t>供了坚实的基础；在技术层面，物联网、云计算、大数据等技术性领域的日益成熟为智慧城市行业的解决方案落地和应用创</w:t>
      </w:r>
      <w:r>
        <w:rPr>
          <w:spacing w:val="-66"/>
        </w:rPr>
        <w:t> </w:t>
      </w:r>
      <w:r>
        <w:rPr>
          <w:spacing w:val="-66"/>
        </w:rPr>
      </w:r>
      <w:r>
        <w:rPr/>
        <w:t>新提供了良好的环境。根据中国智慧城市工作委员会的数据，我国智慧城市试点城市已超过</w:t>
      </w:r>
      <w:r>
        <w:rPr>
          <w:rFonts w:ascii="Times New Roman" w:hAnsi="Times New Roman" w:cs="Times New Roman" w:eastAsia="Times New Roman" w:hint="default"/>
        </w:rPr>
        <w:t>700</w:t>
      </w:r>
      <w:r>
        <w:rPr/>
        <w:t>个，预测到</w:t>
      </w:r>
      <w:r>
        <w:rPr>
          <w:rFonts w:ascii="Times New Roman" w:hAnsi="Times New Roman" w:cs="Times New Roman" w:eastAsia="Times New Roman" w:hint="default"/>
        </w:rPr>
        <w:t>2022</w:t>
      </w:r>
      <w:r>
        <w:rPr/>
        <w:t>年市场规模</w:t>
      </w:r>
      <w:r>
        <w:rPr>
          <w:spacing w:val="-85"/>
        </w:rPr>
        <w:t> </w:t>
      </w:r>
      <w:r>
        <w:rPr>
          <w:spacing w:val="-85"/>
        </w:rPr>
      </w:r>
      <w:r>
        <w:rPr/>
        <w:t>将达到</w:t>
      </w:r>
      <w:r>
        <w:rPr>
          <w:rFonts w:ascii="Times New Roman" w:hAnsi="Times New Roman" w:cs="Times New Roman" w:eastAsia="Times New Roman" w:hint="default"/>
        </w:rPr>
        <w:t>25</w:t>
      </w:r>
      <w:r>
        <w:rPr/>
        <w:t>万亿元，智慧城市产业的发展将持续呈现提速态势。</w:t>
      </w:r>
    </w:p>
    <w:p>
      <w:pPr>
        <w:pStyle w:val="BodyText"/>
        <w:spacing w:line="240" w:lineRule="auto" w:before="35"/>
        <w:ind w:left="513" w:right="986"/>
        <w:jc w:val="left"/>
      </w:pPr>
      <w:r>
        <w:rPr/>
        <w:t>公司的智慧城市集团未来将继续深化与腾讯云的深度战略合作，充分利用公司在全国各地的广泛布局，在数字政府、智</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32" w:lineRule="exact" w:before="69"/>
        <w:ind w:right="986"/>
        <w:jc w:val="left"/>
      </w:pPr>
      <w:r>
        <w:rPr>
          <w:spacing w:val="-2"/>
        </w:rPr>
        <w:t>慧文旅、智慧交通、数字乡村、智慧社区、智慧水利等多行业提供优质解决方案，持续发挥公司在各领域的技术优势和行业</w:t>
      </w:r>
      <w:r>
        <w:rPr>
          <w:spacing w:val="-67"/>
        </w:rPr>
        <w:t> </w:t>
      </w:r>
      <w:r>
        <w:rPr>
          <w:spacing w:val="-67"/>
        </w:rPr>
      </w:r>
      <w:r>
        <w:rPr/>
        <w:t>优势，助力中国智慧城市产业的建设。</w:t>
      </w:r>
    </w:p>
    <w:p>
      <w:pPr>
        <w:pStyle w:val="BodyText"/>
        <w:spacing w:line="370" w:lineRule="atLeast" w:before="11"/>
        <w:ind w:left="513" w:right="986"/>
        <w:jc w:val="left"/>
      </w:pPr>
      <w:r>
        <w:rPr>
          <w:rFonts w:ascii="Times New Roman" w:hAnsi="Times New Roman" w:cs="Times New Roman" w:eastAsia="Times New Roman" w:hint="default"/>
          <w:b/>
          <w:bCs/>
        </w:rPr>
        <w:t>5</w:t>
      </w:r>
      <w:r>
        <w:rPr>
          <w:rFonts w:ascii="宋体" w:hAnsi="宋体" w:cs="宋体" w:eastAsia="宋体" w:hint="default"/>
          <w:b/>
          <w:bCs/>
        </w:rPr>
        <w:t>、物联网</w:t>
      </w:r>
      <w:r>
        <w:rPr>
          <w:rFonts w:ascii="宋体" w:hAnsi="宋体" w:cs="宋体" w:eastAsia="宋体" w:hint="default"/>
          <w:b/>
          <w:bCs/>
          <w:w w:val="99"/>
        </w:rPr>
        <w:t> </w:t>
      </w:r>
      <w:r>
        <w:rPr>
          <w:spacing w:val="-2"/>
        </w:rPr>
        <w:t>随着全球物联网市场的高速发展，物联网已成为新一代信息技术的重要组成部分，也是我国新一轮产业变革和经济社会</w:t>
      </w:r>
    </w:p>
    <w:p>
      <w:pPr>
        <w:pStyle w:val="BodyText"/>
        <w:spacing w:line="230" w:lineRule="auto" w:before="5"/>
        <w:ind w:right="1034"/>
        <w:jc w:val="left"/>
      </w:pPr>
      <w:r>
        <w:rPr/>
        <w:t>可持续发展的重点领域。随着《工业互联网发展行动计划（</w:t>
      </w:r>
      <w:r>
        <w:rPr>
          <w:rFonts w:ascii="Times New Roman" w:hAnsi="Times New Roman" w:cs="Times New Roman" w:eastAsia="Times New Roman" w:hint="default"/>
        </w:rPr>
        <w:t>2018-2020</w:t>
      </w:r>
      <w:r>
        <w:rPr/>
        <w:t>年）》、《工业和信息化部关于开展</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IPv6</w:t>
      </w:r>
      <w:r>
        <w:rPr/>
        <w:t>网络</w:t>
      </w:r>
      <w:r>
        <w:rPr>
          <w:spacing w:val="-44"/>
        </w:rPr>
        <w:t> </w:t>
      </w:r>
      <w:r>
        <w:rPr/>
        <w:t>就绪专项行动的通知》等政策的落实，以及传感器技术、人工智能识别等底层技术的不断完善，我国物联网行业发展迅速， 市场规模近五年复合增长率高达</w:t>
      </w:r>
      <w:r>
        <w:rPr>
          <w:rFonts w:ascii="Times New Roman" w:hAnsi="Times New Roman" w:cs="Times New Roman" w:eastAsia="Times New Roman" w:hint="default"/>
        </w:rPr>
        <w:t>24%</w:t>
      </w:r>
      <w:r>
        <w:rPr/>
        <w:t>。据中商产业研究院预测，</w:t>
      </w:r>
      <w:r>
        <w:rPr>
          <w:rFonts w:ascii="Times New Roman" w:hAnsi="Times New Roman" w:cs="Times New Roman" w:eastAsia="Times New Roman" w:hint="default"/>
        </w:rPr>
        <w:t>2020</w:t>
      </w:r>
      <w:r>
        <w:rPr/>
        <w:t>年我国物联网的市场规模将突破</w:t>
      </w:r>
      <w:r>
        <w:rPr>
          <w:rFonts w:ascii="Times New Roman" w:hAnsi="Times New Roman" w:cs="Times New Roman" w:eastAsia="Times New Roman" w:hint="default"/>
        </w:rPr>
        <w:t>2</w:t>
      </w:r>
      <w:r>
        <w:rPr/>
        <w:t>万亿元，行业未来上</w:t>
      </w:r>
      <w:r>
        <w:rPr>
          <w:spacing w:val="-57"/>
        </w:rPr>
        <w:t> </w:t>
      </w:r>
      <w:r>
        <w:rPr>
          <w:spacing w:val="-57"/>
        </w:rPr>
      </w:r>
      <w:r>
        <w:rPr/>
        <w:t>涨空间十分可观。</w:t>
      </w:r>
    </w:p>
    <w:p>
      <w:pPr>
        <w:pStyle w:val="BodyText"/>
        <w:spacing w:line="232" w:lineRule="exact" w:before="73"/>
        <w:ind w:right="986" w:firstLine="360"/>
        <w:jc w:val="left"/>
      </w:pPr>
      <w:r>
        <w:rPr/>
        <w:t>公司下一阶段将持续增加在物联网领域的投入，积极吸取业内优秀的人才、技术和资源，全面布局物联网的</w:t>
      </w:r>
      <w:r>
        <w:rPr>
          <w:rFonts w:ascii="Times New Roman" w:hAnsi="Times New Roman" w:cs="Times New Roman" w:eastAsia="Times New Roman" w:hint="default"/>
        </w:rPr>
        <w:t>“</w:t>
      </w:r>
      <w:r>
        <w:rPr/>
        <w:t>用、云、 边、管、端</w:t>
      </w:r>
      <w:r>
        <w:rPr>
          <w:rFonts w:ascii="Times New Roman" w:hAnsi="Times New Roman" w:cs="Times New Roman" w:eastAsia="Times New Roman" w:hint="default"/>
        </w:rPr>
        <w:t>”</w:t>
      </w:r>
      <w:r>
        <w:rPr/>
        <w:t>产业链，为智慧医疗、智慧城市等多个领域提供优秀、可靠的物联网产品和解决方案。</w:t>
      </w:r>
    </w:p>
    <w:p>
      <w:pPr>
        <w:pStyle w:val="BodyText"/>
        <w:spacing w:line="380" w:lineRule="atLeast" w:before="1"/>
        <w:ind w:left="513" w:right="986"/>
        <w:jc w:val="left"/>
      </w:pPr>
      <w:r>
        <w:rPr>
          <w:rFonts w:ascii="Times New Roman" w:hAnsi="Times New Roman" w:cs="Times New Roman" w:eastAsia="Times New Roman" w:hint="default"/>
          <w:b/>
          <w:bCs/>
        </w:rPr>
        <w:t>6</w:t>
      </w:r>
      <w:r>
        <w:rPr>
          <w:rFonts w:ascii="宋体" w:hAnsi="宋体" w:cs="宋体" w:eastAsia="宋体" w:hint="default"/>
          <w:b/>
          <w:bCs/>
        </w:rPr>
        <w:t>、云服务</w:t>
      </w:r>
      <w:r>
        <w:rPr>
          <w:rFonts w:ascii="宋体" w:hAnsi="宋体" w:cs="宋体" w:eastAsia="宋体" w:hint="default"/>
          <w:b/>
          <w:bCs/>
          <w:w w:val="99"/>
        </w:rPr>
        <w:t> </w:t>
      </w:r>
      <w:r>
        <w:rPr>
          <w:spacing w:val="-2"/>
        </w:rPr>
        <w:t>随着底层技术的高速发展，云计算正日益演变成新型的信息基础设施，是社会和企业数字化、网络化、智能化转型升级</w:t>
      </w:r>
    </w:p>
    <w:p>
      <w:pPr>
        <w:pStyle w:val="BodyText"/>
        <w:spacing w:line="225" w:lineRule="auto" w:before="10"/>
        <w:ind w:right="1130"/>
        <w:jc w:val="both"/>
      </w:pPr>
      <w:r>
        <w:rPr>
          <w:spacing w:val="-3"/>
        </w:rPr>
        <w:t>的重要环节。在《云计算发展三年行动计划》、《推动企业上云实施指南》、《扩大和升级新消费三年行动计划（</w:t>
      </w:r>
      <w:r>
        <w:rPr>
          <w:rFonts w:ascii="Times New Roman" w:hAnsi="Times New Roman" w:cs="Times New Roman" w:eastAsia="Times New Roman" w:hint="default"/>
          <w:spacing w:val="-3"/>
        </w:rPr>
        <w:t>2019-2020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年）》等政策的大力支持下，我国云服务行业正经历着高速发展期。《云计算发展白皮书（</w:t>
      </w:r>
      <w:r>
        <w:rPr>
          <w:rFonts w:ascii="Times New Roman" w:hAnsi="Times New Roman" w:cs="Times New Roman" w:eastAsia="Times New Roman" w:hint="default"/>
          <w:spacing w:val="-2"/>
        </w:rPr>
        <w:t>2019</w:t>
      </w:r>
      <w:r>
        <w:rPr>
          <w:spacing w:val="-2"/>
        </w:rPr>
        <w:t>年）》显示，我国</w:t>
      </w:r>
      <w:r>
        <w:rPr>
          <w:rFonts w:ascii="Times New Roman" w:hAnsi="Times New Roman" w:cs="Times New Roman" w:eastAsia="Times New Roman" w:hint="default"/>
          <w:spacing w:val="-2"/>
        </w:rPr>
        <w:t>2018</w:t>
      </w:r>
      <w:r>
        <w:rPr>
          <w:spacing w:val="-2"/>
        </w:rPr>
        <w:t>年云</w:t>
      </w:r>
      <w:r>
        <w:rPr>
          <w:spacing w:val="-61"/>
        </w:rPr>
        <w:t> </w:t>
      </w:r>
      <w:r>
        <w:rPr>
          <w:spacing w:val="-4"/>
        </w:rPr>
        <w:t>计算整体市场规模为</w:t>
      </w:r>
      <w:r>
        <w:rPr>
          <w:rFonts w:ascii="Times New Roman" w:hAnsi="Times New Roman" w:cs="Times New Roman" w:eastAsia="Times New Roman" w:hint="default"/>
          <w:spacing w:val="-4"/>
        </w:rPr>
        <w:t>962.8</w:t>
      </w:r>
      <w:r>
        <w:rPr>
          <w:spacing w:val="-4"/>
        </w:rPr>
        <w:t>亿元，增长速度高达</w:t>
      </w:r>
      <w:r>
        <w:rPr>
          <w:rFonts w:ascii="Times New Roman" w:hAnsi="Times New Roman" w:cs="Times New Roman" w:eastAsia="Times New Roman" w:hint="default"/>
          <w:spacing w:val="-4"/>
        </w:rPr>
        <w:t>39.2%</w:t>
      </w:r>
      <w:r>
        <w:rPr>
          <w:spacing w:val="-4"/>
        </w:rPr>
        <w:t>，预计到</w:t>
      </w:r>
      <w:r>
        <w:rPr>
          <w:rFonts w:ascii="Times New Roman" w:hAnsi="Times New Roman" w:cs="Times New Roman" w:eastAsia="Times New Roman" w:hint="default"/>
          <w:spacing w:val="-4"/>
        </w:rPr>
        <w:t>2022</w:t>
      </w:r>
      <w:r>
        <w:rPr>
          <w:spacing w:val="-4"/>
        </w:rPr>
        <w:t>年，我国公有云和私有云市场将分别增长至</w:t>
      </w:r>
      <w:r>
        <w:rPr>
          <w:rFonts w:ascii="Times New Roman" w:hAnsi="Times New Roman" w:cs="Times New Roman" w:eastAsia="Times New Roman" w:hint="default"/>
          <w:spacing w:val="-4"/>
        </w:rPr>
        <w:t>1731</w:t>
      </w:r>
      <w:r>
        <w:rPr>
          <w:spacing w:val="-4"/>
        </w:rPr>
        <w:t>亿元和</w:t>
      </w:r>
      <w:r>
        <w:rPr>
          <w:rFonts w:ascii="Times New Roman" w:hAnsi="Times New Roman" w:cs="Times New Roman" w:eastAsia="Times New Roman" w:hint="default"/>
          <w:spacing w:val="-4"/>
        </w:rPr>
        <w:t>1172</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亿元。</w:t>
      </w:r>
    </w:p>
    <w:p>
      <w:pPr>
        <w:pStyle w:val="BodyText"/>
        <w:spacing w:line="232" w:lineRule="exact" w:before="74"/>
        <w:ind w:right="1034" w:firstLine="360"/>
        <w:jc w:val="left"/>
      </w:pPr>
      <w:r>
        <w:rPr>
          <w:spacing w:val="-2"/>
        </w:rPr>
        <w:t>公司作为软件与技术服务业的领头企业，积极实现向云服务商的战略转型。公司后续将积极扩大在云端市场的布局，拓</w:t>
      </w:r>
      <w:r>
        <w:rPr/>
        <w:t> 展公司云服务在医疗、金融、智慧城市等领域的应用覆盖和服务范围，加大云端开发力度，不断优化已有的云产品和服务， 为云端市场提供更优质、更全面的解决方案。</w:t>
      </w:r>
    </w:p>
    <w:p>
      <w:pPr>
        <w:pStyle w:val="BodyText"/>
        <w:spacing w:line="388" w:lineRule="exact" w:before="34"/>
        <w:ind w:left="513" w:right="986"/>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公司上市以来，始终遵循</w:t>
      </w:r>
      <w:r>
        <w:rPr>
          <w:rFonts w:ascii="Times New Roman" w:hAnsi="Times New Roman" w:cs="Times New Roman" w:eastAsia="Times New Roman" w:hint="default"/>
          <w:spacing w:val="-2"/>
        </w:rPr>
        <w:t>“</w:t>
      </w:r>
      <w:r>
        <w:rPr>
          <w:spacing w:val="-2"/>
        </w:rPr>
        <w:t>唯实、创新、勤勉、诚信</w:t>
      </w:r>
      <w:r>
        <w:rPr>
          <w:rFonts w:ascii="Times New Roman" w:hAnsi="Times New Roman" w:cs="Times New Roman" w:eastAsia="Times New Roman" w:hint="default"/>
          <w:spacing w:val="-2"/>
        </w:rPr>
        <w:t>”</w:t>
      </w:r>
      <w:r>
        <w:rPr>
          <w:spacing w:val="-2"/>
        </w:rPr>
        <w:t>的发展理念，一贯秉持稳中求进、变中求新的市场态度，用心专注</w:t>
      </w:r>
    </w:p>
    <w:p>
      <w:pPr>
        <w:pStyle w:val="BodyText"/>
        <w:spacing w:line="180" w:lineRule="exact"/>
        <w:ind w:right="986"/>
        <w:jc w:val="left"/>
      </w:pPr>
      <w:r>
        <w:rPr/>
        <w:t>于软件研发，全力向市场输出优秀的产品和一流的服务。随着人工智能、物联网、区块链等新兴技术的发展与普及，公司当</w:t>
      </w:r>
    </w:p>
    <w:p>
      <w:pPr>
        <w:pStyle w:val="BodyText"/>
        <w:spacing w:line="240" w:lineRule="auto"/>
        <w:ind w:right="986"/>
        <w:jc w:val="left"/>
      </w:pPr>
      <w:r>
        <w:rPr/>
        <w:t>前致力于从传统软件与信息技术企业向解决方案和服务提供商的转型，总体发展战略为：</w:t>
      </w:r>
    </w:p>
    <w:p>
      <w:pPr>
        <w:pStyle w:val="BodyText"/>
        <w:spacing w:line="370" w:lineRule="atLeast" w:before="33"/>
        <w:ind w:left="513" w:right="986"/>
        <w:jc w:val="left"/>
      </w:pPr>
      <w:r>
        <w:rPr>
          <w:rFonts w:ascii="Times New Roman" w:hAnsi="Times New Roman" w:cs="Times New Roman" w:eastAsia="Times New Roman" w:hint="default"/>
          <w:b/>
          <w:bCs/>
        </w:rPr>
        <w:t>1</w:t>
      </w:r>
      <w:r>
        <w:rPr>
          <w:rFonts w:ascii="宋体" w:hAnsi="宋体" w:cs="宋体" w:eastAsia="宋体" w:hint="default"/>
          <w:b/>
          <w:bCs/>
        </w:rPr>
        <w:t>、在目标方向上</w:t>
      </w:r>
      <w:r>
        <w:rPr>
          <w:rFonts w:ascii="宋体" w:hAnsi="宋体" w:cs="宋体" w:eastAsia="宋体" w:hint="default"/>
          <w:b/>
          <w:bCs/>
          <w:w w:val="99"/>
        </w:rPr>
        <w:t> </w:t>
      </w:r>
      <w:r>
        <w:rPr>
          <w:spacing w:val="-4"/>
        </w:rPr>
        <w:t>深化在人工智能、物联网、云计算、区块链等新兴技术的产品研发与应用创新，持续为客户提供优质的产品和解决方案，</w:t>
      </w:r>
    </w:p>
    <w:p>
      <w:pPr>
        <w:pStyle w:val="BodyText"/>
        <w:spacing w:line="233" w:lineRule="exact"/>
        <w:ind w:right="986"/>
        <w:jc w:val="left"/>
      </w:pPr>
      <w:r>
        <w:rPr/>
        <w:t>巩固在软件与信息技术行业的龙头地位，加速实现公司向优质云服务商的战略转型。</w:t>
      </w:r>
    </w:p>
    <w:p>
      <w:pPr>
        <w:pStyle w:val="BodyText"/>
        <w:spacing w:line="370" w:lineRule="atLeast" w:before="32"/>
        <w:ind w:left="513" w:right="986"/>
        <w:jc w:val="left"/>
      </w:pPr>
      <w:r>
        <w:rPr>
          <w:rFonts w:ascii="Times New Roman" w:hAnsi="Times New Roman" w:cs="Times New Roman" w:eastAsia="Times New Roman" w:hint="default"/>
          <w:b/>
          <w:bCs/>
        </w:rPr>
        <w:t>2</w:t>
      </w:r>
      <w:r>
        <w:rPr>
          <w:rFonts w:ascii="宋体" w:hAnsi="宋体" w:cs="宋体" w:eastAsia="宋体" w:hint="default"/>
          <w:b/>
          <w:bCs/>
        </w:rPr>
        <w:t>、在核心业务上</w:t>
      </w:r>
      <w:r>
        <w:rPr>
          <w:rFonts w:ascii="宋体" w:hAnsi="宋体" w:cs="宋体" w:eastAsia="宋体" w:hint="default"/>
          <w:b/>
          <w:bCs/>
          <w:w w:val="99"/>
        </w:rPr>
        <w:t> </w:t>
      </w:r>
      <w:r>
        <w:rPr>
          <w:spacing w:val="-2"/>
        </w:rPr>
        <w:t>强化与拓展在智慧医疗、智慧城市、智慧金融、能源物联网等重点行业的竞争优势，优化与创新云计算、大数据、人工</w:t>
      </w:r>
    </w:p>
    <w:p>
      <w:pPr>
        <w:pStyle w:val="BodyText"/>
        <w:spacing w:line="232" w:lineRule="exact" w:before="22"/>
        <w:ind w:right="986"/>
        <w:jc w:val="left"/>
      </w:pPr>
      <w:r>
        <w:rPr>
          <w:spacing w:val="-2"/>
        </w:rPr>
        <w:t>智能、区块链等新兴技术在公司核心产品与服务中的应用，推进</w:t>
      </w:r>
      <w:r>
        <w:rPr>
          <w:rFonts w:ascii="Times New Roman" w:hAnsi="Times New Roman" w:cs="Times New Roman" w:eastAsia="Times New Roman" w:hint="default"/>
          <w:spacing w:val="-2"/>
        </w:rPr>
        <w:t>“</w:t>
      </w:r>
      <w:r>
        <w:rPr>
          <w:spacing w:val="-2"/>
        </w:rPr>
        <w:t>鹏霄</w:t>
      </w:r>
      <w:r>
        <w:rPr>
          <w:rFonts w:ascii="Times New Roman" w:hAnsi="Times New Roman" w:cs="Times New Roman" w:eastAsia="Times New Roman" w:hint="default"/>
          <w:spacing w:val="-2"/>
        </w:rPr>
        <w:t>”</w:t>
      </w:r>
      <w:r>
        <w:rPr>
          <w:spacing w:val="-2"/>
        </w:rPr>
        <w:t>服务器在多行业、多领域的大规模商业使用，实现公</w:t>
      </w:r>
      <w:r>
        <w:rPr>
          <w:spacing w:val="-41"/>
        </w:rPr>
        <w:t> </w:t>
      </w:r>
      <w:r>
        <w:rPr>
          <w:spacing w:val="-41"/>
        </w:rPr>
      </w:r>
      <w:r>
        <w:rPr/>
        <w:t>司综合竞争力的可持续发展。</w:t>
      </w:r>
    </w:p>
    <w:p>
      <w:pPr>
        <w:pStyle w:val="BodyText"/>
        <w:spacing w:line="392" w:lineRule="exact" w:before="29"/>
        <w:ind w:left="513" w:right="986"/>
        <w:jc w:val="left"/>
      </w:pPr>
      <w:r>
        <w:rPr>
          <w:rFonts w:ascii="Times New Roman" w:hAnsi="Times New Roman" w:cs="Times New Roman" w:eastAsia="Times New Roman" w:hint="default"/>
          <w:b/>
          <w:bCs/>
        </w:rPr>
        <w:t>3</w:t>
      </w:r>
      <w:r>
        <w:rPr>
          <w:rFonts w:ascii="宋体" w:hAnsi="宋体" w:cs="宋体" w:eastAsia="宋体" w:hint="default"/>
          <w:b/>
          <w:bCs/>
        </w:rPr>
        <w:t>、在外部协同上</w:t>
      </w:r>
      <w:r>
        <w:rPr>
          <w:rFonts w:ascii="宋体" w:hAnsi="宋体" w:cs="宋体" w:eastAsia="宋体" w:hint="default"/>
          <w:b/>
          <w:bCs/>
          <w:w w:val="99"/>
        </w:rPr>
        <w:t> </w:t>
      </w:r>
      <w:r>
        <w:rPr>
          <w:spacing w:val="-2"/>
        </w:rPr>
        <w:t>积极拓展与华为在</w:t>
      </w:r>
      <w:r>
        <w:rPr>
          <w:rFonts w:ascii="Times New Roman" w:hAnsi="Times New Roman" w:cs="Times New Roman" w:eastAsia="Times New Roman" w:hint="default"/>
          <w:spacing w:val="-2"/>
        </w:rPr>
        <w:t>“</w:t>
      </w:r>
      <w:r>
        <w:rPr>
          <w:spacing w:val="-2"/>
        </w:rPr>
        <w:t>鹏霄</w:t>
      </w:r>
      <w:r>
        <w:rPr>
          <w:rFonts w:ascii="Times New Roman" w:hAnsi="Times New Roman" w:cs="Times New Roman" w:eastAsia="Times New Roman" w:hint="default"/>
          <w:spacing w:val="-2"/>
        </w:rPr>
        <w:t>”</w:t>
      </w:r>
      <w:r>
        <w:rPr>
          <w:spacing w:val="-2"/>
        </w:rPr>
        <w:t>服务器等合作项目的战略布局与市场应用，加深与腾讯在智慧城市、智慧金融、智慧医疗等领</w:t>
      </w:r>
    </w:p>
    <w:p>
      <w:pPr>
        <w:pStyle w:val="BodyText"/>
        <w:spacing w:line="178" w:lineRule="exact"/>
        <w:ind w:right="986"/>
        <w:jc w:val="left"/>
      </w:pPr>
      <w:r>
        <w:rPr/>
        <w:t>域的紧密战略合作，维持与知名企业的常年合作关系。通过充分发挥自身与合作伙伴的技术互补和协同效应，全面提升企业</w:t>
      </w:r>
    </w:p>
    <w:p>
      <w:pPr>
        <w:pStyle w:val="BodyText"/>
        <w:spacing w:line="234" w:lineRule="exact"/>
        <w:ind w:right="986"/>
        <w:jc w:val="left"/>
      </w:pPr>
      <w:r>
        <w:rPr/>
        <w:t>在行业内的综合竞争力。</w:t>
      </w:r>
    </w:p>
    <w:p>
      <w:pPr>
        <w:pStyle w:val="BodyText"/>
        <w:spacing w:line="390" w:lineRule="atLeast" w:before="15"/>
        <w:ind w:left="513" w:right="986"/>
        <w:jc w:val="left"/>
      </w:pPr>
      <w:r>
        <w:rPr>
          <w:rFonts w:ascii="Times New Roman" w:hAnsi="Times New Roman" w:cs="Times New Roman" w:eastAsia="Times New Roman" w:hint="default"/>
          <w:b/>
          <w:bCs/>
        </w:rPr>
        <w:t>4</w:t>
      </w:r>
      <w:r>
        <w:rPr>
          <w:rFonts w:ascii="宋体" w:hAnsi="宋体" w:cs="宋体" w:eastAsia="宋体" w:hint="default"/>
          <w:b/>
          <w:bCs/>
        </w:rPr>
        <w:t>、在实现路径上</w:t>
      </w:r>
      <w:r>
        <w:rPr>
          <w:rFonts w:ascii="宋体" w:hAnsi="宋体" w:cs="宋体" w:eastAsia="宋体" w:hint="default"/>
          <w:b/>
          <w:bCs/>
          <w:w w:val="99"/>
        </w:rPr>
        <w:t> </w:t>
      </w:r>
      <w:r>
        <w:rPr>
          <w:spacing w:val="-2"/>
        </w:rPr>
        <w:t>依托</w:t>
      </w:r>
      <w:r>
        <w:rPr>
          <w:rFonts w:ascii="Times New Roman" w:hAnsi="Times New Roman" w:cs="Times New Roman" w:eastAsia="Times New Roman" w:hint="default"/>
          <w:spacing w:val="-2"/>
        </w:rPr>
        <w:t>“</w:t>
      </w:r>
      <w:r>
        <w:rPr>
          <w:spacing w:val="-2"/>
        </w:rPr>
        <w:t>技术创新、产品创新、科技创新</w:t>
      </w:r>
      <w:r>
        <w:rPr>
          <w:rFonts w:ascii="Times New Roman" w:hAnsi="Times New Roman" w:cs="Times New Roman" w:eastAsia="Times New Roman" w:hint="default"/>
          <w:spacing w:val="-2"/>
        </w:rPr>
        <w:t>”</w:t>
      </w:r>
      <w:r>
        <w:rPr>
          <w:spacing w:val="-2"/>
        </w:rPr>
        <w:t>的发展战略，整合优势资源、加大研发力量、培养人才队伍、完善企业激励约束</w:t>
      </w:r>
    </w:p>
    <w:p>
      <w:pPr>
        <w:pStyle w:val="BodyText"/>
        <w:spacing w:line="236" w:lineRule="exact" w:before="5"/>
        <w:ind w:right="1034"/>
        <w:jc w:val="left"/>
      </w:pPr>
      <w:r>
        <w:rPr/>
        <w:t>机制，致力打造一批像东华智慧城市、东华医为、银企汇、东华云、东华惠生活、互联宜家等具有市场竞争力的自主品牌， 形成企业快速成长的战略纵深。</w:t>
      </w:r>
    </w:p>
    <w:p>
      <w:pPr>
        <w:pStyle w:val="Heading5"/>
        <w:spacing w:line="240" w:lineRule="auto" w:before="131"/>
        <w:ind w:right="986"/>
        <w:jc w:val="left"/>
        <w:rPr>
          <w:b w:val="0"/>
          <w:bCs w:val="0"/>
        </w:rPr>
      </w:pPr>
      <w:r>
        <w:rPr/>
        <w:t>（三）经营计划</w:t>
      </w:r>
      <w:r>
        <w:rPr>
          <w:b w:val="0"/>
          <w:bCs w:val="0"/>
        </w:rPr>
      </w:r>
    </w:p>
    <w:p>
      <w:pPr>
        <w:pStyle w:val="BodyText"/>
        <w:spacing w:line="232" w:lineRule="auto" w:before="159"/>
        <w:ind w:right="1135" w:firstLine="360"/>
        <w:jc w:val="both"/>
      </w:pPr>
      <w:r>
        <w:rPr>
          <w:rFonts w:ascii="Times New Roman" w:hAnsi="Times New Roman" w:cs="Times New Roman" w:eastAsia="Times New Roman" w:hint="default"/>
          <w:spacing w:val="-2"/>
        </w:rPr>
        <w:t>2020</w:t>
      </w:r>
      <w:r>
        <w:rPr>
          <w:spacing w:val="-2"/>
        </w:rPr>
        <w:t>年，尽管受疫情影响，社会经济活动放缓，公司积极采取应对措施，充分利用在人才、技术、市场等多方面的资源</w:t>
      </w:r>
      <w:r>
        <w:rPr/>
        <w:t> </w:t>
      </w:r>
      <w:r>
        <w:rPr>
          <w:spacing w:val="-2"/>
        </w:rPr>
        <w:t>和优势，有机结合云计算、大数据、物联网、人工智能等前沿技术，进一步巩固与提升在智慧医疗、智慧城市、智慧金融等</w:t>
      </w:r>
      <w:r>
        <w:rPr>
          <w:spacing w:val="-73"/>
        </w:rPr>
        <w:t> </w:t>
      </w:r>
      <w:r>
        <w:rPr>
          <w:spacing w:val="-73"/>
        </w:rPr>
      </w:r>
      <w:r>
        <w:rPr/>
        <w:t>细分行业的领先位置。同时，公司将加强资金管理、完善内控制度、规范信息披露、做好投资者关系管理。</w:t>
      </w:r>
    </w:p>
    <w:p>
      <w:pPr>
        <w:pStyle w:val="BodyText"/>
        <w:spacing w:line="232" w:lineRule="exact" w:before="73"/>
        <w:ind w:right="986" w:firstLine="360"/>
        <w:jc w:val="left"/>
      </w:pPr>
      <w:r>
        <w:rPr>
          <w:rFonts w:ascii="Times New Roman" w:hAnsi="Times New Roman" w:cs="Times New Roman" w:eastAsia="Times New Roman" w:hint="default"/>
          <w:spacing w:val="-2"/>
        </w:rPr>
        <w:t>2020</w:t>
      </w:r>
      <w:r>
        <w:rPr>
          <w:spacing w:val="-2"/>
        </w:rPr>
        <w:t>年，公司将按照既定战略布局，保持主营业务优势，不断加大技术创新和产品研发投入，完善业务生态链，全力提</w:t>
      </w:r>
      <w:r>
        <w:rPr/>
        <w:t> 升公司综合竞争力。</w:t>
      </w:r>
    </w:p>
    <w:p>
      <w:pPr>
        <w:pStyle w:val="BodyText"/>
        <w:spacing w:line="240" w:lineRule="auto" w:before="26"/>
        <w:ind w:left="513" w:right="986"/>
        <w:jc w:val="left"/>
      </w:pPr>
      <w:r>
        <w:rPr>
          <w:rFonts w:ascii="Times New Roman" w:hAnsi="Times New Roman" w:cs="Times New Roman" w:eastAsia="Times New Roman" w:hint="default"/>
        </w:rPr>
        <w:t>2020</w:t>
      </w:r>
      <w:r>
        <w:rPr/>
        <w:t>年具体经营计划如下：</w:t>
      </w:r>
    </w:p>
    <w:p>
      <w:pPr>
        <w:pStyle w:val="Heading5"/>
        <w:spacing w:line="240" w:lineRule="auto" w:before="140"/>
        <w:ind w:right="98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1</w:t>
      </w:r>
      <w:r>
        <w:rPr/>
        <w:t>、深耕主营持续创新，发力信创、拓展</w:t>
      </w:r>
      <w:r>
        <w:rPr>
          <w:rFonts w:ascii="Times New Roman" w:hAnsi="Times New Roman" w:cs="Times New Roman" w:eastAsia="Times New Roman" w:hint="default"/>
        </w:rPr>
        <w:t>“</w:t>
      </w:r>
      <w:r>
        <w:rPr/>
        <w:t>鹏霄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8" w:footer="979" w:top="1060" w:bottom="1160" w:left="980" w:right="0"/>
        </w:sectPr>
      </w:pPr>
    </w:p>
    <w:p>
      <w:pPr>
        <w:spacing w:line="240" w:lineRule="auto" w:before="9"/>
        <w:rPr>
          <w:rFonts w:ascii="Times New Roman" w:hAnsi="Times New Roman" w:cs="Times New Roman" w:eastAsia="Times New Roman" w:hint="default"/>
          <w:b/>
          <w:bCs/>
          <w:sz w:val="25"/>
          <w:szCs w:val="25"/>
        </w:rPr>
      </w:pPr>
    </w:p>
    <w:p>
      <w:pPr>
        <w:pStyle w:val="BodyText"/>
        <w:spacing w:line="232" w:lineRule="auto" w:before="50"/>
        <w:ind w:right="1132" w:firstLine="360"/>
        <w:jc w:val="both"/>
      </w:pPr>
      <w:r>
        <w:rPr>
          <w:spacing w:val="-2"/>
        </w:rPr>
        <w:t>东华软件作为全国领先的综合性软件与信息技术服务提供商，始终坚持技术创新，为客户提供更前沿、更便捷、更符合</w:t>
      </w:r>
      <w:r>
        <w:rPr/>
        <w:t> </w:t>
      </w:r>
      <w:r>
        <w:rPr>
          <w:spacing w:val="-2"/>
        </w:rPr>
        <w:t>需求的服务和产品。</w:t>
      </w:r>
      <w:r>
        <w:rPr>
          <w:rFonts w:ascii="Times New Roman" w:hAnsi="Times New Roman" w:cs="Times New Roman" w:eastAsia="Times New Roman" w:hint="default"/>
          <w:spacing w:val="-2"/>
        </w:rPr>
        <w:t>2020</w:t>
      </w:r>
      <w:r>
        <w:rPr>
          <w:spacing w:val="-2"/>
        </w:rPr>
        <w:t>年，公司将继续深耕软件开发与技术服务，提高核心竞争力，为客户与社会提供优质创新的产品与</w:t>
      </w:r>
      <w:r>
        <w:rPr>
          <w:spacing w:val="-62"/>
        </w:rPr>
        <w:t> </w:t>
      </w:r>
      <w:r>
        <w:rPr>
          <w:spacing w:val="-62"/>
        </w:rPr>
      </w:r>
      <w:r>
        <w:rPr/>
        <w:t>服务，加速公司向云服务商的战略转型，助力我国软件行业与数字化经济的建设。</w:t>
      </w:r>
    </w:p>
    <w:p>
      <w:pPr>
        <w:pStyle w:val="BodyText"/>
        <w:spacing w:line="232" w:lineRule="exact" w:before="73"/>
        <w:ind w:right="1131" w:firstLine="360"/>
        <w:jc w:val="both"/>
      </w:pPr>
      <w:r>
        <w:rPr>
          <w:spacing w:val="-2"/>
        </w:rPr>
        <w:t>在信创领域，公司作为信息技术应用创新工作委员会的理事会成员，将凭借在政务、金融、医疗、能源等多行业积累的</w:t>
      </w:r>
      <w:r>
        <w:rPr/>
        <w:t> </w:t>
      </w:r>
      <w:r>
        <w:rPr>
          <w:spacing w:val="-2"/>
        </w:rPr>
        <w:t>市场优势，拓展多个如东华信息创新生态基地的信创中心，聚焦信创领域的核心技术研发，不断丰富公司的信创产品线，力</w:t>
      </w:r>
      <w:r>
        <w:rPr>
          <w:spacing w:val="-64"/>
        </w:rPr>
        <w:t> </w:t>
      </w:r>
      <w:r>
        <w:rPr>
          <w:spacing w:val="-64"/>
        </w:rPr>
      </w:r>
      <w:r>
        <w:rPr/>
        <w:t>争成为信创产业链的领军服务商。</w:t>
      </w:r>
    </w:p>
    <w:p>
      <w:pPr>
        <w:pStyle w:val="BodyText"/>
        <w:spacing w:line="225" w:lineRule="auto" w:before="39"/>
        <w:ind w:right="1041" w:firstLine="360"/>
        <w:jc w:val="both"/>
      </w:pPr>
      <w:r>
        <w:rPr>
          <w:rFonts w:ascii="Times New Roman" w:hAnsi="Times New Roman" w:cs="Times New Roman" w:eastAsia="Times New Roman" w:hint="default"/>
        </w:rPr>
        <w:t>2020</w:t>
      </w:r>
      <w:r>
        <w:rPr/>
        <w:t>年初，公司与华为联合推出首批基于鲲鹏处理器的</w:t>
      </w:r>
      <w:r>
        <w:rPr>
          <w:rFonts w:ascii="Times New Roman" w:hAnsi="Times New Roman" w:cs="Times New Roman" w:eastAsia="Times New Roman" w:hint="default"/>
        </w:rPr>
        <w:t>“</w:t>
      </w:r>
      <w:r>
        <w:rPr/>
        <w:t>鹏霄</w:t>
      </w:r>
      <w:r>
        <w:rPr>
          <w:rFonts w:ascii="Times New Roman" w:hAnsi="Times New Roman" w:cs="Times New Roman" w:eastAsia="Times New Roman" w:hint="default"/>
        </w:rPr>
        <w:t>”</w:t>
      </w:r>
      <w:r>
        <w:rPr/>
        <w:t>服务器，目前已与宁波、青岛两地完成签约，将在两地投 资打造</w:t>
      </w:r>
      <w:r>
        <w:rPr>
          <w:rFonts w:ascii="Times New Roman" w:hAnsi="Times New Roman" w:cs="Times New Roman" w:eastAsia="Times New Roman" w:hint="default"/>
        </w:rPr>
        <w:t>“</w:t>
      </w:r>
      <w:r>
        <w:rPr/>
        <w:t>鹏霄</w:t>
      </w:r>
      <w:r>
        <w:rPr>
          <w:rFonts w:ascii="Times New Roman" w:hAnsi="Times New Roman" w:cs="Times New Roman" w:eastAsia="Times New Roman" w:hint="default"/>
        </w:rPr>
        <w:t>”</w:t>
      </w:r>
      <w:r>
        <w:rPr/>
        <w:t>基地，扩大服务器的生产及配套软件的研发，推进</w:t>
      </w:r>
      <w:r>
        <w:rPr>
          <w:rFonts w:ascii="Times New Roman" w:hAnsi="Times New Roman" w:cs="Times New Roman" w:eastAsia="Times New Roman" w:hint="default"/>
        </w:rPr>
        <w:t>“</w:t>
      </w:r>
      <w:r>
        <w:rPr/>
        <w:t>鹏霄</w:t>
      </w:r>
      <w:r>
        <w:rPr>
          <w:rFonts w:ascii="Times New Roman" w:hAnsi="Times New Roman" w:cs="Times New Roman" w:eastAsia="Times New Roman" w:hint="default"/>
        </w:rPr>
        <w:t>”</w:t>
      </w:r>
      <w:r>
        <w:rPr/>
        <w:t>服务器的大规模商业应用。公司作为华为的鲲鹏战略 </w:t>
      </w:r>
      <w:r>
        <w:rPr>
          <w:spacing w:val="-2"/>
        </w:rPr>
        <w:t>级</w:t>
      </w:r>
      <w:r>
        <w:rPr>
          <w:rFonts w:ascii="Times New Roman" w:hAnsi="Times New Roman" w:cs="Times New Roman" w:eastAsia="Times New Roman" w:hint="default"/>
          <w:spacing w:val="-2"/>
        </w:rPr>
        <w:t>ISV</w:t>
      </w:r>
      <w:r>
        <w:rPr>
          <w:spacing w:val="-2"/>
        </w:rPr>
        <w:t>合作伙伴，未来将继续推进与华为的紧密合作，积极参与鲲鹏产业生态的构建，加速实现国内信创产品的创新与突破。</w:t>
      </w:r>
    </w:p>
    <w:p>
      <w:pPr>
        <w:spacing w:line="370" w:lineRule="atLeast" w:before="21"/>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、重点领域积极拓展，巩固公司核心优势</w:t>
      </w:r>
      <w:r>
        <w:rPr>
          <w:rFonts w:ascii="宋体" w:hAnsi="宋体" w:cs="宋体" w:eastAsia="宋体" w:hint="default"/>
          <w:b/>
          <w:bCs/>
          <w:w w:val="99"/>
          <w:sz w:val="18"/>
          <w:szCs w:val="18"/>
        </w:rPr>
        <w:t> </w:t>
      </w:r>
      <w:r>
        <w:rPr>
          <w:rFonts w:ascii="宋体" w:hAnsi="宋体" w:cs="宋体" w:eastAsia="宋体" w:hint="default"/>
          <w:sz w:val="18"/>
          <w:szCs w:val="18"/>
        </w:rPr>
        <w:t>经过多年深耕与布局，公司已在医疗、金融、智慧城市、政府等多个细分领域掌握了优势技术，占据了市场领先地位。</w:t>
      </w:r>
    </w:p>
    <w:p>
      <w:pPr>
        <w:pStyle w:val="BodyText"/>
        <w:spacing w:line="230" w:lineRule="auto" w:before="8"/>
        <w:ind w:right="1130"/>
        <w:jc w:val="both"/>
      </w:pPr>
      <w:r>
        <w:rPr>
          <w:rFonts w:ascii="Times New Roman" w:hAnsi="Times New Roman" w:cs="Times New Roman" w:eastAsia="Times New Roman" w:hint="default"/>
          <w:spacing w:val="-2"/>
        </w:rPr>
        <w:t>2020</w:t>
      </w:r>
      <w:r>
        <w:rPr>
          <w:spacing w:val="-2"/>
        </w:rPr>
        <w:t>年，公司将继续巩固在软件与信息技术服务业的龙头地位，扩大在主营业务细分领域的领先优势，提升多行业细分业务</w:t>
      </w:r>
      <w:r>
        <w:rPr>
          <w:spacing w:val="-62"/>
        </w:rPr>
        <w:t> </w:t>
      </w:r>
      <w:r>
        <w:rPr>
          <w:spacing w:val="-62"/>
        </w:rPr>
      </w:r>
      <w:r>
        <w:rPr>
          <w:spacing w:val="-2"/>
        </w:rPr>
        <w:t>的专业化、系统化竞争能力和市场覆盖面，以优质高效的产品和服务提高客户满意度和品牌影响力，为客户提供全方位整理</w:t>
      </w:r>
      <w:r>
        <w:rPr>
          <w:spacing w:val="-63"/>
        </w:rPr>
        <w:t> </w:t>
      </w:r>
      <w:r>
        <w:rPr>
          <w:spacing w:val="-63"/>
        </w:rPr>
      </w:r>
      <w:r>
        <w:rPr/>
        <w:t>解决方案服务。</w:t>
      </w:r>
    </w:p>
    <w:p>
      <w:pPr>
        <w:pStyle w:val="Heading5"/>
        <w:spacing w:line="240" w:lineRule="auto" w:before="154"/>
        <w:ind w:right="986"/>
        <w:jc w:val="left"/>
        <w:rPr>
          <w:b w:val="0"/>
          <w:bCs w:val="0"/>
        </w:rPr>
      </w:pPr>
      <w:r>
        <w:rPr/>
        <w:t>（</w:t>
      </w:r>
      <w:r>
        <w:rPr>
          <w:rFonts w:ascii="Times New Roman" w:hAnsi="Times New Roman" w:cs="Times New Roman" w:eastAsia="Times New Roman" w:hint="default"/>
        </w:rPr>
        <w:t>1</w:t>
      </w:r>
      <w:r>
        <w:rPr/>
        <w:t>）专注智慧医疗，扩大已有优势、开拓</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健康医疗</w:t>
      </w:r>
      <w:r>
        <w:rPr>
          <w:rFonts w:ascii="Times New Roman" w:hAnsi="Times New Roman" w:cs="Times New Roman" w:eastAsia="Times New Roman" w:hint="default"/>
        </w:rPr>
        <w:t>”</w:t>
      </w:r>
      <w:r>
        <w:rPr/>
        <w:t>创新业务</w:t>
      </w:r>
      <w:r>
        <w:rPr>
          <w:b w:val="0"/>
          <w:bCs w:val="0"/>
        </w:rPr>
      </w:r>
    </w:p>
    <w:p>
      <w:pPr>
        <w:pStyle w:val="BodyText"/>
        <w:spacing w:line="225" w:lineRule="auto" w:before="154"/>
        <w:ind w:right="1128" w:firstLine="360"/>
        <w:jc w:val="both"/>
      </w:pPr>
      <w:r>
        <w:rPr>
          <w:rFonts w:ascii="Times New Roman" w:hAnsi="Times New Roman" w:cs="Times New Roman" w:eastAsia="Times New Roman" w:hint="default"/>
          <w:spacing w:val="-1"/>
        </w:rPr>
        <w:t>2019</w:t>
      </w:r>
      <w:r>
        <w:rPr>
          <w:spacing w:val="-1"/>
        </w:rPr>
        <w:t>年，公司以做大做强</w:t>
      </w:r>
      <w:r>
        <w:rPr>
          <w:rFonts w:ascii="Times New Roman" w:hAnsi="Times New Roman" w:cs="Times New Roman" w:eastAsia="Times New Roman" w:hint="default"/>
          <w:spacing w:val="-1"/>
        </w:rPr>
        <w:t>HIT</w:t>
      </w:r>
      <w:r>
        <w:rPr>
          <w:spacing w:val="-1"/>
        </w:rPr>
        <w:t>为基础，积极布局，打造</w:t>
      </w:r>
      <w:r>
        <w:rPr>
          <w:rFonts w:ascii="Times New Roman" w:hAnsi="Times New Roman" w:cs="Times New Roman" w:eastAsia="Times New Roman" w:hint="default"/>
          <w:spacing w:val="-1"/>
        </w:rPr>
        <w:t>“</w:t>
      </w:r>
      <w:r>
        <w:rPr>
          <w:spacing w:val="-1"/>
        </w:rPr>
        <w:t>一链三云</w:t>
      </w:r>
      <w:r>
        <w:rPr>
          <w:rFonts w:ascii="Times New Roman" w:hAnsi="Times New Roman" w:cs="Times New Roman" w:eastAsia="Times New Roman" w:hint="default"/>
          <w:spacing w:val="-1"/>
        </w:rPr>
        <w:t>AI”</w:t>
      </w:r>
      <w:r>
        <w:rPr>
          <w:spacing w:val="-1"/>
        </w:rPr>
        <w:t>新战略，形成区域为重点，整合为依托，线上线下</w:t>
      </w:r>
      <w:r>
        <w:rPr/>
        <w:t> 一体化为标志，集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健康医疗</w:t>
      </w:r>
      <w:r>
        <w:rPr>
          <w:rFonts w:ascii="Times New Roman" w:hAnsi="Times New Roman" w:cs="Times New Roman" w:eastAsia="Times New Roman" w:hint="default"/>
        </w:rPr>
        <w:t>”</w:t>
      </w:r>
      <w:r>
        <w:rPr/>
        <w:t>为特征的服务新模式，实现</w:t>
      </w:r>
      <w:r>
        <w:rPr>
          <w:rFonts w:ascii="Times New Roman" w:hAnsi="Times New Roman" w:cs="Times New Roman" w:eastAsia="Times New Roman" w:hint="default"/>
        </w:rPr>
        <w:t>HIT</w:t>
      </w:r>
      <w:r>
        <w:rPr/>
        <w:t>到</w:t>
      </w:r>
      <w:r>
        <w:rPr>
          <w:rFonts w:ascii="Times New Roman" w:hAnsi="Times New Roman" w:cs="Times New Roman" w:eastAsia="Times New Roman" w:hint="default"/>
        </w:rPr>
        <w:t>HDT</w:t>
      </w:r>
      <w:r>
        <w:rPr/>
        <w:t>的转变，由信息技术型企业转型为数据驱动型</w:t>
      </w:r>
      <w:r>
        <w:rPr>
          <w:spacing w:val="-32"/>
        </w:rPr>
        <w:t> </w:t>
      </w:r>
      <w:r>
        <w:rPr>
          <w:spacing w:val="-32"/>
        </w:rPr>
      </w:r>
      <w:r>
        <w:rPr/>
        <w:t>企业。</w:t>
      </w:r>
      <w:r>
        <w:rPr>
          <w:rFonts w:ascii="Times New Roman" w:hAnsi="Times New Roman" w:cs="Times New Roman" w:eastAsia="Times New Roman" w:hint="default"/>
        </w:rPr>
        <w:t>2020</w:t>
      </w:r>
      <w:r>
        <w:rPr/>
        <w:t>年，公司将在继续扩大传统医疗卫生信息化领先优势的基础上，推进</w:t>
      </w:r>
      <w:r>
        <w:rPr>
          <w:rFonts w:ascii="Times New Roman" w:hAnsi="Times New Roman" w:cs="Times New Roman" w:eastAsia="Times New Roman" w:hint="default"/>
        </w:rPr>
        <w:t>iMedical</w:t>
      </w:r>
      <w:r>
        <w:rPr>
          <w:rFonts w:ascii="Times New Roman" w:hAnsi="Times New Roman" w:cs="Times New Roman" w:eastAsia="Times New Roman" w:hint="default"/>
          <w:spacing w:val="2"/>
        </w:rPr>
        <w:t> </w:t>
      </w:r>
      <w:r>
        <w:rPr>
          <w:rFonts w:ascii="Times New Roman" w:hAnsi="Times New Roman" w:cs="Times New Roman" w:eastAsia="Times New Roman" w:hint="default"/>
        </w:rPr>
        <w:t>Cloud</w:t>
      </w:r>
      <w:r>
        <w:rPr/>
        <w:t>云平台及产品云化的改造工 作全面完成，全方位开拓</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创新业务。同时，公司将加大创新互联网服务投入，发挥公司在健康医疗行业</w:t>
      </w:r>
      <w:r>
        <w:rPr>
          <w:spacing w:val="-77"/>
        </w:rPr>
        <w:t> </w:t>
      </w:r>
      <w:r>
        <w:rPr>
          <w:spacing w:val="-77"/>
        </w:rPr>
      </w:r>
      <w:r>
        <w:rPr>
          <w:spacing w:val="-2"/>
        </w:rPr>
        <w:t>的影响力，不断与健康服务相关产业对接，实现公司由软件服务向健康服务的发展转变。公司的医疗板块在</w:t>
      </w:r>
      <w:r>
        <w:rPr>
          <w:rFonts w:ascii="Times New Roman" w:hAnsi="Times New Roman" w:cs="Times New Roman" w:eastAsia="Times New Roman" w:hint="default"/>
          <w:spacing w:val="-2"/>
        </w:rPr>
        <w:t>2020</w:t>
      </w:r>
      <w:r>
        <w:rPr>
          <w:spacing w:val="-2"/>
        </w:rPr>
        <w:t>年的重点发</w:t>
      </w:r>
      <w:r>
        <w:rPr>
          <w:spacing w:val="-59"/>
        </w:rPr>
        <w:t> </w:t>
      </w:r>
      <w:r>
        <w:rPr>
          <w:spacing w:val="-59"/>
        </w:rPr>
      </w:r>
      <w:r>
        <w:rPr/>
        <w:t>展方向如下：</w:t>
      </w:r>
    </w:p>
    <w:p>
      <w:pPr>
        <w:pStyle w:val="BodyText"/>
        <w:spacing w:line="232" w:lineRule="exact" w:before="74"/>
        <w:ind w:right="1141" w:firstLine="360"/>
        <w:jc w:val="both"/>
      </w:pPr>
      <w:r>
        <w:rPr/>
        <w:t>（</w:t>
      </w:r>
      <w:r>
        <w:rPr>
          <w:rFonts w:ascii="Times New Roman" w:hAnsi="Times New Roman" w:cs="Times New Roman" w:eastAsia="Times New Roman" w:hint="default"/>
        </w:rPr>
        <w:t>i</w:t>
      </w:r>
      <w:r>
        <w:rPr/>
        <w:t>）智慧医院方面：公司将联合医院、院校、卫生信息化标准单位，共同推进医院智慧管理、物联网设备接入技术、 互联网服务接入技术等相关标准，逐步健全智慧医院建设标准体系和内容，为智慧医院生态建设提供合理科学的依据。</w:t>
      </w:r>
    </w:p>
    <w:p>
      <w:pPr>
        <w:pStyle w:val="BodyText"/>
        <w:spacing w:line="232" w:lineRule="auto" w:before="33"/>
        <w:ind w:right="986" w:firstLine="360"/>
        <w:jc w:val="left"/>
      </w:pPr>
      <w:r>
        <w:rPr/>
        <w:t>（</w:t>
      </w:r>
      <w:r>
        <w:rPr>
          <w:rFonts w:ascii="Times New Roman" w:hAnsi="Times New Roman" w:cs="Times New Roman" w:eastAsia="Times New Roman" w:hint="default"/>
        </w:rPr>
        <w:t>ii</w:t>
      </w:r>
      <w:r>
        <w:rPr/>
        <w:t>）互联网医院方面：公司将深度研发互联网医院开放平台，帮助医院管理、监控和分析对外发布的服务，保证服务 </w:t>
      </w:r>
      <w:r>
        <w:rPr>
          <w:spacing w:val="-4"/>
        </w:rPr>
        <w:t>的连续、安全、可控。该平台将支撑医院互联网业务的安全、快速接入与院内院外互通，围绕着互联网支付、医保在线支付、</w:t>
      </w:r>
      <w:r>
        <w:rPr>
          <w:spacing w:val="-44"/>
        </w:rPr>
        <w:t> </w:t>
      </w:r>
      <w:r>
        <w:rPr>
          <w:spacing w:val="-44"/>
        </w:rPr>
      </w:r>
      <w:r>
        <w:rPr/>
        <w:t>商保一站式理赔，实现患者全流程就医服务，实现健康档案、电子病历、出院随访档案共享和协同。</w:t>
      </w:r>
    </w:p>
    <w:p>
      <w:pPr>
        <w:pStyle w:val="BodyText"/>
        <w:spacing w:line="225" w:lineRule="auto" w:before="61"/>
        <w:ind w:right="986" w:firstLine="360"/>
        <w:jc w:val="left"/>
      </w:pPr>
      <w:r>
        <w:rPr/>
        <w:t>（</w:t>
      </w:r>
      <w:r>
        <w:rPr>
          <w:rFonts w:ascii="Times New Roman" w:hAnsi="Times New Roman" w:cs="Times New Roman" w:eastAsia="Times New Roman" w:hint="default"/>
        </w:rPr>
        <w:t>iii</w:t>
      </w:r>
      <w:r>
        <w:rPr/>
        <w:t>）</w:t>
      </w:r>
      <w:r>
        <w:rPr>
          <w:rFonts w:ascii="Times New Roman" w:hAnsi="Times New Roman" w:cs="Times New Roman" w:eastAsia="Times New Roman" w:hint="default"/>
        </w:rPr>
        <w:t>iMedical</w:t>
      </w:r>
      <w:r>
        <w:rPr>
          <w:rFonts w:ascii="Times New Roman" w:hAnsi="Times New Roman" w:cs="Times New Roman" w:eastAsia="Times New Roman" w:hint="default"/>
          <w:spacing w:val="-25"/>
        </w:rPr>
        <w:t> </w:t>
      </w:r>
      <w:r>
        <w:rPr>
          <w:rFonts w:ascii="Times New Roman" w:hAnsi="Times New Roman" w:cs="Times New Roman" w:eastAsia="Times New Roman" w:hint="default"/>
        </w:rPr>
        <w:t>Cloud</w:t>
      </w:r>
      <w:r>
        <w:rPr/>
        <w:t>生态平台暨云</w:t>
      </w:r>
      <w:r>
        <w:rPr>
          <w:rFonts w:ascii="Times New Roman" w:hAnsi="Times New Roman" w:cs="Times New Roman" w:eastAsia="Times New Roman" w:hint="default"/>
        </w:rPr>
        <w:t>HIS</w:t>
      </w:r>
      <w:r>
        <w:rPr/>
        <w:t>产品</w:t>
      </w:r>
      <w:r>
        <w:rPr>
          <w:rFonts w:ascii="Times New Roman" w:hAnsi="Times New Roman" w:cs="Times New Roman" w:eastAsia="Times New Roman" w:hint="default"/>
        </w:rPr>
        <w:t>:</w:t>
      </w:r>
      <w:r>
        <w:rPr/>
        <w:t>该生态平台以重塑业务、优化流程、唤醒数据为发展目标，智慧、协同地支 </w:t>
      </w:r>
      <w:r>
        <w:rPr>
          <w:spacing w:val="-2"/>
        </w:rPr>
        <w:t>撑医院开展所有业务，全方位提升医疗服务效率和服务质量。</w:t>
      </w:r>
      <w:r>
        <w:rPr>
          <w:rFonts w:ascii="Times New Roman" w:hAnsi="Times New Roman" w:cs="Times New Roman" w:eastAsia="Times New Roman" w:hint="default"/>
          <w:spacing w:val="-2"/>
        </w:rPr>
        <w:t>2020</w:t>
      </w:r>
      <w:r>
        <w:rPr>
          <w:spacing w:val="-2"/>
        </w:rPr>
        <w:t>年，公司会陆续推出</w:t>
      </w:r>
      <w:r>
        <w:rPr>
          <w:rFonts w:ascii="Times New Roman" w:hAnsi="Times New Roman" w:cs="Times New Roman" w:eastAsia="Times New Roman" w:hint="default"/>
          <w:spacing w:val="-2"/>
        </w:rPr>
        <w:t>AI</w:t>
      </w:r>
      <w:r>
        <w:rPr>
          <w:spacing w:val="-2"/>
        </w:rPr>
        <w:t>辅助诊断系统、知识图谱、</w:t>
      </w:r>
      <w:r>
        <w:rPr>
          <w:rFonts w:ascii="Times New Roman" w:hAnsi="Times New Roman" w:cs="Times New Roman" w:eastAsia="Times New Roman" w:hint="default"/>
          <w:spacing w:val="-2"/>
        </w:rPr>
        <w:t>CDSS</w:t>
      </w:r>
      <w:r>
        <w:rPr>
          <w:spacing w:val="-2"/>
        </w:rPr>
        <w:t>、</w:t>
      </w:r>
      <w:r>
        <w:rPr>
          <w:spacing w:val="-70"/>
        </w:rPr>
        <w:t> </w:t>
      </w:r>
      <w:r>
        <w:rPr/>
        <w:t>云供应链、云</w:t>
      </w:r>
      <w:r>
        <w:rPr>
          <w:rFonts w:ascii="Times New Roman" w:hAnsi="Times New Roman" w:cs="Times New Roman" w:eastAsia="Times New Roman" w:hint="default"/>
        </w:rPr>
        <w:t>HRP</w:t>
      </w:r>
      <w:r>
        <w:rPr/>
        <w:t>等更多的生态产品和服务。更多的云</w:t>
      </w:r>
      <w:r>
        <w:rPr>
          <w:rFonts w:ascii="Times New Roman" w:hAnsi="Times New Roman" w:cs="Times New Roman" w:eastAsia="Times New Roman" w:hint="default"/>
        </w:rPr>
        <w:t>HIS</w:t>
      </w:r>
      <w:r>
        <w:rPr/>
        <w:t>项目将在在内蒙古扎鲁特旗医院、河南省滑县人民医院等全国各 地陆续实施。</w:t>
      </w:r>
    </w:p>
    <w:p>
      <w:pPr>
        <w:pStyle w:val="BodyText"/>
        <w:spacing w:line="230" w:lineRule="auto" w:before="57"/>
        <w:ind w:right="1130" w:firstLine="360"/>
        <w:jc w:val="both"/>
      </w:pPr>
      <w:r>
        <w:rPr>
          <w:spacing w:val="-2"/>
        </w:rPr>
        <w:t>（</w:t>
      </w:r>
      <w:r>
        <w:rPr>
          <w:rFonts w:ascii="Times New Roman" w:hAnsi="Times New Roman" w:cs="Times New Roman" w:eastAsia="Times New Roman" w:hint="default"/>
          <w:spacing w:val="-2"/>
        </w:rPr>
        <w:t>iv</w:t>
      </w:r>
      <w:r>
        <w:rPr>
          <w:spacing w:val="-2"/>
        </w:rPr>
        <w:t>）智能医学影像和</w:t>
      </w:r>
      <w:r>
        <w:rPr>
          <w:rFonts w:ascii="Times New Roman" w:hAnsi="Times New Roman" w:cs="Times New Roman" w:eastAsia="Times New Roman" w:hint="default"/>
          <w:spacing w:val="-2"/>
        </w:rPr>
        <w:t>AI</w:t>
      </w:r>
      <w:r>
        <w:rPr>
          <w:spacing w:val="-2"/>
        </w:rPr>
        <w:t>辅助诊断应用领域：东华将与腾讯公司深度合作，共同搭建医学智能影像大数据平台，实现影</w:t>
      </w:r>
      <w:r>
        <w:rPr/>
        <w:t> </w:t>
      </w:r>
      <w:r>
        <w:rPr>
          <w:spacing w:val="-2"/>
        </w:rPr>
        <w:t>像和病人数据的安全传输、存储、质控及分析；提供智能影像诊断的计算平台，研究新一代人工智能影像诊断技术，实现基</w:t>
      </w:r>
      <w:r>
        <w:rPr>
          <w:spacing w:val="-67"/>
        </w:rPr>
        <w:t> </w:t>
      </w:r>
      <w:r>
        <w:rPr>
          <w:spacing w:val="-67"/>
        </w:rPr>
      </w:r>
      <w:r>
        <w:rPr/>
        <w:t>于人工智能</w:t>
      </w:r>
      <w:r>
        <w:rPr>
          <w:rFonts w:ascii="Times New Roman" w:hAnsi="Times New Roman" w:cs="Times New Roman" w:eastAsia="Times New Roman" w:hint="default"/>
        </w:rPr>
        <w:t>(AI)</w:t>
      </w:r>
      <w:r>
        <w:rPr/>
        <w:t>的影像分析、辅助诊断、结构化报告、</w:t>
      </w:r>
      <w:r>
        <w:rPr>
          <w:spacing w:val="44"/>
        </w:rPr>
        <w:t> </w:t>
      </w:r>
      <w:r>
        <w:rPr/>
        <w:t>治疗方案决策、及预后评估；围绕胸部疾病、肝部疾病、脑卒中、</w:t>
      </w:r>
      <w:r>
        <w:rPr>
          <w:spacing w:val="-84"/>
        </w:rPr>
        <w:t> </w:t>
      </w:r>
      <w:r>
        <w:rPr>
          <w:spacing w:val="-84"/>
        </w:rPr>
      </w:r>
      <w:r>
        <w:rPr/>
        <w:t>乳腺疾病、骨疾病、儿童生长发育等六种病变完成验证应用。</w:t>
      </w:r>
    </w:p>
    <w:p>
      <w:pPr>
        <w:pStyle w:val="BodyText"/>
        <w:spacing w:line="230" w:lineRule="auto" w:before="57"/>
        <w:ind w:right="1131" w:firstLine="360"/>
        <w:jc w:val="both"/>
      </w:pPr>
      <w:r>
        <w:rPr/>
        <w:t>（</w:t>
      </w:r>
      <w:r>
        <w:rPr>
          <w:rFonts w:ascii="Times New Roman" w:hAnsi="Times New Roman" w:cs="Times New Roman" w:eastAsia="Times New Roman" w:hint="default"/>
        </w:rPr>
        <w:t>v</w:t>
      </w:r>
      <w:r>
        <w:rPr/>
        <w:t>）医学知识图谱平台：公司将进一步研发基于统一标准的医学知识图谱平台。探索医学知识结构化、智能化地表达 </w:t>
      </w:r>
      <w:r>
        <w:rPr>
          <w:spacing w:val="-2"/>
        </w:rPr>
        <w:t>新方法、新算法、新模式，实现医学知识的不断更新迭代。在此基础上利用大数据分析、自然语言处理等前沿技术，建设临</w:t>
      </w:r>
      <w:r>
        <w:rPr>
          <w:spacing w:val="-70"/>
        </w:rPr>
        <w:t> </w:t>
      </w:r>
      <w:r>
        <w:rPr>
          <w:spacing w:val="-70"/>
        </w:rPr>
      </w:r>
      <w:r>
        <w:rPr>
          <w:spacing w:val="-2"/>
        </w:rPr>
        <w:t>床诊断管理系统，及临床决策支持系统（</w:t>
      </w:r>
      <w:r>
        <w:rPr>
          <w:rFonts w:ascii="Times New Roman" w:hAnsi="Times New Roman" w:cs="Times New Roman" w:eastAsia="Times New Roman" w:hint="default"/>
          <w:spacing w:val="-2"/>
        </w:rPr>
        <w:t>CDSS</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月，公司与中国科学院文献情报中心与共同成立的</w:t>
      </w:r>
      <w:r>
        <w:rPr>
          <w:rFonts w:ascii="Times New Roman" w:hAnsi="Times New Roman" w:cs="Times New Roman" w:eastAsia="Times New Roman" w:hint="default"/>
          <w:spacing w:val="-2"/>
        </w:rPr>
        <w:t>“</w:t>
      </w:r>
      <w:r>
        <w:rPr>
          <w:spacing w:val="-2"/>
        </w:rPr>
        <w:t>大数据与计</w:t>
      </w:r>
      <w:r>
        <w:rPr>
          <w:spacing w:val="-49"/>
        </w:rPr>
        <w:t> </w:t>
      </w:r>
      <w:r>
        <w:rPr/>
        <w:t>算智能联合实验室</w:t>
      </w:r>
      <w:r>
        <w:rPr>
          <w:rFonts w:ascii="Times New Roman" w:hAnsi="Times New Roman" w:cs="Times New Roman" w:eastAsia="Times New Roman" w:hint="default"/>
        </w:rPr>
        <w:t>“</w:t>
      </w:r>
      <w:r>
        <w:rPr/>
        <w:t>，致力于人工智能、大数据等前沿技术研究，以及与医疗场景的融合落地。</w:t>
      </w:r>
      <w:r>
        <w:rPr>
          <w:rFonts w:ascii="Times New Roman" w:hAnsi="Times New Roman" w:cs="Times New Roman" w:eastAsia="Times New Roman" w:hint="default"/>
        </w:rPr>
        <w:t>2020</w:t>
      </w:r>
      <w:r>
        <w:rPr/>
        <w:t>年，将陆续组织研究团</w:t>
      </w:r>
      <w:r>
        <w:rPr>
          <w:spacing w:val="-75"/>
        </w:rPr>
        <w:t> </w:t>
      </w:r>
      <w:r>
        <w:rPr>
          <w:spacing w:val="-75"/>
        </w:rPr>
      </w:r>
      <w:r>
        <w:rPr>
          <w:spacing w:val="-2"/>
        </w:rPr>
        <w:t>队，重点突破医学语音识别、自然语言处理、医疗影像分析、医学数据挖掘等方向技术壁垒，获得更多自主知识产权产品及</w:t>
      </w:r>
      <w:r>
        <w:rPr>
          <w:spacing w:val="-67"/>
        </w:rPr>
        <w:t> </w:t>
      </w:r>
      <w:r>
        <w:rPr>
          <w:spacing w:val="-67"/>
        </w:rPr>
      </w:r>
      <w:r>
        <w:rPr/>
        <w:t>专利著作权。</w:t>
      </w:r>
    </w:p>
    <w:p>
      <w:pPr>
        <w:pStyle w:val="BodyText"/>
        <w:spacing w:line="230" w:lineRule="auto" w:before="57"/>
        <w:ind w:right="1131" w:firstLine="360"/>
        <w:jc w:val="both"/>
      </w:pPr>
      <w:r>
        <w:rPr/>
        <w:t>（</w:t>
      </w:r>
      <w:r>
        <w:rPr>
          <w:rFonts w:ascii="Times New Roman" w:hAnsi="Times New Roman" w:cs="Times New Roman" w:eastAsia="Times New Roman" w:hint="default"/>
        </w:rPr>
        <w:t>vi</w:t>
      </w:r>
      <w:r>
        <w:rPr/>
        <w:t>）医疗健康区块链：公司将进一步落实国家关于区块链的政策引导，探索</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在医疗健康领域的更多应用， </w:t>
      </w:r>
      <w:r>
        <w:rPr>
          <w:spacing w:val="-2"/>
        </w:rPr>
        <w:t>推动卫生健康服务模式发展创新，努力构建一个更加智能的医疗大健康生态，助力</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w:t>
      </w:r>
      <w:r>
        <w:rPr>
          <w:spacing w:val="-2"/>
        </w:rPr>
        <w:t>建设。通过区块链为纽带，形</w:t>
      </w:r>
      <w:r>
        <w:rPr>
          <w:spacing w:val="-43"/>
        </w:rPr>
        <w:t> </w:t>
      </w:r>
      <w:r>
        <w:rPr>
          <w:spacing w:val="-43"/>
        </w:rPr>
      </w:r>
      <w:r>
        <w:rPr>
          <w:spacing w:val="-2"/>
        </w:rPr>
        <w:t>成信息互联互通、数据合理利用的技术解决方案，解决数据应用安全、数据权力、数据交换、数据存证和溯源等行业数据应</w:t>
      </w:r>
      <w:r>
        <w:rPr>
          <w:spacing w:val="-67"/>
        </w:rPr>
        <w:t> </w:t>
      </w:r>
      <w:r>
        <w:rPr>
          <w:spacing w:val="-67"/>
        </w:rPr>
      </w:r>
      <w:r>
        <w:rPr/>
        <w:t>用痛点，助力互联网</w:t>
      </w:r>
      <w:r>
        <w:rPr>
          <w:rFonts w:ascii="Times New Roman" w:hAnsi="Times New Roman" w:cs="Times New Roman" w:eastAsia="Times New Roman" w:hint="default"/>
        </w:rPr>
        <w:t>+</w:t>
      </w:r>
      <w:r>
        <w:rPr/>
        <w:t>医疗健康安全保障支撑体系建设。</w:t>
      </w:r>
    </w:p>
    <w:p>
      <w:pPr>
        <w:spacing w:line="392" w:lineRule="exact" w:before="38"/>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）聚焦智慧城市，发挥协同效应、推进数字化城市建设</w:t>
      </w:r>
      <w:r>
        <w:rPr>
          <w:rFonts w:ascii="宋体" w:hAnsi="宋体" w:cs="宋体" w:eastAsia="宋体" w:hint="default"/>
          <w:b/>
          <w:bCs/>
          <w:w w:val="99"/>
          <w:sz w:val="18"/>
          <w:szCs w:val="18"/>
        </w:rPr>
        <w:t> </w:t>
      </w:r>
      <w:r>
        <w:rPr>
          <w:rFonts w:ascii="宋体" w:hAnsi="宋体" w:cs="宋体" w:eastAsia="宋体" w:hint="default"/>
          <w:sz w:val="18"/>
          <w:szCs w:val="18"/>
        </w:rPr>
        <w:t>国家政策红利的持续释放极大地推动了智慧城市的发展，我国当前已经有超过</w:t>
      </w:r>
      <w:r>
        <w:rPr>
          <w:rFonts w:ascii="Times New Roman" w:hAnsi="Times New Roman" w:cs="Times New Roman" w:eastAsia="Times New Roman" w:hint="default"/>
          <w:sz w:val="18"/>
          <w:szCs w:val="18"/>
        </w:rPr>
        <w:t>700</w:t>
      </w:r>
      <w:r>
        <w:rPr>
          <w:rFonts w:ascii="宋体" w:hAnsi="宋体" w:cs="宋体" w:eastAsia="宋体" w:hint="default"/>
          <w:sz w:val="18"/>
          <w:szCs w:val="18"/>
        </w:rPr>
        <w:t>多个城市正在建设或准备建设智慧城</w:t>
      </w:r>
    </w:p>
    <w:p>
      <w:pPr>
        <w:pStyle w:val="BodyText"/>
        <w:spacing w:line="178" w:lineRule="exact"/>
        <w:ind w:right="986"/>
        <w:jc w:val="left"/>
      </w:pPr>
      <w:r>
        <w:rPr/>
        <w:t>市，行业整体发展迅速，市场规模不断增长。东华云和东华智慧城市集团充分发挥与腾讯的战略协同效应，不断完善以云计</w:t>
      </w:r>
    </w:p>
    <w:p>
      <w:pPr>
        <w:pStyle w:val="BodyText"/>
        <w:spacing w:line="237" w:lineRule="auto"/>
        <w:ind w:right="986"/>
        <w:jc w:val="left"/>
      </w:pPr>
      <w:r>
        <w:rPr>
          <w:spacing w:val="-4"/>
        </w:rPr>
        <w:t>算为基础的产品与服务能力，持续深耕数字政府、社会治理、智慧产业三大主营业务版图，全面提升在数字政府和未来城市、</w:t>
      </w:r>
      <w:r>
        <w:rPr>
          <w:spacing w:val="-46"/>
        </w:rPr>
        <w:t> </w:t>
      </w:r>
      <w:r>
        <w:rPr>
          <w:spacing w:val="-46"/>
        </w:rPr>
      </w:r>
      <w:r>
        <w:rPr>
          <w:spacing w:val="-2"/>
        </w:rPr>
        <w:t>智慧应急安全、智慧文旅和数字农业农村四大细分行业领域的核心竞争力与市场影响力，赋能智慧城市高效发展，为推动我</w:t>
      </w:r>
      <w:r>
        <w:rPr>
          <w:spacing w:val="-61"/>
        </w:rPr>
        <w:t> </w:t>
      </w:r>
      <w:r>
        <w:rPr>
          <w:spacing w:val="-61"/>
        </w:rPr>
      </w:r>
      <w:r>
        <w:rPr/>
        <w:t>国数字化城市建设贡献智慧和力量。</w:t>
      </w:r>
    </w:p>
    <w:p>
      <w:pPr>
        <w:pStyle w:val="BodyText"/>
        <w:spacing w:line="232" w:lineRule="exact" w:before="73"/>
        <w:ind w:right="1129" w:firstLine="360"/>
        <w:jc w:val="both"/>
      </w:pPr>
      <w:r>
        <w:rPr/>
        <w:t>在</w:t>
      </w:r>
      <w:r>
        <w:rPr>
          <w:rFonts w:ascii="Times New Roman" w:hAnsi="Times New Roman" w:cs="Times New Roman" w:eastAsia="Times New Roman" w:hint="default"/>
        </w:rPr>
        <w:t>2019</w:t>
      </w:r>
      <w:r>
        <w:rPr/>
        <w:t>年，智慧城市集团联合腾讯云相继成功中标了成都天府绿道、长沙超级大脑、平潭智慧文旅、江门</w:t>
      </w:r>
      <w:r>
        <w:rPr>
          <w:rFonts w:ascii="Times New Roman" w:hAnsi="Times New Roman" w:cs="Times New Roman" w:eastAsia="Times New Roman" w:hint="default"/>
        </w:rPr>
        <w:t>WeCity</w:t>
      </w:r>
      <w:r>
        <w:rPr/>
        <w:t>等多</w:t>
      </w:r>
      <w:r>
        <w:rPr>
          <w:spacing w:val="2"/>
        </w:rPr>
        <w:t> </w:t>
      </w:r>
      <w:r>
        <w:rPr>
          <w:spacing w:val="-1"/>
        </w:rPr>
        <w:t>个</w:t>
      </w:r>
      <w:r>
        <w:rPr>
          <w:rFonts w:ascii="Times New Roman" w:hAnsi="Times New Roman" w:cs="Times New Roman" w:eastAsia="Times New Roman" w:hint="default"/>
          <w:spacing w:val="-1"/>
        </w:rPr>
        <w:t>“</w:t>
      </w:r>
      <w:r>
        <w:rPr>
          <w:spacing w:val="-1"/>
        </w:rPr>
        <w:t>亿级</w:t>
      </w:r>
      <w:r>
        <w:rPr>
          <w:rFonts w:ascii="Times New Roman" w:hAnsi="Times New Roman" w:cs="Times New Roman" w:eastAsia="Times New Roman" w:hint="default"/>
          <w:spacing w:val="-1"/>
        </w:rPr>
        <w:t>”</w:t>
      </w:r>
      <w:r>
        <w:rPr>
          <w:spacing w:val="-1"/>
        </w:rPr>
        <w:t>智慧城市典型项目，打造以</w:t>
      </w:r>
      <w:r>
        <w:rPr>
          <w:rFonts w:ascii="Times New Roman" w:hAnsi="Times New Roman" w:cs="Times New Roman" w:eastAsia="Times New Roman" w:hint="default"/>
          <w:spacing w:val="-1"/>
        </w:rPr>
        <w:t>C2B</w:t>
      </w:r>
      <w:r>
        <w:rPr>
          <w:spacing w:val="-1"/>
        </w:rPr>
        <w:t>有效连接为核心的交付及运营能力，不断拓展业务版图，持续发力产业互联网，助</w:t>
      </w:r>
      <w:r>
        <w:rPr>
          <w:spacing w:val="-68"/>
        </w:rPr>
        <w:t> </w:t>
      </w:r>
      <w:r>
        <w:rPr>
          <w:spacing w:val="-68"/>
        </w:rPr>
      </w:r>
      <w:r>
        <w:rPr/>
        <w:t>力省市县多维度智慧城市建设。</w:t>
      </w:r>
    </w:p>
    <w:p>
      <w:pPr>
        <w:spacing w:after="0" w:line="232" w:lineRule="exact"/>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30" w:lineRule="auto" w:before="53"/>
        <w:ind w:right="1129" w:firstLine="360"/>
        <w:jc w:val="both"/>
      </w:pPr>
      <w:r>
        <w:rPr>
          <w:spacing w:val="-2"/>
        </w:rPr>
        <w:t>在本次新冠疫情抗击战中，东华智慧城市集团凭借强大的团队实力，依托丰富的行业经验和产品规划、技术研发攻关及</w:t>
      </w:r>
      <w:r>
        <w:rPr/>
        <w:t> </w:t>
      </w:r>
      <w:r>
        <w:rPr>
          <w:spacing w:val="-2"/>
        </w:rPr>
        <w:t>运营交付能力，建立快速响应机制，全面融入疫情防控的主战场，为抗疫战线提供精准高效服务，在多领域为抗击疫情作出</w:t>
      </w:r>
      <w:r>
        <w:rPr>
          <w:spacing w:val="-65"/>
        </w:rPr>
        <w:t> </w:t>
      </w:r>
      <w:r>
        <w:rPr>
          <w:spacing w:val="-65"/>
        </w:rPr>
      </w:r>
      <w:r>
        <w:rPr>
          <w:spacing w:val="-1"/>
        </w:rPr>
        <w:t>贡献，用</w:t>
      </w:r>
      <w:r>
        <w:rPr>
          <w:rFonts w:ascii="Times New Roman" w:hAnsi="Times New Roman" w:cs="Times New Roman" w:eastAsia="Times New Roman" w:hint="default"/>
          <w:spacing w:val="-1"/>
        </w:rPr>
        <w:t>“</w:t>
      </w:r>
      <w:r>
        <w:rPr>
          <w:spacing w:val="-1"/>
        </w:rPr>
        <w:t>东华速度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数字化武器</w:t>
      </w:r>
      <w:r>
        <w:rPr>
          <w:rFonts w:ascii="Times New Roman" w:hAnsi="Times New Roman" w:cs="Times New Roman" w:eastAsia="Times New Roman" w:hint="default"/>
          <w:spacing w:val="-1"/>
        </w:rPr>
        <w:t>”</w:t>
      </w:r>
      <w:r>
        <w:rPr>
          <w:spacing w:val="-1"/>
        </w:rPr>
        <w:t>助力政府和企业构筑</w:t>
      </w:r>
      <w:r>
        <w:rPr>
          <w:rFonts w:ascii="Times New Roman" w:hAnsi="Times New Roman" w:cs="Times New Roman" w:eastAsia="Times New Roman" w:hint="default"/>
          <w:spacing w:val="-1"/>
        </w:rPr>
        <w:t>“</w:t>
      </w:r>
      <w:r>
        <w:rPr>
          <w:spacing w:val="-1"/>
        </w:rPr>
        <w:t>数字防疫堡垒</w:t>
      </w:r>
      <w:r>
        <w:rPr>
          <w:rFonts w:ascii="Times New Roman" w:hAnsi="Times New Roman" w:cs="Times New Roman" w:eastAsia="Times New Roman" w:hint="default"/>
          <w:spacing w:val="-1"/>
        </w:rPr>
        <w:t>”</w:t>
      </w:r>
      <w:r>
        <w:rPr>
          <w:spacing w:val="-1"/>
        </w:rPr>
        <w:t>。如集团联合腾讯积极推进全国多地一体化政务服</w:t>
      </w:r>
      <w:r>
        <w:rPr>
          <w:spacing w:val="-58"/>
        </w:rPr>
        <w:t> </w:t>
      </w:r>
      <w:r>
        <w:rPr>
          <w:spacing w:val="-58"/>
        </w:rPr>
      </w:r>
      <w:r>
        <w:rPr>
          <w:spacing w:val="-2"/>
        </w:rPr>
        <w:t>务平台疫情防控</w:t>
      </w:r>
      <w:r>
        <w:rPr>
          <w:rFonts w:ascii="Times New Roman" w:hAnsi="Times New Roman" w:cs="Times New Roman" w:eastAsia="Times New Roman" w:hint="default"/>
          <w:spacing w:val="-2"/>
        </w:rPr>
        <w:t>“</w:t>
      </w:r>
      <w:r>
        <w:rPr>
          <w:spacing w:val="-2"/>
        </w:rPr>
        <w:t>健康码</w:t>
      </w:r>
      <w:r>
        <w:rPr>
          <w:rFonts w:ascii="Times New Roman" w:hAnsi="Times New Roman" w:cs="Times New Roman" w:eastAsia="Times New Roman" w:hint="default"/>
          <w:spacing w:val="-2"/>
        </w:rPr>
        <w:t>”</w:t>
      </w:r>
      <w:r>
        <w:rPr>
          <w:spacing w:val="-2"/>
        </w:rPr>
        <w:t>建设，协助</w:t>
      </w:r>
      <w:r>
        <w:rPr>
          <w:rFonts w:ascii="Times New Roman" w:hAnsi="Times New Roman" w:cs="Times New Roman" w:eastAsia="Times New Roman" w:hint="default"/>
          <w:spacing w:val="-2"/>
        </w:rPr>
        <w:t>20</w:t>
      </w:r>
      <w:r>
        <w:rPr>
          <w:spacing w:val="-2"/>
        </w:rPr>
        <w:t>多个省市区上线疫情小程序，为</w:t>
      </w:r>
      <w:r>
        <w:rPr>
          <w:rFonts w:ascii="Times New Roman" w:hAnsi="Times New Roman" w:cs="Times New Roman" w:eastAsia="Times New Roman" w:hint="default"/>
          <w:spacing w:val="-2"/>
        </w:rPr>
        <w:t>5,000</w:t>
      </w:r>
      <w:r>
        <w:rPr>
          <w:spacing w:val="-2"/>
        </w:rPr>
        <w:t>余个村庄及社区上线</w:t>
      </w:r>
      <w:r>
        <w:rPr>
          <w:rFonts w:ascii="Times New Roman" w:hAnsi="Times New Roman" w:cs="Times New Roman" w:eastAsia="Times New Roman" w:hint="default"/>
          <w:spacing w:val="-2"/>
        </w:rPr>
        <w:t>“</w:t>
      </w:r>
      <w:r>
        <w:rPr>
          <w:spacing w:val="-2"/>
        </w:rPr>
        <w:t>数村</w:t>
      </w:r>
      <w:r>
        <w:rPr>
          <w:rFonts w:ascii="Times New Roman" w:hAnsi="Times New Roman" w:cs="Times New Roman" w:eastAsia="Times New Roman" w:hint="default"/>
          <w:spacing w:val="-2"/>
        </w:rPr>
        <w:t>”</w:t>
      </w:r>
      <w:r>
        <w:rPr>
          <w:spacing w:val="-2"/>
        </w:rPr>
        <w:t>抗疫平台，为安徽省</w:t>
      </w:r>
      <w:r>
        <w:rPr>
          <w:spacing w:val="-61"/>
        </w:rPr>
        <w:t> </w:t>
      </w:r>
      <w:r>
        <w:rPr>
          <w:spacing w:val="-61"/>
        </w:rPr>
      </w:r>
      <w:r>
        <w:rPr/>
        <w:t>公安厅上线访问量过百万的</w:t>
      </w:r>
      <w:r>
        <w:rPr>
          <w:rFonts w:ascii="Times New Roman" w:hAnsi="Times New Roman" w:cs="Times New Roman" w:eastAsia="Times New Roman" w:hint="default"/>
        </w:rPr>
        <w:t>“</w:t>
      </w:r>
      <w:r>
        <w:rPr/>
        <w:t>皖校康</w:t>
      </w:r>
      <w:r>
        <w:rPr>
          <w:rFonts w:ascii="Times New Roman" w:hAnsi="Times New Roman" w:cs="Times New Roman" w:eastAsia="Times New Roman" w:hint="default"/>
        </w:rPr>
        <w:t>”</w:t>
      </w:r>
      <w:r>
        <w:rPr/>
        <w:t>高校疫情小程序，为国家交通运输部上线</w:t>
      </w:r>
      <w:r>
        <w:rPr>
          <w:rFonts w:ascii="Times New Roman" w:hAnsi="Times New Roman" w:cs="Times New Roman" w:eastAsia="Times New Roman" w:hint="default"/>
        </w:rPr>
        <w:t>“</w:t>
      </w:r>
      <w:r>
        <w:rPr/>
        <w:t>高速应急服务</w:t>
      </w:r>
      <w:r>
        <w:rPr>
          <w:rFonts w:ascii="Times New Roman" w:hAnsi="Times New Roman" w:cs="Times New Roman" w:eastAsia="Times New Roman" w:hint="default"/>
        </w:rPr>
        <w:t>”</w:t>
      </w:r>
      <w:r>
        <w:rPr/>
        <w:t>、为首都机场上线</w:t>
      </w:r>
      <w:r>
        <w:rPr>
          <w:rFonts w:ascii="Times New Roman" w:hAnsi="Times New Roman" w:cs="Times New Roman" w:eastAsia="Times New Roman" w:hint="default"/>
        </w:rPr>
        <w:t>”</w:t>
      </w:r>
      <w:r>
        <w:rPr/>
        <w:t>企业微信</w:t>
      </w:r>
      <w:r>
        <w:rPr>
          <w:spacing w:val="-38"/>
        </w:rPr>
        <w:t> </w:t>
      </w:r>
      <w:r>
        <w:rPr>
          <w:rFonts w:ascii="Times New Roman" w:hAnsi="Times New Roman" w:cs="Times New Roman" w:eastAsia="Times New Roman" w:hint="default"/>
        </w:rPr>
        <w:t>“</w:t>
      </w:r>
      <w:r>
        <w:rPr/>
        <w:t>抗疫专版，为广东粤运公司打造</w:t>
      </w:r>
      <w:r>
        <w:rPr>
          <w:rFonts w:ascii="Times New Roman" w:hAnsi="Times New Roman" w:cs="Times New Roman" w:eastAsia="Times New Roman" w:hint="default"/>
        </w:rPr>
        <w:t>”</w:t>
      </w:r>
      <w:r>
        <w:rPr/>
        <w:t>粤运悦行</w:t>
      </w:r>
      <w:r>
        <w:rPr>
          <w:rFonts w:ascii="Times New Roman" w:hAnsi="Times New Roman" w:cs="Times New Roman" w:eastAsia="Times New Roman" w:hint="default"/>
        </w:rPr>
        <w:t>“</w:t>
      </w:r>
      <w:r>
        <w:rPr/>
        <w:t>通勤防疫小程序、为企业复工复产推出</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复者</w:t>
      </w:r>
      <w:r>
        <w:rPr>
          <w:rFonts w:ascii="Times New Roman" w:hAnsi="Times New Roman" w:cs="Times New Roman" w:eastAsia="Times New Roman" w:hint="default"/>
        </w:rPr>
        <w:t>“</w:t>
      </w:r>
      <w:r>
        <w:rPr/>
        <w:t>系列云服务产品等，在危机时 刻充分展现了公司的社会责任与实力担当。</w:t>
      </w:r>
    </w:p>
    <w:p>
      <w:pPr>
        <w:pStyle w:val="BodyText"/>
        <w:spacing w:line="232" w:lineRule="exact" w:before="73"/>
        <w:ind w:right="1133" w:firstLine="360"/>
        <w:jc w:val="both"/>
      </w:pPr>
      <w:r>
        <w:rPr>
          <w:spacing w:val="-2"/>
        </w:rPr>
        <w:t>未来，公司的智慧城市板块将遵循科学规律、依托政策支持、利用市场手段，以数据治理为基础，内生智慧城市运营管</w:t>
      </w:r>
      <w:r>
        <w:rPr/>
        <w:t> </w:t>
      </w:r>
      <w:r>
        <w:rPr>
          <w:spacing w:val="-2"/>
        </w:rPr>
        <w:t>理，外延智慧产业链建设与发展，优化产业结构，打造地方社会经济新引擎。同时，公司将紧抓产业互联网的发展趋势，积</w:t>
      </w:r>
      <w:r>
        <w:rPr>
          <w:spacing w:val="-68"/>
        </w:rPr>
        <w:t> </w:t>
      </w:r>
      <w:r>
        <w:rPr>
          <w:spacing w:val="-68"/>
        </w:rPr>
      </w:r>
      <w:r>
        <w:rPr/>
        <w:t>极助力城市转型升级，打造产业发展新动能。</w:t>
      </w:r>
    </w:p>
    <w:p>
      <w:pPr>
        <w:spacing w:line="370" w:lineRule="atLeast" w:before="11"/>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）发力智慧金融，打造全栈式金融服务体系</w:t>
      </w:r>
      <w:r>
        <w:rPr>
          <w:rFonts w:ascii="宋体" w:hAnsi="宋体" w:cs="宋体" w:eastAsia="宋体" w:hint="default"/>
          <w:b/>
          <w:bCs/>
          <w:w w:val="99"/>
          <w:sz w:val="18"/>
          <w:szCs w:val="18"/>
        </w:rPr>
        <w:t> </w:t>
      </w:r>
      <w:r>
        <w:rPr>
          <w:rFonts w:ascii="宋体" w:hAnsi="宋体" w:cs="宋体" w:eastAsia="宋体" w:hint="default"/>
          <w:spacing w:val="-2"/>
          <w:sz w:val="18"/>
          <w:szCs w:val="18"/>
        </w:rPr>
        <w:t>随着信息技术的运算速度及新技术的出现速度不断加快，金融与科技连年保持高速的共生式成长，金融科技行业规模不</w:t>
      </w:r>
    </w:p>
    <w:p>
      <w:pPr>
        <w:pStyle w:val="BodyText"/>
        <w:spacing w:line="232" w:lineRule="auto" w:before="3"/>
        <w:ind w:right="1133"/>
        <w:jc w:val="both"/>
      </w:pPr>
      <w:r>
        <w:rPr>
          <w:spacing w:val="-2"/>
        </w:rPr>
        <w:t>断扩张，场景应用日渐丰富。公司作为智慧金融行业的领军企业之一，将依托深耕行业多年积累的项目经验和客户资源，充</w:t>
      </w:r>
      <w:r>
        <w:rPr>
          <w:spacing w:val="-66"/>
        </w:rPr>
        <w:t> </w:t>
      </w:r>
      <w:r>
        <w:rPr>
          <w:spacing w:val="-66"/>
        </w:rPr>
      </w:r>
      <w:r>
        <w:rPr/>
        <w:t>分利用大数据、人工智能、云计算、</w:t>
      </w:r>
      <w:r>
        <w:rPr>
          <w:rFonts w:ascii="Times New Roman" w:hAnsi="Times New Roman" w:cs="Times New Roman" w:eastAsia="Times New Roman" w:hint="default"/>
        </w:rPr>
        <w:t>5G</w:t>
      </w:r>
      <w:r>
        <w:rPr/>
        <w:t>、区块链、数字货币等前沿技术，联合腾讯、华为等战略合作伙伴，持续强化公司</w:t>
      </w:r>
      <w:r>
        <w:rPr>
          <w:spacing w:val="-41"/>
        </w:rPr>
        <w:t> </w:t>
      </w:r>
      <w:r>
        <w:rPr>
          <w:spacing w:val="-41"/>
        </w:rPr>
      </w:r>
      <w:r>
        <w:rPr/>
        <w:t>在行业的核心竞争力，为市场打造优秀的产品、提供高质量的服务，树立软件行业里金融科技服务商的品牌标杆。</w:t>
      </w:r>
    </w:p>
    <w:p>
      <w:pPr>
        <w:pStyle w:val="BodyText"/>
        <w:spacing w:line="230" w:lineRule="auto" w:before="57"/>
        <w:ind w:right="1128" w:firstLine="360"/>
        <w:jc w:val="both"/>
      </w:pPr>
      <w:r>
        <w:rPr>
          <w:spacing w:val="-3"/>
        </w:rPr>
        <w:t>在服务领域上，随着金融改革逐步深入以及金融行业竞争白热化，金融行业对金融服务有更高的要求，东华软件打造</w:t>
      </w:r>
      <w:r>
        <w:rPr>
          <w:rFonts w:ascii="Times New Roman" w:hAnsi="Times New Roman" w:cs="Times New Roman" w:eastAsia="Times New Roman" w:hint="default"/>
          <w:spacing w:val="-3"/>
        </w:rPr>
        <w:t>“</w:t>
      </w:r>
      <w:r>
        <w:rPr>
          <w:spacing w:val="-3"/>
        </w:rPr>
        <w:t>金</w:t>
      </w:r>
      <w:r>
        <w:rPr/>
        <w:t> 融智脑</w:t>
      </w:r>
      <w:r>
        <w:rPr>
          <w:rFonts w:ascii="Times New Roman" w:hAnsi="Times New Roman" w:cs="Times New Roman" w:eastAsia="Times New Roman" w:hint="default"/>
        </w:rPr>
        <w:t>”</w:t>
      </w:r>
      <w:r>
        <w:rPr/>
        <w:t>系列行业解决方案，快速提供金融服务手段；</w:t>
      </w:r>
      <w:r>
        <w:rPr>
          <w:rFonts w:ascii="Times New Roman" w:hAnsi="Times New Roman" w:cs="Times New Roman" w:eastAsia="Times New Roman" w:hint="default"/>
        </w:rPr>
        <w:t>“</w:t>
      </w:r>
      <w:r>
        <w:rPr/>
        <w:t>金融智脑</w:t>
      </w:r>
      <w:r>
        <w:rPr>
          <w:rFonts w:ascii="Times New Roman" w:hAnsi="Times New Roman" w:cs="Times New Roman" w:eastAsia="Times New Roman" w:hint="default"/>
        </w:rPr>
        <w:t>”</w:t>
      </w:r>
      <w:r>
        <w:rPr/>
        <w:t>主要依托金融核算大脑、金融数据大脑、金融服务大脑为</w:t>
      </w:r>
      <w:r>
        <w:rPr>
          <w:spacing w:val="-58"/>
        </w:rPr>
        <w:t> </w:t>
      </w:r>
      <w:r>
        <w:rPr>
          <w:spacing w:val="-58"/>
        </w:rPr>
      </w:r>
      <w:r>
        <w:rPr>
          <w:spacing w:val="-2"/>
        </w:rPr>
        <w:t>基础构建金融服务平台和工具，能过快速在传统业务、互联网金融、普惠金融、消费金融、不良资产、融资租赁和投融资等</w:t>
      </w:r>
      <w:r>
        <w:rPr>
          <w:spacing w:val="-65"/>
        </w:rPr>
        <w:t> </w:t>
      </w:r>
      <w:r>
        <w:rPr>
          <w:spacing w:val="-65"/>
        </w:rPr>
      </w:r>
      <w:r>
        <w:rPr>
          <w:spacing w:val="-2"/>
        </w:rPr>
        <w:t>不同领域提供服务核算、产品创新、运营、风控、营销等各方面能力，致力打造解决银行痛点问题、轻实施、低风险、客户</w:t>
      </w:r>
      <w:r>
        <w:rPr>
          <w:spacing w:val="-68"/>
        </w:rPr>
        <w:t> </w:t>
      </w:r>
      <w:r>
        <w:rPr>
          <w:spacing w:val="-68"/>
        </w:rPr>
      </w:r>
      <w:r>
        <w:rPr/>
        <w:t>体验好的金融产品和方案，为金融行业及其细分子行业提供个性化和精细化服务。</w:t>
      </w:r>
    </w:p>
    <w:p>
      <w:pPr>
        <w:pStyle w:val="BodyText"/>
        <w:spacing w:line="237" w:lineRule="auto" w:before="50"/>
        <w:ind w:right="1130" w:firstLine="360"/>
        <w:jc w:val="both"/>
      </w:pPr>
      <w:r>
        <w:rPr>
          <w:spacing w:val="-2"/>
        </w:rPr>
        <w:t>在客户范围上，公司将秉承广度与深度全覆盖的策略，持续为客户提供优秀的服务，提升新老客户的体验满意度。从客</w:t>
      </w:r>
      <w:r>
        <w:rPr/>
        <w:t> </w:t>
      </w:r>
      <w:r>
        <w:rPr>
          <w:spacing w:val="-2"/>
        </w:rPr>
        <w:t>户广度来看，公司客户覆盖遍布银行、保险、证券、消费金融、租赁公司、信托公司、财务公司、互联网金融、不良资产公</w:t>
      </w:r>
      <w:r>
        <w:rPr>
          <w:spacing w:val="-68"/>
        </w:rPr>
        <w:t> </w:t>
      </w:r>
      <w:r>
        <w:rPr>
          <w:spacing w:val="-68"/>
        </w:rPr>
      </w:r>
      <w:r>
        <w:rPr>
          <w:spacing w:val="-2"/>
        </w:rPr>
        <w:t>司等金融和非金融行业，未来将继续加强与各类金融客户的业务合作与协同。从客户深度来看，公司针对银行领域为国有银</w:t>
      </w:r>
      <w:r>
        <w:rPr>
          <w:spacing w:val="-63"/>
        </w:rPr>
        <w:t> </w:t>
      </w:r>
      <w:r>
        <w:rPr>
          <w:spacing w:val="-63"/>
        </w:rPr>
      </w:r>
      <w:r>
        <w:rPr>
          <w:spacing w:val="-2"/>
        </w:rPr>
        <w:t>行、股份制银行、政策银行、城市商业银行、农村信用社、民营银行以及村镇银行提供差异化服务，满足不同类型银行的个</w:t>
      </w:r>
      <w:r>
        <w:rPr>
          <w:spacing w:val="-69"/>
        </w:rPr>
        <w:t> </w:t>
      </w:r>
      <w:r>
        <w:rPr>
          <w:spacing w:val="-69"/>
        </w:rPr>
      </w:r>
      <w:r>
        <w:rPr/>
        <w:t>性化需求。</w:t>
      </w:r>
    </w:p>
    <w:p>
      <w:pPr>
        <w:spacing w:line="370" w:lineRule="atLeast" w:before="3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、完善激励与管理制度，加强人才队伍建设</w:t>
      </w:r>
      <w:r>
        <w:rPr>
          <w:rFonts w:ascii="宋体" w:hAnsi="宋体" w:cs="宋体" w:eastAsia="宋体" w:hint="default"/>
          <w:b/>
          <w:bCs/>
          <w:w w:val="99"/>
          <w:sz w:val="18"/>
          <w:szCs w:val="18"/>
        </w:rPr>
        <w:t> </w:t>
      </w:r>
      <w:r>
        <w:rPr>
          <w:rFonts w:ascii="宋体" w:hAnsi="宋体" w:cs="宋体" w:eastAsia="宋体" w:hint="default"/>
          <w:spacing w:val="-4"/>
          <w:sz w:val="18"/>
          <w:szCs w:val="18"/>
        </w:rPr>
        <w:t>创新人才队伍的建设是企业创新的发展基础，是保障可持续发展的不竭动力。随着公司的企业规模和人员数量不断扩大，</w:t>
      </w:r>
    </w:p>
    <w:p>
      <w:pPr>
        <w:pStyle w:val="BodyText"/>
        <w:spacing w:line="232" w:lineRule="exact" w:before="24"/>
        <w:ind w:right="1130"/>
        <w:jc w:val="both"/>
      </w:pPr>
      <w:r>
        <w:rPr>
          <w:spacing w:val="-2"/>
        </w:rPr>
        <w:t>公司将本着员工与企业共同发展的理念，持续完善企业内部激励机制，继续筹划与实施员工持股、兜底式增持计划等激励工</w:t>
      </w:r>
      <w:r>
        <w:rPr>
          <w:spacing w:val="-63"/>
        </w:rPr>
        <w:t> </w:t>
      </w:r>
      <w:r>
        <w:rPr>
          <w:spacing w:val="-63"/>
        </w:rPr>
      </w:r>
      <w:r>
        <w:rPr>
          <w:spacing w:val="-2"/>
        </w:rPr>
        <w:t>作。同时，公司将进一步完善人才培养计划和内部管理流程，引进业内的优秀人才，提升员工的工作效率与专业素养，助力</w:t>
      </w:r>
      <w:r>
        <w:rPr>
          <w:spacing w:val="-67"/>
        </w:rPr>
        <w:t> </w:t>
      </w:r>
      <w:r>
        <w:rPr>
          <w:spacing w:val="-67"/>
        </w:rPr>
      </w:r>
      <w:r>
        <w:rPr/>
        <w:t>企业长期健康发展。</w:t>
      </w:r>
    </w:p>
    <w:p>
      <w:pPr>
        <w:pStyle w:val="Heading5"/>
        <w:spacing w:line="240" w:lineRule="auto" w:before="132"/>
        <w:ind w:right="986"/>
        <w:jc w:val="left"/>
        <w:rPr>
          <w:b w:val="0"/>
          <w:bCs w:val="0"/>
        </w:rPr>
      </w:pPr>
      <w:r>
        <w:rPr/>
        <w:t>（四）公司面临的风险</w:t>
      </w:r>
      <w:r>
        <w:rPr>
          <w:b w:val="0"/>
          <w:bCs w:val="0"/>
        </w:rPr>
      </w:r>
    </w:p>
    <w:p>
      <w:pPr>
        <w:pStyle w:val="BodyText"/>
        <w:spacing w:line="390" w:lineRule="atLeast" w:before="15"/>
        <w:ind w:left="513" w:right="986"/>
        <w:jc w:val="left"/>
      </w:pPr>
      <w:r>
        <w:rPr>
          <w:rFonts w:ascii="Times New Roman" w:hAnsi="Times New Roman" w:cs="Times New Roman" w:eastAsia="Times New Roman" w:hint="default"/>
          <w:b/>
          <w:bCs/>
        </w:rPr>
        <w:t>1</w:t>
      </w:r>
      <w:r>
        <w:rPr>
          <w:rFonts w:ascii="宋体" w:hAnsi="宋体" w:cs="宋体" w:eastAsia="宋体" w:hint="default"/>
          <w:b/>
          <w:bCs/>
        </w:rPr>
        <w:t>、行业政策风险</w:t>
      </w:r>
      <w:r>
        <w:rPr>
          <w:rFonts w:ascii="宋体" w:hAnsi="宋体" w:cs="宋体" w:eastAsia="宋体" w:hint="default"/>
          <w:b/>
          <w:bCs/>
          <w:w w:val="99"/>
        </w:rPr>
        <w:t> </w:t>
      </w:r>
      <w:r>
        <w:rPr>
          <w:spacing w:val="-2"/>
        </w:rPr>
        <w:t>根据</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对国家信息化的规划，在未来一段时期内，我国信息化仍处于持续发展阶段，为大力推动软件、信息技术</w:t>
      </w:r>
    </w:p>
    <w:p>
      <w:pPr>
        <w:pStyle w:val="BodyText"/>
        <w:spacing w:line="219" w:lineRule="exact"/>
        <w:ind w:right="0"/>
        <w:jc w:val="both"/>
      </w:pPr>
      <w:r>
        <w:rPr/>
        <w:t>服务等行业的发展，国家先后颁布财税、研发、知识产权等多项扶持政策，为行业发展创造了良好的环境。如果未来国家产</w:t>
      </w:r>
    </w:p>
    <w:p>
      <w:pPr>
        <w:pStyle w:val="BodyText"/>
        <w:spacing w:line="232" w:lineRule="exact" w:before="24"/>
        <w:ind w:right="1135"/>
        <w:jc w:val="both"/>
      </w:pPr>
      <w:r>
        <w:rPr>
          <w:spacing w:val="-2"/>
        </w:rPr>
        <w:t>业政策出现较大变动，将对公司产生一定程度的影响。公司将会苦练内功，保持技术创新能力，优化产品及解决方案，不断</w:t>
      </w:r>
      <w:r>
        <w:rPr>
          <w:spacing w:val="-67"/>
        </w:rPr>
        <w:t> </w:t>
      </w:r>
      <w:r>
        <w:rPr>
          <w:spacing w:val="-67"/>
        </w:rPr>
      </w:r>
      <w:r>
        <w:rPr/>
        <w:t>提升自身抗风险能力，提高市场竞争力。</w:t>
      </w:r>
    </w:p>
    <w:p>
      <w:pPr>
        <w:pStyle w:val="BodyText"/>
        <w:spacing w:line="370" w:lineRule="atLeast" w:before="12"/>
        <w:ind w:left="513" w:right="1033"/>
        <w:jc w:val="left"/>
      </w:pPr>
      <w:r>
        <w:rPr>
          <w:rFonts w:ascii="Times New Roman" w:hAnsi="Times New Roman" w:cs="Times New Roman" w:eastAsia="Times New Roman" w:hint="default"/>
          <w:b/>
          <w:bCs/>
        </w:rPr>
        <w:t>2</w:t>
      </w:r>
      <w:r>
        <w:rPr>
          <w:rFonts w:ascii="宋体" w:hAnsi="宋体" w:cs="宋体" w:eastAsia="宋体" w:hint="default"/>
          <w:b/>
          <w:bCs/>
        </w:rPr>
        <w:t>、技术风险</w:t>
      </w:r>
      <w:r>
        <w:rPr>
          <w:rFonts w:ascii="宋体" w:hAnsi="宋体" w:cs="宋体" w:eastAsia="宋体" w:hint="default"/>
          <w:b/>
          <w:bCs/>
          <w:w w:val="99"/>
        </w:rPr>
        <w:t> </w:t>
      </w:r>
      <w:r>
        <w:rPr/>
        <w:t>软件及信息技术服务业涉及的产品领域技术含量高、更新迭代快，若不能及时准确把握技术发展趋势和市场需求变化，</w:t>
      </w:r>
    </w:p>
    <w:p>
      <w:pPr>
        <w:pStyle w:val="BodyText"/>
        <w:spacing w:line="232" w:lineRule="exact" w:before="24"/>
        <w:ind w:right="1130"/>
        <w:jc w:val="both"/>
      </w:pPr>
      <w:r>
        <w:rPr>
          <w:spacing w:val="-2"/>
        </w:rPr>
        <w:t>公司将可能丧失市场优势，面临技术创新及产品迭代等压力。为了更好的应对和解决该类问题，公司将全面了解行业技术发</w:t>
      </w:r>
      <w:r>
        <w:rPr>
          <w:spacing w:val="-63"/>
        </w:rPr>
        <w:t> </w:t>
      </w:r>
      <w:r>
        <w:rPr>
          <w:spacing w:val="-63"/>
        </w:rPr>
      </w:r>
      <w:r>
        <w:rPr>
          <w:spacing w:val="-2"/>
        </w:rPr>
        <w:t>展的最新趋势，把握产品和技术研发方向，及时根据市场最新趋势变化和客户需求提出更优质的产品和解决方案，保障产品</w:t>
      </w:r>
      <w:r>
        <w:rPr>
          <w:spacing w:val="-63"/>
        </w:rPr>
        <w:t> </w:t>
      </w:r>
      <w:r>
        <w:rPr>
          <w:spacing w:val="-63"/>
        </w:rPr>
      </w:r>
      <w:r>
        <w:rPr/>
        <w:t>在市场上竞争优势。</w:t>
      </w:r>
    </w:p>
    <w:p>
      <w:pPr>
        <w:pStyle w:val="BodyText"/>
        <w:spacing w:line="370" w:lineRule="atLeast" w:before="11"/>
        <w:ind w:left="513" w:right="986"/>
        <w:jc w:val="left"/>
      </w:pPr>
      <w:r>
        <w:rPr>
          <w:rFonts w:ascii="Times New Roman" w:hAnsi="Times New Roman" w:cs="Times New Roman" w:eastAsia="Times New Roman" w:hint="default"/>
          <w:b/>
          <w:bCs/>
        </w:rPr>
        <w:t>3</w:t>
      </w:r>
      <w:r>
        <w:rPr>
          <w:rFonts w:ascii="宋体" w:hAnsi="宋体" w:cs="宋体" w:eastAsia="宋体" w:hint="default"/>
          <w:b/>
          <w:bCs/>
        </w:rPr>
        <w:t>、市场竞争风险</w:t>
      </w:r>
      <w:r>
        <w:rPr>
          <w:rFonts w:ascii="宋体" w:hAnsi="宋体" w:cs="宋体" w:eastAsia="宋体" w:hint="default"/>
          <w:b/>
          <w:bCs/>
          <w:w w:val="99"/>
        </w:rPr>
        <w:t> </w:t>
      </w:r>
      <w:r>
        <w:rPr>
          <w:spacing w:val="-2"/>
        </w:rPr>
        <w:t>市场已进入充分竞争时代，国内外市场参与者不断涌现，竞争越来越激烈。公司凭借自身高质量软硬件产品和完整的行</w:t>
      </w:r>
    </w:p>
    <w:p>
      <w:pPr>
        <w:pStyle w:val="BodyText"/>
        <w:spacing w:line="232" w:lineRule="exact" w:before="22"/>
        <w:ind w:right="1135"/>
        <w:jc w:val="both"/>
      </w:pPr>
      <w:r>
        <w:rPr>
          <w:spacing w:val="-2"/>
        </w:rPr>
        <w:t>业解决方案优势，在激烈市场竞争中仍占据有利位置。为了能紧跟市场变化，保持竞争优势，面对这一竞争风险，公司将会</w:t>
      </w:r>
      <w:r>
        <w:rPr>
          <w:spacing w:val="-67"/>
        </w:rPr>
        <w:t> </w:t>
      </w:r>
      <w:r>
        <w:rPr>
          <w:spacing w:val="-67"/>
        </w:rPr>
      </w:r>
      <w:r>
        <w:rPr/>
        <w:t>密切跟踪了解行业发展趋势，时刻关注市场动态，采取强有效的策略积极应对，促进公司持续健康良性发展。</w:t>
      </w:r>
    </w:p>
    <w:p>
      <w:pPr>
        <w:pStyle w:val="BodyText"/>
        <w:spacing w:line="370" w:lineRule="atLeast" w:before="11"/>
        <w:ind w:left="513" w:right="1033"/>
        <w:jc w:val="left"/>
      </w:pPr>
      <w:r>
        <w:rPr>
          <w:rFonts w:ascii="Times New Roman" w:hAnsi="Times New Roman" w:cs="Times New Roman" w:eastAsia="Times New Roman" w:hint="default"/>
          <w:b/>
          <w:bCs/>
        </w:rPr>
        <w:t>4</w:t>
      </w:r>
      <w:r>
        <w:rPr>
          <w:rFonts w:ascii="宋体" w:hAnsi="宋体" w:cs="宋体" w:eastAsia="宋体" w:hint="default"/>
          <w:b/>
          <w:bCs/>
        </w:rPr>
        <w:t>、经营管理风险</w:t>
      </w:r>
      <w:r>
        <w:rPr>
          <w:rFonts w:ascii="宋体" w:hAnsi="宋体" w:cs="宋体" w:eastAsia="宋体" w:hint="default"/>
          <w:b/>
          <w:bCs/>
          <w:w w:val="99"/>
        </w:rPr>
        <w:t> </w:t>
      </w:r>
      <w:r>
        <w:rPr/>
        <w:t>随着业务规模的拓展和业务领域的扩大，公司经营决策和控制风险的难度有所加大，这对公司的管理提出了更高要求。</w:t>
      </w:r>
    </w:p>
    <w:p>
      <w:pPr>
        <w:pStyle w:val="BodyText"/>
        <w:spacing w:line="237" w:lineRule="auto"/>
        <w:ind w:right="1131"/>
        <w:jc w:val="both"/>
      </w:pPr>
      <w:r>
        <w:rPr>
          <w:spacing w:val="-2"/>
        </w:rPr>
        <w:t>为了有效应对风险，公司加强了内部沟通机制、建立健全分子公司管理制度，确保公司与公司之间，公司与外部之间能够及</w:t>
      </w:r>
      <w:r>
        <w:rPr>
          <w:spacing w:val="-65"/>
        </w:rPr>
        <w:t> </w:t>
      </w:r>
      <w:r>
        <w:rPr>
          <w:spacing w:val="-65"/>
        </w:rPr>
      </w:r>
      <w:r>
        <w:rPr>
          <w:spacing w:val="-2"/>
        </w:rPr>
        <w:t>时有效传递信息。此外，公司通过各类型培训教育，提高公司管理层特别是核心人员的业务管理和决策能力，打造出高效率</w:t>
      </w:r>
      <w:r>
        <w:rPr>
          <w:spacing w:val="-64"/>
        </w:rPr>
        <w:t> </w:t>
      </w:r>
      <w:r>
        <w:rPr>
          <w:spacing w:val="-64"/>
        </w:rPr>
      </w:r>
      <w:r>
        <w:rPr/>
        <w:t>高素质管理团队。</w:t>
      </w:r>
    </w:p>
    <w:p>
      <w:pPr>
        <w:spacing w:after="0" w:line="237" w:lineRule="auto"/>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Heading5"/>
        <w:spacing w:line="240" w:lineRule="auto" w:before="44"/>
        <w:ind w:right="986"/>
        <w:jc w:val="left"/>
        <w:rPr>
          <w:b w:val="0"/>
          <w:bCs w:val="0"/>
        </w:rPr>
      </w:pPr>
      <w:r>
        <w:rPr>
          <w:rFonts w:ascii="Times New Roman" w:hAnsi="Times New Roman" w:cs="Times New Roman" w:eastAsia="Times New Roman" w:hint="default"/>
        </w:rPr>
        <w:t>5</w:t>
      </w:r>
      <w:r>
        <w:rPr/>
        <w:t>、人才流失风险</w:t>
      </w:r>
      <w:r>
        <w:rPr>
          <w:b w:val="0"/>
          <w:bCs w:val="0"/>
        </w:rPr>
      </w:r>
    </w:p>
    <w:p>
      <w:pPr>
        <w:pStyle w:val="BodyText"/>
        <w:spacing w:line="237" w:lineRule="auto" w:before="141"/>
        <w:ind w:right="1131" w:firstLine="360"/>
        <w:jc w:val="both"/>
      </w:pPr>
      <w:r>
        <w:rPr>
          <w:spacing w:val="-2"/>
        </w:rPr>
        <w:t>公司作为涉及综合性行业应用软件开发和信息技术服务业务的高新技术企业，人才的储备对公司发展十分重要，在激烈</w:t>
      </w:r>
      <w:r>
        <w:rPr/>
        <w:t> </w:t>
      </w:r>
      <w:r>
        <w:rPr>
          <w:spacing w:val="-2"/>
        </w:rPr>
        <w:t>的行业竞争下，公司面临着人员流失的风险。为此公司高度注重人力资源工作，逐步完善人才招聘、培训及考核机制，持续</w:t>
      </w:r>
      <w:r>
        <w:rPr>
          <w:spacing w:val="-67"/>
        </w:rPr>
        <w:t> </w:t>
      </w:r>
      <w:r>
        <w:rPr>
          <w:spacing w:val="-67"/>
        </w:rPr>
      </w:r>
      <w:r>
        <w:rPr/>
        <w:t>优化薪酬激励政策，激发员工工作的热情，为公司持续发展提供人才储备和保障，降低人才流失风险。</w:t>
      </w:r>
    </w:p>
    <w:p>
      <w:pPr>
        <w:spacing w:line="240" w:lineRule="auto" w:before="4"/>
        <w:rPr>
          <w:rFonts w:ascii="宋体" w:hAnsi="宋体" w:cs="宋体" w:eastAsia="宋体" w:hint="default"/>
          <w:sz w:val="22"/>
          <w:szCs w:val="22"/>
        </w:rPr>
      </w:pPr>
    </w:p>
    <w:p>
      <w:pPr>
        <w:pStyle w:val="Heading3"/>
        <w:spacing w:line="240" w:lineRule="auto"/>
        <w:ind w:right="986"/>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152" w:right="986"/>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560"/>
        <w:gridCol w:w="5034"/>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公司主要经营情况及未来战略发展规划</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日投资者关系活动记录表》，刊登于巨潮资讯</w:t>
            </w:r>
            <w:r>
              <w:rPr>
                <w:rFonts w:ascii="宋体" w:hAnsi="宋体" w:cs="宋体" w:eastAsia="宋体" w:hint="default"/>
                <w:sz w:val="18"/>
                <w:szCs w:val="18"/>
              </w:rPr>
              <w:t> 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日投资者关系活动记录表》，刊登于巨潮资讯</w:t>
            </w:r>
            <w:r>
              <w:rPr>
                <w:rFonts w:ascii="宋体" w:hAnsi="宋体" w:cs="宋体" w:eastAsia="宋体" w:hint="default"/>
                <w:sz w:val="18"/>
                <w:szCs w:val="18"/>
              </w:rPr>
              <w:t> 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公司主要领域的业务发展情况</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公司生产经营活动及财务情况</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公司医疗领域当前及未来的发展规划</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09"/>
        <w:jc w:val="center"/>
        <w:rPr>
          <w:b w:val="0"/>
          <w:bCs w:val="0"/>
        </w:rPr>
      </w:pPr>
      <w:bookmarkStart w:name="_TOC_250008"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报告期内普通股利润分配政策，特别是现金分红政策的制定、执行或调整情况</w:t>
      </w:r>
    </w:p>
    <w:p>
      <w:pPr>
        <w:pStyle w:val="BodyText"/>
        <w:spacing w:line="300" w:lineRule="auto" w:before="76"/>
        <w:ind w:left="513" w:right="11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公司严格按照《公司章程》的规定制定现金分红方案。公司</w:t>
      </w:r>
      <w:r>
        <w:rPr>
          <w:rFonts w:ascii="Times New Roman" w:hAnsi="Times New Roman" w:cs="Times New Roman" w:eastAsia="Times New Roman" w:hint="default"/>
        </w:rPr>
        <w:t>2018</w:t>
      </w:r>
      <w:r>
        <w:rPr/>
        <w:t>年年度权益分派方案于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日获得</w:t>
      </w:r>
      <w:r>
        <w:rPr>
          <w:rFonts w:ascii="Times New Roman" w:hAnsi="Times New Roman" w:cs="Times New Roman" w:eastAsia="Times New Roman" w:hint="default"/>
        </w:rPr>
        <w:t>2018</w:t>
      </w:r>
      <w:r>
        <w:rPr/>
        <w:t>年度股</w:t>
      </w:r>
    </w:p>
    <w:p>
      <w:pPr>
        <w:pStyle w:val="BodyText"/>
        <w:spacing w:line="300" w:lineRule="auto" w:before="13"/>
        <w:ind w:right="1027"/>
        <w:jc w:val="left"/>
      </w:pPr>
      <w:r>
        <w:rPr/>
        <w:t>东大会审议通过，以公司权益分派登记日的公司股本为股份基数，向全体股东每</w:t>
      </w:r>
      <w:r>
        <w:rPr>
          <w:rFonts w:ascii="Times New Roman" w:hAnsi="Times New Roman" w:cs="Times New Roman" w:eastAsia="Times New Roman" w:hint="default"/>
        </w:rPr>
        <w:t>10</w:t>
      </w:r>
      <w:r>
        <w:rPr/>
        <w:t>股派发现金股利人民币</w:t>
      </w:r>
      <w:r>
        <w:rPr>
          <w:spacing w:val="-38"/>
        </w:rPr>
        <w:t> </w:t>
      </w:r>
      <w:r>
        <w:rPr>
          <w:rFonts w:ascii="Times New Roman" w:hAnsi="Times New Roman" w:cs="Times New Roman" w:eastAsia="Times New Roman" w:hint="default"/>
        </w:rPr>
        <w:t>1.00</w:t>
      </w:r>
      <w:r>
        <w:rPr/>
        <w:t>元（含税）。 本方案已于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日实施完毕。</w:t>
      </w:r>
    </w:p>
    <w:tbl>
      <w:tblPr>
        <w:tblW w:w="0" w:type="auto"/>
        <w:jc w:val="left"/>
        <w:tblInd w:w="148" w:type="dxa"/>
        <w:tblLayout w:type="fixed"/>
        <w:tblCellMar>
          <w:top w:w="0" w:type="dxa"/>
          <w:left w:w="0" w:type="dxa"/>
          <w:bottom w:w="0" w:type="dxa"/>
          <w:right w:w="0" w:type="dxa"/>
        </w:tblCellMar>
        <w:tblLook w:val="01E0"/>
      </w:tblPr>
      <w:tblGrid>
        <w:gridCol w:w="5103"/>
        <w:gridCol w:w="4467"/>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00" w:lineRule="auto" w:before="13"/>
        <w:ind w:left="441" w:right="986" w:hanging="289"/>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b/>
          <w:bCs/>
        </w:rPr>
        <w:t>1</w:t>
      </w:r>
      <w:r>
        <w:rPr>
          <w:rFonts w:ascii="宋体" w:hAnsi="宋体" w:cs="宋体" w:eastAsia="宋体" w:hint="default"/>
          <w:b/>
          <w:bCs/>
        </w:rPr>
        <w:t>、</w:t>
      </w:r>
      <w:r>
        <w:rPr>
          <w:rFonts w:ascii="Times New Roman" w:hAnsi="Times New Roman" w:cs="Times New Roman" w:eastAsia="Times New Roman" w:hint="default"/>
          <w:b/>
          <w:bCs/>
        </w:rPr>
        <w:t>2017</w:t>
      </w:r>
      <w:r>
        <w:rPr>
          <w:rFonts w:ascii="宋体" w:hAnsi="宋体" w:cs="宋体" w:eastAsia="宋体" w:hint="default"/>
          <w:b/>
          <w:bCs/>
        </w:rPr>
        <w:t>年度利润分配方案</w:t>
      </w:r>
      <w:r>
        <w:rPr>
          <w:rFonts w:ascii="宋体" w:hAnsi="宋体" w:cs="宋体" w:eastAsia="宋体" w:hint="default"/>
          <w:b/>
          <w:bCs/>
          <w:w w:val="99"/>
        </w:rPr>
        <w:t> </w:t>
      </w:r>
      <w:r>
        <w:rPr>
          <w:spacing w:val="7"/>
        </w:rPr>
        <w:t>公司于</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20</w:t>
      </w:r>
      <w:r>
        <w:rPr>
          <w:spacing w:val="7"/>
        </w:rPr>
        <w:t>日召开第六届董事会第十五次会议审议通过了《</w:t>
      </w:r>
      <w:r>
        <w:rPr>
          <w:rFonts w:ascii="Times New Roman" w:hAnsi="Times New Roman" w:cs="Times New Roman" w:eastAsia="Times New Roman" w:hint="default"/>
          <w:spacing w:val="7"/>
        </w:rPr>
        <w:t>2017</w:t>
      </w:r>
      <w:r>
        <w:rPr>
          <w:spacing w:val="7"/>
        </w:rPr>
        <w:t>年度利润分配预案》，以公司现有总股本</w:t>
      </w:r>
    </w:p>
    <w:p>
      <w:pPr>
        <w:pStyle w:val="BodyText"/>
        <w:spacing w:line="240" w:lineRule="auto" w:before="13"/>
        <w:ind w:right="986"/>
        <w:jc w:val="left"/>
      </w:pPr>
      <w:r>
        <w:rPr>
          <w:rFonts w:ascii="Times New Roman" w:hAnsi="Times New Roman" w:cs="Times New Roman" w:eastAsia="Times New Roman" w:hint="default"/>
        </w:rPr>
        <w:t>3,139,787,560</w:t>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元（含税），本方案已于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日实施完毕。</w:t>
      </w:r>
    </w:p>
    <w:p>
      <w:pPr>
        <w:spacing w:line="300" w:lineRule="auto" w:before="63"/>
        <w:ind w:left="441" w:right="986" w:firstLine="1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年度利润分配方案</w:t>
      </w:r>
      <w:r>
        <w:rPr>
          <w:rFonts w:ascii="宋体" w:hAnsi="宋体" w:cs="宋体" w:eastAsia="宋体" w:hint="default"/>
          <w:b/>
          <w:bCs/>
          <w:w w:val="99"/>
          <w:sz w:val="18"/>
          <w:szCs w:val="18"/>
        </w:rPr>
        <w:t> </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29</w:t>
      </w:r>
      <w:r>
        <w:rPr>
          <w:rFonts w:ascii="宋体" w:hAnsi="宋体" w:cs="宋体" w:eastAsia="宋体" w:hint="default"/>
          <w:spacing w:val="4"/>
          <w:sz w:val="18"/>
          <w:szCs w:val="18"/>
        </w:rPr>
        <w:t>日召开第六届董事会第二十六次会议审议通过了《</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年度利润分配预案》，以公司现有总股本</w:t>
      </w:r>
      <w:r>
        <w:rPr>
          <w:rFonts w:ascii="宋体" w:hAnsi="宋体" w:cs="宋体" w:eastAsia="宋体" w:hint="default"/>
          <w:sz w:val="18"/>
          <w:szCs w:val="18"/>
        </w:rPr>
      </w:r>
    </w:p>
    <w:p>
      <w:pPr>
        <w:pStyle w:val="BodyText"/>
        <w:spacing w:line="240" w:lineRule="auto" w:before="13"/>
        <w:ind w:right="986"/>
        <w:jc w:val="left"/>
      </w:pPr>
      <w:r>
        <w:rPr>
          <w:rFonts w:ascii="Times New Roman" w:hAnsi="Times New Roman" w:cs="Times New Roman" w:eastAsia="Times New Roman" w:hint="default"/>
        </w:rPr>
        <w:t>3,115,482,375</w:t>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元（含税），本方案已于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日实施完毕。</w:t>
      </w:r>
    </w:p>
    <w:p>
      <w:pPr>
        <w:pStyle w:val="Heading5"/>
        <w:spacing w:line="240" w:lineRule="auto" w:before="63"/>
        <w:ind w:left="465" w:right="986"/>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年度利润分配方案</w:t>
      </w:r>
      <w:r>
        <w:rPr>
          <w:b w:val="0"/>
          <w:bCs w:val="0"/>
        </w:rPr>
      </w:r>
    </w:p>
    <w:p>
      <w:pPr>
        <w:pStyle w:val="BodyText"/>
        <w:spacing w:line="300" w:lineRule="auto" w:before="63"/>
        <w:ind w:right="986" w:firstLine="312"/>
        <w:jc w:val="left"/>
      </w:pPr>
      <w:r>
        <w:rPr>
          <w:spacing w:val="10"/>
        </w:rPr>
        <w:t>公司于</w:t>
      </w:r>
      <w:r>
        <w:rPr>
          <w:rFonts w:ascii="Times New Roman" w:hAnsi="Times New Roman" w:cs="Times New Roman" w:eastAsia="Times New Roman" w:hint="default"/>
          <w:spacing w:val="10"/>
        </w:rPr>
        <w:t>2020</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28</w:t>
      </w:r>
      <w:r>
        <w:rPr>
          <w:spacing w:val="10"/>
        </w:rPr>
        <w:t>日召开第七届董事会第七次会议审议通过了《</w:t>
      </w:r>
      <w:r>
        <w:rPr>
          <w:spacing w:val="-68"/>
        </w:rPr>
        <w:t> </w:t>
      </w:r>
      <w:r>
        <w:rPr>
          <w:rFonts w:ascii="Times New Roman" w:hAnsi="Times New Roman" w:cs="Times New Roman" w:eastAsia="Times New Roman" w:hint="default"/>
          <w:spacing w:val="10"/>
        </w:rPr>
        <w:t>2019</w:t>
      </w:r>
      <w:r>
        <w:rPr>
          <w:spacing w:val="10"/>
        </w:rPr>
        <w:t>年度利润分配预案》，以公司现有总股本</w:t>
      </w:r>
      <w:r>
        <w:rPr>
          <w:spacing w:val="12"/>
        </w:rPr>
        <w:t> </w:t>
      </w:r>
      <w:r>
        <w:rPr>
          <w:rFonts w:ascii="Times New Roman" w:hAnsi="Times New Roman" w:cs="Times New Roman" w:eastAsia="Times New Roman" w:hint="default"/>
        </w:rPr>
        <w:t>3,115,482,375</w:t>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w:t>
      </w:r>
      <w:r>
        <w:rPr/>
        <w:t>元（含税），该方案尚需提交</w:t>
      </w:r>
      <w:r>
        <w:rPr>
          <w:rFonts w:ascii="Times New Roman" w:hAnsi="Times New Roman" w:cs="Times New Roman" w:eastAsia="Times New Roman" w:hint="default"/>
        </w:rPr>
        <w:t>2019</w:t>
      </w:r>
      <w:r>
        <w:rPr/>
        <w:t>年度股东大会审议批准。 公司近三年（包括本报告期）普通股现金分红情况表</w:t>
      </w:r>
    </w:p>
    <w:p>
      <w:pPr>
        <w:pStyle w:val="BodyText"/>
        <w:spacing w:line="240" w:lineRule="auto" w:before="7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155,774,118.75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583,701,772.02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155,774,118.75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26.69%</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311,548,237.50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806,409,576.38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311,548,237.50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38.63%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313,978,756.00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663,799,645.53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47.30%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313,978,756.00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47.30%</w:t>
            </w:r>
          </w:p>
        </w:tc>
      </w:tr>
    </w:tbl>
    <w:p>
      <w:pPr>
        <w:pStyle w:val="BodyText"/>
        <w:spacing w:line="240" w:lineRule="auto" w:before="10"/>
        <w:ind w:right="986"/>
        <w:jc w:val="left"/>
      </w:pPr>
      <w:r>
        <w:rPr/>
        <w:t>公司报告期内盈利且母公司可供普通股股东分配利润为正但未提出普通股现金红利分配预案</w:t>
      </w:r>
    </w:p>
    <w:p>
      <w:pPr>
        <w:pStyle w:val="BodyText"/>
        <w:spacing w:line="240" w:lineRule="auto" w:before="76"/>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二、本报告期利润分配及资本公积金转增股本情况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95"/>
        <w:gridCol w:w="5775"/>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3,115,482,375</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155,774,118.75</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19"/>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155,774,118.75</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2,266,160,243.32</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第七届董事会第七次会议审议通过了《</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w:t>
            </w:r>
            <w:r>
              <w:rPr>
                <w:rFonts w:ascii="宋体" w:hAnsi="宋体" w:cs="宋体" w:eastAsia="宋体" w:hint="default"/>
                <w:spacing w:val="-3"/>
                <w:sz w:val="18"/>
                <w:szCs w:val="18"/>
              </w:rPr>
              <w:t>预</w:t>
            </w: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，以公司现有总股本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为基数，向全</w:t>
            </w:r>
            <w:r>
              <w:rPr>
                <w:rFonts w:ascii="宋体" w:hAnsi="宋体" w:cs="宋体" w:eastAsia="宋体" w:hint="default"/>
                <w:spacing w:val="-3"/>
                <w:sz w:val="18"/>
                <w:szCs w:val="18"/>
              </w:rPr>
              <w:t>体</w:t>
            </w:r>
            <w:r>
              <w:rPr>
                <w:rFonts w:ascii="宋体" w:hAnsi="宋体" w:cs="宋体" w:eastAsia="宋体" w:hint="default"/>
                <w:sz w:val="18"/>
                <w:szCs w:val="18"/>
              </w:rPr>
              <w:t>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，该方案尚需提交</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年度股东大会审议批准。</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98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1"/>
        </w:rPr>
        <w:t> </w:t>
      </w:r>
      <w:r>
        <w:rPr>
          <w:spacing w:val="-61"/>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86"/>
        <w:jc w:val="left"/>
      </w:pPr>
      <w:r>
        <w:rPr/>
        <w:pict>
          <v:shape style="position:absolute;margin-left:220.817001pt;margin-top:37.63171pt;width:62.45pt;height:97.7pt;mso-position-horizontal-relative:page;mso-position-vertical-relative:paragraph;z-index:-10798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227.089996pt;margin-top:37.63171pt;width:56.2pt;height:97.7pt;mso-position-horizontal-relative:page;mso-position-vertical-relative:paragraph;z-index:-1079800" coordorigin="4542,753" coordsize="1124,1954">
            <v:group style="position:absolute;left:4542;top:753;width:1124;height:1954" coordorigin="4542,753" coordsize="1124,1954">
              <v:shape style="position:absolute;left:4542;top:753;width:1124;height:1954" coordorigin="4542,753" coordsize="1124,1954" path="m4542,2706l5665,2706,5665,753,4542,753,4542,2706xe" filled="true" fillcolor="#ffffff" stroked="false">
                <v:path arrowok="t"/>
                <v:fill type="solid"/>
              </v:shape>
            </v:group>
            <v:group style="position:absolute;left:4566;top:1065;width:1078;height:353" coordorigin="4566,1065" coordsize="1078,353">
              <v:shape style="position:absolute;left:4566;top:1065;width:1078;height:353" coordorigin="4566,1065" coordsize="1078,353" path="m4566,1417l5643,1417,5643,1065,4566,1065,4566,1417xe" filled="true" fillcolor="#ffffff" stroked="false">
                <v:path arrowok="t"/>
                <v:fill type="solid"/>
              </v:shape>
            </v:group>
            <v:group style="position:absolute;left:4566;top:1417;width:1078;height:312" coordorigin="4566,1417" coordsize="1078,312">
              <v:shape style="position:absolute;left:4566;top:1417;width:1078;height:312" coordorigin="4566,1417" coordsize="1078,312" path="m4566,1729l5643,1729,5643,1417,4566,1417,4566,1729xe" filled="true" fillcolor="#ffffff" stroked="false">
                <v:path arrowok="t"/>
                <v:fill type="solid"/>
              </v:shape>
            </v:group>
            <v:group style="position:absolute;left:4566;top:1729;width:1078;height:312" coordorigin="4566,1729" coordsize="1078,312">
              <v:shape style="position:absolute;left:4566;top:1729;width:1078;height:312" coordorigin="4566,1729" coordsize="1078,312" path="m4566,2041l5643,2041,5643,1729,4566,1729,4566,2041xe" filled="true" fillcolor="#ffffff" stroked="false">
                <v:path arrowok="t"/>
                <v:fill type="solid"/>
              </v:shape>
            </v:group>
            <v:group style="position:absolute;left:4566;top:2041;width:1078;height:353" coordorigin="4566,2041" coordsize="1078,353">
              <v:shape style="position:absolute;left:4566;top:2041;width:1078;height:353" coordorigin="4566,2041" coordsize="1078,353" path="m4566,2394l5643,2394,5643,2041,4566,2041,4566,239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1844"/>
        <w:gridCol w:w="1133"/>
        <w:gridCol w:w="2410"/>
        <w:gridCol w:w="853"/>
        <w:gridCol w:w="850"/>
        <w:gridCol w:w="991"/>
      </w:tblGrid>
      <w:tr>
        <w:trPr>
          <w:trHeight w:val="39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3" w:hRule="exact"/>
        </w:trPr>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薛向东、北京东华诚信</w:t>
            </w:r>
          </w:p>
        </w:tc>
        <w:tc>
          <w:tcPr>
            <w:tcW w:w="1133"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电脑科技发展有限公</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7"/>
              <w:jc w:val="right"/>
              <w:rPr>
                <w:rFonts w:ascii="宋体" w:hAnsi="宋体" w:cs="宋体" w:eastAsia="宋体" w:hint="default"/>
                <w:sz w:val="18"/>
                <w:szCs w:val="18"/>
              </w:rPr>
            </w:pPr>
            <w:r>
              <w:rPr>
                <w:rFonts w:ascii="宋体" w:hAnsi="宋体" w:cs="宋体" w:eastAsia="宋体" w:hint="default"/>
                <w:sz w:val="18"/>
                <w:szCs w:val="18"/>
              </w:rPr>
              <w:t>关于同业竞</w:t>
            </w:r>
          </w:p>
        </w:tc>
        <w:tc>
          <w:tcPr>
            <w:tcW w:w="241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2"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2"/>
                <w:sz w:val="18"/>
                <w:szCs w:val="18"/>
              </w:rPr>
              <w:t>司、北京东华诚信投资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管理中心（有限合伙）</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不竞争承诺</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建水同欣奋斗企业管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97"/>
              <w:jc w:val="right"/>
              <w:rPr>
                <w:rFonts w:ascii="宋体" w:hAnsi="宋体" w:cs="宋体" w:eastAsia="宋体" w:hint="default"/>
                <w:sz w:val="18"/>
                <w:szCs w:val="18"/>
              </w:rPr>
            </w:pPr>
            <w:r>
              <w:rPr>
                <w:rFonts w:ascii="宋体" w:hAnsi="宋体" w:cs="宋体" w:eastAsia="宋体" w:hint="default"/>
                <w:sz w:val="18"/>
                <w:szCs w:val="18"/>
              </w:rPr>
              <w:t>方面的承诺</w:t>
            </w:r>
          </w:p>
        </w:tc>
        <w:tc>
          <w:tcPr>
            <w:tcW w:w="241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理中心（有限合伙）</w:t>
            </w:r>
          </w:p>
        </w:tc>
        <w:tc>
          <w:tcPr>
            <w:tcW w:w="1133"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r>
        <w:rPr/>
        <w:pict>
          <v:shape style="position:absolute;margin-left:220.817001pt;margin-top:72.475983pt;width:62.45pt;height:97.6pt;mso-position-horizontal-relative:page;mso-position-vertical-relative:page;z-index:-1079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shape style="position:absolute;margin-left:308.087006pt;margin-top:284.329987pt;width:138.3pt;height:175.6pt;mso-position-horizontal-relative:page;mso-position-vertical-relative:page;z-index:-1079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left="0" w:right="0"/>
                    <w:jc w:val="left"/>
                  </w:pPr>
                  <w:r>
                    <w:rPr/>
                    <w:t>若该等股票产生的亏损，</w:t>
                  </w:r>
                </w:p>
              </w:txbxContent>
            </v:textbox>
            <w10:wrap type="none"/>
          </v:shape>
        </w:pict>
      </w:r>
      <w:r>
        <w:rPr/>
        <w:pict>
          <v:group style="position:absolute;margin-left:227.089996pt;margin-top:72.475983pt;width:56.2pt;height:97.6pt;mso-position-horizontal-relative:page;mso-position-vertical-relative:page;z-index:-1079728" coordorigin="4542,1450" coordsize="1124,1952">
            <v:group style="position:absolute;left:4542;top:1450;width:1124;height:1952" coordorigin="4542,1450" coordsize="1124,1952">
              <v:shape style="position:absolute;left:4542;top:1450;width:1124;height:1952" coordorigin="4542,1450" coordsize="1124,1952" path="m4542,3401l5665,3401,5665,1450,4542,1450,4542,3401xe" filled="true" fillcolor="#ffffff" stroked="false">
                <v:path arrowok="t"/>
                <v:fill type="solid"/>
              </v:shape>
            </v:group>
            <v:group style="position:absolute;left:4566;top:1762;width:1078;height:353" coordorigin="4566,1762" coordsize="1078,353">
              <v:shape style="position:absolute;left:4566;top:1762;width:1078;height:353" coordorigin="4566,1762" coordsize="1078,353" path="m4566,2115l5643,2115,5643,1762,4566,1762,4566,2115xe" filled="true" fillcolor="#ffffff" stroked="false">
                <v:path arrowok="t"/>
                <v:fill type="solid"/>
              </v:shape>
            </v:group>
            <v:group style="position:absolute;left:4566;top:2115;width:1078;height:312" coordorigin="4566,2115" coordsize="1078,312">
              <v:shape style="position:absolute;left:4566;top:2115;width:1078;height:312" coordorigin="4566,2115" coordsize="1078,312" path="m4566,2427l5643,2427,5643,2115,4566,2115,4566,2427xe" filled="true" fillcolor="#ffffff" stroked="false">
                <v:path arrowok="t"/>
                <v:fill type="solid"/>
              </v:shape>
            </v:group>
            <v:group style="position:absolute;left:4566;top:2427;width:1078;height:312" coordorigin="4566,2427" coordsize="1078,312">
              <v:shape style="position:absolute;left:4566;top:2427;width:1078;height:312" coordorigin="4566,2427" coordsize="1078,312" path="m4566,2739l5643,2739,5643,2427,4566,2427,4566,2739xe" filled="true" fillcolor="#ffffff" stroked="false">
                <v:path arrowok="t"/>
                <v:fill type="solid"/>
              </v:shape>
            </v:group>
            <v:group style="position:absolute;left:4566;top:2739;width:1078;height:351" coordorigin="4566,2739" coordsize="1078,351">
              <v:shape style="position:absolute;left:4566;top:2739;width:1078;height:351" coordorigin="4566,2739" coordsize="1078,351" path="m4566,3089l5643,3089,5643,2739,4566,2739,4566,3089xe" filled="true" fillcolor="#ffffff" stroked="false">
                <v:path arrowok="t"/>
                <v:fill type="solid"/>
              </v:shape>
            </v:group>
            <w10:wrap type="none"/>
          </v:group>
        </w:pict>
      </w:r>
      <w:r>
        <w:rPr/>
        <w:pict>
          <v:group style="position:absolute;margin-left:404.350006pt;margin-top:284.329987pt;width:42.05pt;height:175.6pt;mso-position-horizontal-relative:page;mso-position-vertical-relative:page;z-index:-1079704" coordorigin="8087,5687" coordsize="841,3512">
            <v:group style="position:absolute;left:8087;top:5687;width:841;height:3512" coordorigin="8087,5687" coordsize="841,3512">
              <v:shape style="position:absolute;left:8087;top:5687;width:841;height:3512" coordorigin="8087,5687" coordsize="841,3512" path="m8087,9198l8927,9198,8927,5687,8087,5687,8087,9198xe" filled="true" fillcolor="#ffffff" stroked="false">
                <v:path arrowok="t"/>
                <v:fill type="solid"/>
              </v:shape>
            </v:group>
            <v:group style="position:absolute;left:8109;top:7091;width:798;height:353" coordorigin="8109,7091" coordsize="798,353">
              <v:shape style="position:absolute;left:8109;top:7091;width:798;height:353" coordorigin="8109,7091" coordsize="798,353" path="m8109,7443l8906,7443,8906,7091,8109,7091,8109,7443xe" filled="true" fillcolor="#ffffff" stroked="false">
                <v:path arrowok="t"/>
                <v:fill type="solid"/>
              </v:shape>
            </v:group>
            <v:group style="position:absolute;left:8109;top:7443;width:798;height:351" coordorigin="8109,7443" coordsize="798,351">
              <v:shape style="position:absolute;left:8109;top:7443;width:798;height:351" coordorigin="8109,7443" coordsize="798,351" path="m8109,7794l8906,7794,8906,7443,8109,7443,8109,77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59"/>
        <w:gridCol w:w="1844"/>
        <w:gridCol w:w="1133"/>
        <w:gridCol w:w="2410"/>
        <w:gridCol w:w="853"/>
        <w:gridCol w:w="850"/>
        <w:gridCol w:w="991"/>
      </w:tblGrid>
      <w:tr>
        <w:trPr>
          <w:trHeight w:val="358" w:hRule="exact"/>
        </w:trPr>
        <w:tc>
          <w:tcPr>
            <w:tcW w:w="1559" w:type="dxa"/>
            <w:vMerge w:val="restart"/>
            <w:tcBorders>
              <w:top w:val="single" w:sz="4" w:space="0" w:color="000000"/>
              <w:left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薛向东、北京东华诚信</w:t>
            </w:r>
          </w:p>
        </w:tc>
        <w:tc>
          <w:tcPr>
            <w:tcW w:w="1133"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vMerge/>
            <w:tcBorders>
              <w:left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电脑科技发展有限公</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241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559" w:type="dxa"/>
            <w:vMerge/>
            <w:tcBorders>
              <w:left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2"/>
                <w:sz w:val="18"/>
                <w:szCs w:val="18"/>
              </w:rPr>
              <w:t>司、北京东华诚信投资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管理中心（有限合伙）</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建水同欣奋斗企业管</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2410"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理中心（有限合伙）</w:t>
            </w:r>
          </w:p>
        </w:tc>
        <w:tc>
          <w:tcPr>
            <w:tcW w:w="1133"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公司董事长薛向东先生及其一</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致行动人计划自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4" w:lineRule="auto"/>
              <w:ind w:left="23" w:right="188"/>
              <w:jc w:val="left"/>
              <w:rPr>
                <w:rFonts w:ascii="宋体" w:hAnsi="宋体" w:cs="宋体" w:eastAsia="宋体" w:hint="default"/>
                <w:sz w:val="18"/>
                <w:szCs w:val="18"/>
              </w:rPr>
            </w:pPr>
            <w:r>
              <w:rPr>
                <w:rFonts w:ascii="宋体" w:hAnsi="宋体" w:cs="宋体" w:eastAsia="宋体" w:hint="default"/>
                <w:sz w:val="18"/>
                <w:szCs w:val="18"/>
              </w:rPr>
              <w:t>薛向东先生及其一致 行动人</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3" w:right="197"/>
              <w:jc w:val="both"/>
              <w:rPr>
                <w:rFonts w:ascii="宋体" w:hAnsi="宋体" w:cs="宋体" w:eastAsia="宋体" w:hint="default"/>
                <w:sz w:val="18"/>
                <w:szCs w:val="18"/>
              </w:rPr>
            </w:pPr>
            <w:r>
              <w:rPr>
                <w:rFonts w:ascii="宋体" w:hAnsi="宋体" w:cs="宋体" w:eastAsia="宋体" w:hint="default"/>
                <w:sz w:val="18"/>
                <w:szCs w:val="18"/>
              </w:rPr>
              <w:t>关于增持公 司股份的承 诺</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4"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日起通过深圳证券交易所交 易系统允许的方式（包括但不 限于集中竞价和大宗交易）增</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履行终止</w:t>
            </w: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持公司股份，拟增持金额不低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35"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公司及下属全资子公司、控股</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w:t>
            </w: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子公司全体员工经公司证券部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35"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东所作承诺</w:t>
            </w: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事先登记确认拟购买数量，并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点后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97"/>
              <w:jc w:val="both"/>
              <w:rPr>
                <w:rFonts w:ascii="宋体" w:hAnsi="宋体" w:cs="宋体" w:eastAsia="宋体" w:hint="default"/>
                <w:sz w:val="18"/>
                <w:szCs w:val="18"/>
              </w:rPr>
            </w:pPr>
            <w:r>
              <w:rPr>
                <w:rFonts w:ascii="宋体" w:hAnsi="宋体" w:cs="宋体" w:eastAsia="宋体" w:hint="default"/>
                <w:sz w:val="18"/>
                <w:szCs w:val="18"/>
              </w:rPr>
              <w:t>关于增持倡 议方面的承 诺</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4" w:right="17"/>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日期间完成 净买入东华软件股票，连续持 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个月以上，且持有期间连</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07"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续在东华软件履职的，该等东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华软件股票的收益归员工个人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
        </w:tc>
        <w:tc>
          <w:tcPr>
            <w:tcW w:w="184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由本人予以全额补偿。</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155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w:t>
            </w:r>
          </w:p>
        </w:tc>
        <w:tc>
          <w:tcPr>
            <w:tcW w:w="8080" w:type="dxa"/>
            <w:gridSpan w:val="6"/>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完毕的，应当详细</w:t>
            </w:r>
          </w:p>
        </w:tc>
        <w:tc>
          <w:tcPr>
            <w:tcW w:w="8080"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说明未完成履行的</w:t>
            </w:r>
          </w:p>
        </w:tc>
        <w:tc>
          <w:tcPr>
            <w:tcW w:w="808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具体原因及下一步</w:t>
            </w:r>
          </w:p>
        </w:tc>
        <w:tc>
          <w:tcPr>
            <w:tcW w:w="8080"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155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的工作计划</w:t>
            </w:r>
          </w:p>
        </w:tc>
        <w:tc>
          <w:tcPr>
            <w:tcW w:w="8080"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4"/>
        <w:spacing w:line="256" w:lineRule="auto" w:before="36"/>
        <w:ind w:right="98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0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六、与上年度财务报告相比，会计政策、会计估计和核算方法发生变化的情况说明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63"/>
        <w:ind w:right="1039" w:firstLine="288"/>
        <w:jc w:val="both"/>
      </w:pPr>
      <w:r>
        <w:rPr>
          <w:rFonts w:ascii="Times New Roman" w:hAnsi="Times New Roman" w:cs="Times New Roman" w:eastAsia="Times New Roman" w:hint="default"/>
          <w:spacing w:val="-7"/>
        </w:rPr>
        <w:t>1</w:t>
      </w:r>
      <w:r>
        <w:rPr>
          <w:spacing w:val="-7"/>
        </w:rPr>
        <w:t>、国家财政部于</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31</w:t>
      </w:r>
      <w:r>
        <w:rPr>
          <w:spacing w:val="-7"/>
        </w:rPr>
        <w:t>日分别发布了《企业会计准则第</w:t>
      </w:r>
      <w:r>
        <w:rPr>
          <w:rFonts w:ascii="Times New Roman" w:hAnsi="Times New Roman" w:cs="Times New Roman" w:eastAsia="Times New Roman" w:hint="default"/>
          <w:spacing w:val="-7"/>
        </w:rPr>
        <w:t>22</w:t>
      </w:r>
      <w:r>
        <w:rPr>
          <w:spacing w:val="-7"/>
        </w:rPr>
        <w:t>号</w:t>
      </w:r>
      <w:r>
        <w:rPr>
          <w:rFonts w:ascii="Times New Roman" w:hAnsi="Times New Roman" w:cs="Times New Roman" w:eastAsia="Times New Roman" w:hint="default"/>
          <w:spacing w:val="-7"/>
        </w:rPr>
        <w:t>——</w:t>
      </w:r>
      <w:r>
        <w:rPr>
          <w:spacing w:val="-7"/>
        </w:rPr>
        <w:t>金融工具确认和计量（</w:t>
      </w:r>
      <w:r>
        <w:rPr>
          <w:rFonts w:ascii="Times New Roman" w:hAnsi="Times New Roman" w:cs="Times New Roman" w:eastAsia="Times New Roman" w:hint="default"/>
          <w:spacing w:val="-7"/>
        </w:rPr>
        <w:t>2017</w:t>
      </w:r>
      <w:r>
        <w:rPr>
          <w:spacing w:val="-7"/>
        </w:rPr>
        <w:t>年修订）》（财会</w:t>
      </w:r>
      <w:r>
        <w:rPr>
          <w:rFonts w:ascii="Times New Roman" w:hAnsi="Times New Roman" w:cs="Times New Roman" w:eastAsia="Times New Roman" w:hint="default"/>
          <w:spacing w:val="-7"/>
        </w:rPr>
        <w:t>[2017]7</w:t>
      </w:r>
      <w:r>
        <w:rPr>
          <w:rFonts w:ascii="Times New Roman" w:hAnsi="Times New Roman" w:cs="Times New Roman" w:eastAsia="Times New Roman" w:hint="default"/>
        </w:rPr>
        <w:t> </w:t>
      </w: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w:t>
      </w:r>
      <w:r>
        <w:rPr>
          <w:spacing w:val="-33"/>
        </w:rPr>
        <w:t> </w:t>
      </w:r>
      <w:r>
        <w:rPr>
          <w:spacing w:val="-1"/>
        </w:rPr>
        <w:t>计（</w:t>
      </w:r>
      <w:r>
        <w:rPr>
          <w:rFonts w:ascii="Times New Roman" w:hAnsi="Times New Roman" w:cs="Times New Roman" w:eastAsia="Times New Roman" w:hint="default"/>
          <w:spacing w:val="-1"/>
        </w:rPr>
        <w:t>2017</w:t>
      </w:r>
      <w:r>
        <w:rPr>
          <w:spacing w:val="-1"/>
        </w:rPr>
        <w:t>年修订）》（财会</w:t>
      </w:r>
      <w:r>
        <w:rPr>
          <w:rFonts w:ascii="Times New Roman" w:hAnsi="Times New Roman" w:cs="Times New Roman" w:eastAsia="Times New Roman" w:hint="default"/>
          <w:spacing w:val="-1"/>
        </w:rPr>
        <w:t>[2017]9</w:t>
      </w:r>
      <w:r>
        <w:rPr>
          <w:spacing w:val="-1"/>
        </w:rPr>
        <w:t>号），于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w:t>
      </w:r>
      <w:r>
        <w:rPr>
          <w:spacing w:val="-1"/>
        </w:rPr>
        <w:t>日发布了《企业会计准则第</w:t>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2017</w:t>
      </w:r>
      <w:r>
        <w:rPr>
          <w:spacing w:val="-1"/>
        </w:rPr>
        <w:t>年修订）》</w:t>
      </w:r>
    </w:p>
    <w:p>
      <w:pPr>
        <w:pStyle w:val="BodyText"/>
        <w:spacing w:line="240" w:lineRule="auto" w:before="13"/>
        <w:ind w:right="986"/>
        <w:jc w:val="left"/>
      </w:pPr>
      <w:r>
        <w:rPr/>
        <w:t>（财会</w:t>
      </w:r>
      <w:r>
        <w:rPr>
          <w:rFonts w:ascii="Times New Roman" w:hAnsi="Times New Roman" w:cs="Times New Roman" w:eastAsia="Times New Roman" w:hint="default"/>
        </w:rPr>
        <w:t>[2017]14</w:t>
      </w:r>
      <w:r>
        <w:rPr/>
        <w:t>号）（上述准则以下统称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），并要求境内上市公司自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w:t>
      </w:r>
    </w:p>
    <w:p>
      <w:pPr>
        <w:pStyle w:val="BodyText"/>
        <w:spacing w:line="300" w:lineRule="auto" w:before="63"/>
        <w:ind w:right="1126" w:firstLine="288"/>
        <w:jc w:val="both"/>
      </w:pPr>
      <w:r>
        <w:rPr>
          <w:rFonts w:ascii="Times New Roman" w:hAnsi="Times New Roman" w:cs="Times New Roman" w:eastAsia="Times New Roman" w:hint="default"/>
          <w:spacing w:val="-1"/>
        </w:rPr>
        <w:t>2</w:t>
      </w:r>
      <w:r>
        <w:rPr>
          <w:spacing w:val="-1"/>
        </w:rPr>
        <w:t>、国家财政部于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日发布了《关于修订印发</w:t>
      </w:r>
      <w:r>
        <w:rPr>
          <w:rFonts w:ascii="Times New Roman" w:hAnsi="Times New Roman" w:cs="Times New Roman" w:eastAsia="Times New Roman" w:hint="default"/>
          <w:spacing w:val="-1"/>
        </w:rPr>
        <w:t>2019</w:t>
      </w:r>
      <w:r>
        <w:rPr>
          <w:spacing w:val="-1"/>
        </w:rPr>
        <w:t>年度一般企业财务报表格式的通知》（财会</w:t>
      </w:r>
      <w:r>
        <w:rPr>
          <w:rFonts w:ascii="Times New Roman" w:hAnsi="Times New Roman" w:cs="Times New Roman" w:eastAsia="Times New Roman" w:hint="default"/>
          <w:spacing w:val="-1"/>
        </w:rPr>
        <w:t>[2019]6</w:t>
      </w:r>
      <w:r>
        <w:rPr>
          <w:spacing w:val="-1"/>
        </w:rPr>
        <w:t>号）（以</w:t>
      </w:r>
      <w:r>
        <w:rPr/>
        <w:t> </w:t>
      </w:r>
      <w:r>
        <w:rPr>
          <w:spacing w:val="-2"/>
        </w:rPr>
        <w:t>下简称</w:t>
      </w:r>
      <w:r>
        <w:rPr>
          <w:rFonts w:ascii="Times New Roman" w:hAnsi="Times New Roman" w:cs="Times New Roman" w:eastAsia="Times New Roman" w:hint="default"/>
          <w:spacing w:val="-2"/>
        </w:rPr>
        <w:t>“</w:t>
      </w:r>
      <w:r>
        <w:rPr>
          <w:spacing w:val="-2"/>
        </w:rPr>
        <w:t>《修订通知》</w:t>
      </w:r>
      <w:r>
        <w:rPr>
          <w:rFonts w:ascii="Times New Roman" w:hAnsi="Times New Roman" w:cs="Times New Roman" w:eastAsia="Times New Roman" w:hint="default"/>
          <w:spacing w:val="-2"/>
        </w:rPr>
        <w:t>”</w:t>
      </w:r>
      <w:r>
        <w:rPr>
          <w:spacing w:val="-2"/>
        </w:rPr>
        <w:t>），对一般企业财务报表格式进行了修订，要求执行企业会计准则的非金融企业按照企业会计准则和</w:t>
      </w:r>
      <w:r>
        <w:rPr>
          <w:spacing w:val="-46"/>
        </w:rPr>
        <w:t> </w:t>
      </w:r>
      <w:r>
        <w:rPr>
          <w:spacing w:val="-46"/>
        </w:rPr>
      </w:r>
      <w:r>
        <w:rPr>
          <w:spacing w:val="-2"/>
        </w:rPr>
        <w:t>通知的要求编制</w:t>
      </w:r>
      <w:r>
        <w:rPr>
          <w:rFonts w:ascii="Times New Roman" w:hAnsi="Times New Roman" w:cs="Times New Roman" w:eastAsia="Times New Roman" w:hint="default"/>
          <w:spacing w:val="-2"/>
        </w:rPr>
        <w:t>2019</w:t>
      </w:r>
      <w:r>
        <w:rPr>
          <w:spacing w:val="-2"/>
        </w:rPr>
        <w:t>年度中期财务报表和年度财务报表及以后期间的财务报表。根据《修订通知》的有关要求，本公司按照</w:t>
      </w:r>
      <w:r>
        <w:rPr>
          <w:spacing w:val="-64"/>
        </w:rPr>
        <w:t> </w:t>
      </w:r>
      <w:r>
        <w:rPr>
          <w:spacing w:val="-64"/>
        </w:rPr>
      </w:r>
      <w:r>
        <w:rPr/>
        <w:t>相关规定采用追溯调整法，对可比会计期间的比较数据进行相应调整。</w:t>
      </w:r>
    </w:p>
    <w:p>
      <w:pPr>
        <w:pStyle w:val="BodyText"/>
        <w:spacing w:line="240" w:lineRule="auto" w:before="31"/>
        <w:ind w:left="441" w:right="986"/>
        <w:jc w:val="left"/>
      </w:pPr>
      <w:r>
        <w:rPr/>
        <w:t>根据财政部的上述要求，公司对会计政策予以相应变更。</w:t>
      </w:r>
    </w:p>
    <w:p>
      <w:pPr>
        <w:spacing w:line="240" w:lineRule="auto" w:before="3"/>
        <w:rPr>
          <w:rFonts w:ascii="宋体" w:hAnsi="宋体" w:cs="宋体" w:eastAsia="宋体" w:hint="default"/>
          <w:sz w:val="25"/>
          <w:szCs w:val="25"/>
        </w:rPr>
      </w:pPr>
    </w:p>
    <w:p>
      <w:pPr>
        <w:pStyle w:val="Heading3"/>
        <w:spacing w:line="240" w:lineRule="auto"/>
        <w:ind w:right="986"/>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公司报告期无重大会计差错更正需追溯重述的情况。</w:t>
      </w:r>
    </w:p>
    <w:p>
      <w:pPr>
        <w:spacing w:line="240" w:lineRule="auto" w:before="11"/>
        <w:rPr>
          <w:rFonts w:ascii="宋体" w:hAnsi="宋体" w:cs="宋体" w:eastAsia="宋体" w:hint="default"/>
          <w:sz w:val="21"/>
          <w:szCs w:val="21"/>
        </w:rPr>
      </w:pPr>
    </w:p>
    <w:p>
      <w:pPr>
        <w:pStyle w:val="Heading3"/>
        <w:spacing w:line="240" w:lineRule="auto"/>
        <w:ind w:right="986"/>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41" w:right="986"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不适用 本期纳入合并财务报表范围的子公司共</w:t>
      </w:r>
      <w:r>
        <w:rPr>
          <w:rFonts w:ascii="Times New Roman" w:hAnsi="Times New Roman" w:cs="Times New Roman" w:eastAsia="Times New Roman" w:hint="default"/>
        </w:rPr>
        <w:t>61</w:t>
      </w:r>
      <w:r>
        <w:rPr/>
        <w:t>家，新增</w:t>
      </w:r>
      <w:r>
        <w:rPr>
          <w:rFonts w:ascii="Times New Roman" w:hAnsi="Times New Roman" w:cs="Times New Roman" w:eastAsia="Times New Roman" w:hint="default"/>
        </w:rPr>
        <w:t>6</w:t>
      </w:r>
      <w:r>
        <w:rPr/>
        <w:t>家子公司，减少</w:t>
      </w:r>
      <w:r>
        <w:rPr>
          <w:rFonts w:ascii="Times New Roman" w:hAnsi="Times New Roman" w:cs="Times New Roman" w:eastAsia="Times New Roman" w:hint="default"/>
        </w:rPr>
        <w:t>3</w:t>
      </w:r>
      <w:r>
        <w:rPr/>
        <w:t>家子公司。合并范围变更主体的具体信息详见</w:t>
      </w:r>
      <w:r>
        <w:rPr>
          <w:rFonts w:ascii="Times New Roman" w:hAnsi="Times New Roman" w:cs="Times New Roman" w:eastAsia="Times New Roman" w:hint="default"/>
        </w:rPr>
        <w:t>“</w:t>
      </w:r>
      <w:r>
        <w:rPr/>
        <w:t>附</w:t>
      </w:r>
    </w:p>
    <w:p>
      <w:pPr>
        <w:pStyle w:val="BodyText"/>
        <w:spacing w:line="240" w:lineRule="auto" w:before="13"/>
        <w:ind w:right="986"/>
        <w:jc w:val="left"/>
      </w:pPr>
      <w:r>
        <w:rPr/>
        <w:t>注七、合并范围的变更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轩菲、史继欣</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10"/>
        <w:ind w:right="986"/>
        <w:jc w:val="left"/>
      </w:pPr>
      <w:r>
        <w:rPr/>
        <w:t>当期是否改聘会计师事务所</w:t>
      </w:r>
    </w:p>
    <w:p>
      <w:pPr>
        <w:pStyle w:val="BodyText"/>
        <w:spacing w:line="300" w:lineRule="auto" w:before="76"/>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00" w:lineRule="auto" w:before="31"/>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更换会计师事务所是否履行审批程序</w:t>
      </w:r>
    </w:p>
    <w:p>
      <w:pPr>
        <w:pStyle w:val="BodyText"/>
        <w:spacing w:line="300" w:lineRule="auto" w:before="32"/>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2" w:lineRule="auto" w:before="44"/>
        <w:ind w:right="1054" w:firstLine="360"/>
        <w:jc w:val="left"/>
      </w:pPr>
      <w:r>
        <w:rPr/>
        <w:t>公司原审计机构北京兴华会计师事务所（特殊普通合伙）（以下简称</w:t>
      </w:r>
      <w:r>
        <w:rPr>
          <w:rFonts w:ascii="Times New Roman" w:hAnsi="Times New Roman" w:cs="Times New Roman" w:eastAsia="Times New Roman" w:hint="default"/>
        </w:rPr>
        <w:t>“</w:t>
      </w:r>
      <w:r>
        <w:rPr/>
        <w:t>兴华</w:t>
      </w:r>
      <w:r>
        <w:rPr>
          <w:rFonts w:ascii="Times New Roman" w:hAnsi="Times New Roman" w:cs="Times New Roman" w:eastAsia="Times New Roman" w:hint="default"/>
        </w:rPr>
        <w:t>”</w:t>
      </w:r>
      <w:r>
        <w:rPr/>
        <w:t>）在执业过程中坚持独立审计原则，客观、 </w:t>
      </w:r>
      <w:r>
        <w:rPr>
          <w:spacing w:val="-2"/>
        </w:rPr>
        <w:t>公正、公允地反映公司财务状况、经营成果和现金流情况，切实履行了审计机构的职责，从专业角度维护了公司及股东的合</w:t>
      </w:r>
      <w:r>
        <w:rPr>
          <w:spacing w:val="-64"/>
        </w:rPr>
        <w:t> </w:t>
      </w:r>
      <w:r>
        <w:rPr>
          <w:spacing w:val="-64"/>
        </w:rPr>
      </w:r>
      <w:r>
        <w:rPr>
          <w:spacing w:val="-2"/>
        </w:rPr>
        <w:t>法权益。根据公司目前经营现状及未来战略发展需要，经双方事前沟通和协商，兴华不再担任公司审计机构。经公司谨慎研</w:t>
      </w:r>
      <w:r>
        <w:rPr>
          <w:spacing w:val="-65"/>
        </w:rPr>
        <w:t> </w:t>
      </w:r>
      <w:r>
        <w:rPr>
          <w:spacing w:val="-65"/>
        </w:rPr>
      </w:r>
      <w:r>
        <w:rPr/>
        <w:t>究及董事会审计委员会建议，拟聘请大华会计师事务所（特殊普通合伙）为公司</w:t>
      </w:r>
      <w:r>
        <w:rPr>
          <w:rFonts w:ascii="Times New Roman" w:hAnsi="Times New Roman" w:cs="Times New Roman" w:eastAsia="Times New Roman" w:hint="default"/>
        </w:rPr>
        <w:t>2019</w:t>
      </w:r>
      <w:r>
        <w:rPr/>
        <w:t>年度审计机构，聘期一年．</w:t>
      </w:r>
    </w:p>
    <w:p>
      <w:pPr>
        <w:pStyle w:val="BodyText"/>
        <w:spacing w:line="300" w:lineRule="auto" w:before="3"/>
        <w:ind w:right="1124" w:firstLine="360"/>
        <w:jc w:val="left"/>
      </w:pP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日召开第七届董事会第三次会议，会议审议通过了《关于变更会计师事务所暨聘任</w:t>
      </w:r>
      <w:r>
        <w:rPr>
          <w:rFonts w:ascii="Times New Roman" w:hAnsi="Times New Roman" w:cs="Times New Roman" w:eastAsia="Times New Roman" w:hint="default"/>
        </w:rPr>
        <w:t>2019</w:t>
      </w:r>
      <w:r>
        <w:rPr/>
        <w:t>年度审计机 构的议案》；于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2020</w:t>
      </w:r>
      <w:r>
        <w:rPr/>
        <w:t>年第二次临时股东大会审议通过了《关于变更会计师事务所暨聘任</w:t>
      </w:r>
      <w:r>
        <w:rPr>
          <w:rFonts w:ascii="Times New Roman" w:hAnsi="Times New Roman" w:cs="Times New Roman" w:eastAsia="Times New Roman" w:hint="default"/>
        </w:rPr>
        <w:t>2019</w:t>
      </w:r>
      <w:r>
        <w:rPr/>
        <w:t>年度审计机</w:t>
      </w:r>
      <w:r>
        <w:rPr>
          <w:spacing w:val="-87"/>
        </w:rPr>
        <w:t> </w:t>
      </w:r>
      <w:r>
        <w:rPr>
          <w:spacing w:val="-87"/>
        </w:rPr>
      </w:r>
      <w:r>
        <w:rPr/>
        <w:t>构的议案》，同意聘请大华会计师事务所（特殊普通合伙）为公司</w:t>
      </w:r>
      <w:r>
        <w:rPr>
          <w:rFonts w:ascii="Times New Roman" w:hAnsi="Times New Roman" w:cs="Times New Roman" w:eastAsia="Times New Roman" w:hint="default"/>
        </w:rPr>
        <w:t>2019</w:t>
      </w:r>
      <w:r>
        <w:rPr/>
        <w:t>年度审计机构。 聘请内部控制审计会计师事务所、财务顾问或保荐人情况</w:t>
      </w:r>
    </w:p>
    <w:p>
      <w:pPr>
        <w:pStyle w:val="BodyText"/>
        <w:spacing w:line="240" w:lineRule="auto" w:before="3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00" w:lineRule="auto" w:before="63"/>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年员工持股计划进展情况</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年员工持股计划（中信证券东华软件</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号定向资产管理计划）已于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日顺利实施完毕。报告期内，公</w:t>
      </w:r>
    </w:p>
    <w:p>
      <w:pPr>
        <w:pStyle w:val="BodyText"/>
        <w:spacing w:line="300" w:lineRule="auto" w:before="13"/>
        <w:ind w:right="1131"/>
        <w:jc w:val="both"/>
      </w:pPr>
      <w:r>
        <w:rPr/>
        <w:t>司员工持股计划锁定期已于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日届满，目前该员工持股计划尚处于存续期，具体内容详见分别于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日和</w:t>
      </w:r>
      <w:r>
        <w:rPr>
          <w:spacing w:val="-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日在巨潮资讯网（</w:t>
      </w:r>
      <w:hyperlink r:id="rId12">
        <w:r>
          <w:rPr>
            <w:rFonts w:ascii="Times New Roman" w:hAnsi="Times New Roman" w:cs="Times New Roman" w:eastAsia="Times New Roman" w:hint="default"/>
          </w:rPr>
          <w:t>www.cninfo.com.cn</w:t>
        </w:r>
      </w:hyperlink>
      <w:r>
        <w:rPr/>
        <w:t>）披露的《关于公司</w:t>
      </w:r>
      <w:r>
        <w:rPr>
          <w:rFonts w:ascii="Times New Roman" w:hAnsi="Times New Roman" w:cs="Times New Roman" w:eastAsia="Times New Roman" w:hint="default"/>
        </w:rPr>
        <w:t>2018</w:t>
      </w:r>
      <w:r>
        <w:rPr/>
        <w:t>年员工持股计划完成股票购买的公告》（公告编</w:t>
      </w:r>
      <w:r>
        <w:rPr>
          <w:spacing w:val="-33"/>
        </w:rPr>
        <w:t> </w:t>
      </w:r>
      <w:r>
        <w:rPr>
          <w:spacing w:val="-33"/>
        </w:rPr>
      </w:r>
      <w:r>
        <w:rPr/>
        <w:t>号：</w:t>
      </w:r>
      <w:r>
        <w:rPr>
          <w:rFonts w:ascii="Times New Roman" w:hAnsi="Times New Roman" w:cs="Times New Roman" w:eastAsia="Times New Roman" w:hint="default"/>
        </w:rPr>
        <w:t>2018-019</w:t>
      </w:r>
      <w:r>
        <w:rPr/>
        <w:t>）、《关于</w:t>
      </w:r>
      <w:r>
        <w:rPr>
          <w:rFonts w:ascii="Times New Roman" w:hAnsi="Times New Roman" w:cs="Times New Roman" w:eastAsia="Times New Roman" w:hint="default"/>
        </w:rPr>
        <w:t>2018</w:t>
      </w:r>
      <w:r>
        <w:rPr/>
        <w:t>年员工持股计划锁定期满的提示性公告》（公告编号：</w:t>
      </w:r>
      <w:r>
        <w:rPr>
          <w:rFonts w:ascii="Times New Roman" w:hAnsi="Times New Roman" w:cs="Times New Roman" w:eastAsia="Times New Roman" w:hint="default"/>
        </w:rPr>
        <w:t>2019-007</w:t>
      </w:r>
      <w:r>
        <w:rPr/>
        <w:t>）。</w:t>
      </w:r>
    </w:p>
    <w:p>
      <w:pPr>
        <w:pStyle w:val="BodyText"/>
        <w:spacing w:line="300" w:lineRule="auto" w:before="13"/>
        <w:ind w:left="513" w:right="1123"/>
        <w:jc w:val="left"/>
      </w:pPr>
      <w:r>
        <w:rPr>
          <w:rFonts w:ascii="Times New Roman" w:hAnsi="Times New Roman" w:cs="Times New Roman" w:eastAsia="Times New Roman" w:hint="default"/>
          <w:b/>
          <w:bCs/>
        </w:rPr>
        <w:t>2</w:t>
      </w:r>
      <w:r>
        <w:rPr>
          <w:rFonts w:ascii="宋体" w:hAnsi="宋体" w:cs="宋体" w:eastAsia="宋体" w:hint="default"/>
          <w:b/>
          <w:bCs/>
        </w:rPr>
        <w:t>、公司员工增持计划进展情况</w:t>
      </w:r>
      <w:r>
        <w:rPr>
          <w:rFonts w:ascii="宋体" w:hAnsi="宋体" w:cs="宋体" w:eastAsia="宋体" w:hint="default"/>
          <w:b/>
          <w:bCs/>
          <w:w w:val="99"/>
        </w:rPr>
        <w:t> </w:t>
      </w:r>
      <w:r>
        <w:rPr/>
        <w:t>公司及全资子公司、控股子公司共有</w:t>
      </w:r>
      <w:r>
        <w:rPr>
          <w:rFonts w:ascii="Times New Roman" w:hAnsi="Times New Roman" w:cs="Times New Roman" w:eastAsia="Times New Roman" w:hint="default"/>
        </w:rPr>
        <w:t>114</w:t>
      </w:r>
      <w:r>
        <w:rPr/>
        <w:t>位员工自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日期间通过二级市场自愿性增持公司</w:t>
      </w:r>
    </w:p>
    <w:p>
      <w:pPr>
        <w:pStyle w:val="BodyText"/>
        <w:spacing w:line="300" w:lineRule="auto" w:before="13"/>
        <w:ind w:right="986"/>
        <w:jc w:val="left"/>
      </w:pPr>
      <w:r>
        <w:rPr>
          <w:spacing w:val="-1"/>
        </w:rPr>
        <w:t>股票，累计增持公司股票</w:t>
      </w:r>
      <w:r>
        <w:rPr>
          <w:rFonts w:ascii="Times New Roman" w:hAnsi="Times New Roman" w:cs="Times New Roman" w:eastAsia="Times New Roman" w:hint="default"/>
          <w:spacing w:val="-1"/>
        </w:rPr>
        <w:t>14,032,511</w:t>
      </w:r>
      <w:r>
        <w:rPr>
          <w:spacing w:val="-1"/>
        </w:rPr>
        <w:t>股，增持总金额为</w:t>
      </w:r>
      <w:r>
        <w:rPr>
          <w:rFonts w:ascii="Times New Roman" w:hAnsi="Times New Roman" w:cs="Times New Roman" w:eastAsia="Times New Roman" w:hint="default"/>
          <w:spacing w:val="-1"/>
        </w:rPr>
        <w:t>109,121,871.66</w:t>
      </w:r>
      <w:r>
        <w:rPr>
          <w:spacing w:val="-1"/>
        </w:rPr>
        <w:t>元。本次员工增持计划结束日期为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日。具</w:t>
      </w:r>
      <w:r>
        <w:rPr>
          <w:spacing w:val="-70"/>
        </w:rPr>
        <w:t> </w:t>
      </w:r>
      <w:r>
        <w:rPr>
          <w:spacing w:val="-70"/>
        </w:rPr>
      </w:r>
      <w:r>
        <w:rPr/>
        <w:t>体内容详见分别于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日在巨潮资讯网（</w:t>
      </w:r>
      <w:hyperlink r:id="rId12">
        <w:r>
          <w:rPr>
            <w:rFonts w:ascii="Times New Roman" w:hAnsi="Times New Roman" w:cs="Times New Roman" w:eastAsia="Times New Roman" w:hint="default"/>
          </w:rPr>
          <w:t>www.cninfo.com.cn</w:t>
        </w:r>
      </w:hyperlink>
      <w:r>
        <w:rPr/>
        <w:t>）披露的《关于公司控股股东、实</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1"/>
        <w:jc w:val="left"/>
      </w:pPr>
      <w:r>
        <w:rPr>
          <w:spacing w:val="-1"/>
        </w:rPr>
        <w:t>际控制人向公司员工发出增持公司股票倡议书的公告》（公告编号：</w:t>
      </w:r>
      <w:r>
        <w:rPr>
          <w:rFonts w:ascii="Times New Roman" w:hAnsi="Times New Roman" w:cs="Times New Roman" w:eastAsia="Times New Roman" w:hint="default"/>
          <w:spacing w:val="-1"/>
        </w:rPr>
        <w:t>2018-079</w:t>
      </w:r>
      <w:r>
        <w:rPr>
          <w:spacing w:val="-1"/>
        </w:rPr>
        <w:t>）、《关于公司控股股东、实际控制人向公司</w:t>
      </w:r>
      <w:r>
        <w:rPr/>
        <w:t> 员工发出增持公司股票倡议书的进展公告》（公告编号：</w:t>
      </w:r>
      <w:r>
        <w:rPr>
          <w:rFonts w:ascii="Times New Roman" w:hAnsi="Times New Roman" w:cs="Times New Roman" w:eastAsia="Times New Roman" w:hint="default"/>
        </w:rPr>
        <w:t>2018-094</w:t>
      </w:r>
      <w:r>
        <w:rPr/>
        <w:t>）。</w:t>
      </w:r>
    </w:p>
    <w:p>
      <w:pPr>
        <w:pStyle w:val="BodyText"/>
        <w:spacing w:line="240" w:lineRule="auto" w:before="13"/>
        <w:ind w:right="98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11"/>
        <w:rPr>
          <w:rFonts w:ascii="宋体" w:hAnsi="宋体" w:cs="宋体" w:eastAsia="宋体" w:hint="default"/>
          <w:sz w:val="21"/>
          <w:szCs w:val="21"/>
        </w:rPr>
      </w:pPr>
    </w:p>
    <w:p>
      <w:pPr>
        <w:pStyle w:val="Heading3"/>
        <w:spacing w:line="240" w:lineRule="auto"/>
        <w:ind w:right="986"/>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850"/>
        <w:gridCol w:w="853"/>
        <w:gridCol w:w="1558"/>
        <w:gridCol w:w="1277"/>
        <w:gridCol w:w="857"/>
        <w:gridCol w:w="1049"/>
        <w:gridCol w:w="792"/>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2"/>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2"/>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北京东华合创科技 有限公司、北京联 银通科技有限公司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w:t>
            </w:r>
          </w:p>
        </w:tc>
        <w:tc>
          <w:tcPr>
            <w:tcW w:w="85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57" w:type="dxa"/>
            <w:tcBorders>
              <w:top w:val="single" w:sz="4" w:space="0" w:color="000000"/>
              <w:left w:val="single" w:sz="4" w:space="0" w:color="000000"/>
              <w:bottom w:val="nil" w:sz="6" w:space="0" w:color="auto"/>
              <w:right w:val="single" w:sz="4" w:space="0" w:color="000000"/>
            </w:tcBorders>
          </w:tcPr>
          <w:p>
            <w:pPr/>
          </w:p>
        </w:tc>
        <w:tc>
          <w:tcPr>
            <w:tcW w:w="1049"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有限公司、北京联 银通科技有限公 司、北京神州新桥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w w:val="95"/>
                <w:sz w:val="18"/>
              </w:rPr>
              <w:t>11,766.71</w:t>
            </w:r>
          </w:p>
        </w:tc>
        <w:tc>
          <w:tcPr>
            <w:tcW w:w="8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85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1049"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9,504.18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817.44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北京东华合创香港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3,488.81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2,171.27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850"/>
        <w:gridCol w:w="853"/>
        <w:gridCol w:w="1558"/>
        <w:gridCol w:w="1277"/>
        <w:gridCol w:w="857"/>
        <w:gridCol w:w="1047"/>
        <w:gridCol w:w="790"/>
        <w:gridCol w:w="785"/>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3,941.7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 w:right="84"/>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4" w:right="6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81,288.81</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28,624.26</w:t>
            </w:r>
          </w:p>
        </w:tc>
      </w:tr>
      <w:tr>
        <w:trPr>
          <w:trHeight w:val="71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4"/>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83,288.81</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28,206.93</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2"/>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81,288.81</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28,624.26</w:t>
            </w:r>
          </w:p>
        </w:tc>
      </w:tr>
      <w:tr>
        <w:trPr>
          <w:trHeight w:val="71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83,288.81</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28,206.93</w:t>
            </w:r>
          </w:p>
        </w:tc>
      </w:tr>
      <w:tr>
        <w:trPr>
          <w:trHeight w:val="403" w:hRule="exact"/>
        </w:trPr>
        <w:tc>
          <w:tcPr>
            <w:tcW w:w="48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2.96%</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5" w:hRule="exact"/>
        </w:trPr>
        <w:tc>
          <w:tcPr>
            <w:tcW w:w="482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04"/>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 偿责任的情况说明（如有）</w:t>
            </w:r>
          </w:p>
        </w:tc>
        <w:tc>
          <w:tcPr>
            <w:tcW w:w="47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60" w:lineRule="auto" w:before="49"/>
        <w:ind w:right="8054"/>
        <w:jc w:val="left"/>
      </w:pPr>
      <w:r>
        <w:rPr/>
        <w:t>采用复合方式担保的具体情况说明 不适用</w:t>
      </w:r>
    </w:p>
    <w:p>
      <w:pPr>
        <w:spacing w:line="240" w:lineRule="auto" w:before="5"/>
        <w:rPr>
          <w:rFonts w:ascii="宋体" w:hAnsi="宋体" w:cs="宋体" w:eastAsia="宋体" w:hint="default"/>
          <w:sz w:val="20"/>
          <w:szCs w:val="20"/>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11"/>
        <w:rPr>
          <w:rFonts w:ascii="宋体" w:hAnsi="宋体" w:cs="宋体" w:eastAsia="宋体" w:hint="default"/>
          <w:sz w:val="21"/>
          <w:szCs w:val="21"/>
        </w:rPr>
      </w:pPr>
    </w:p>
    <w:p>
      <w:pPr>
        <w:pStyle w:val="Heading3"/>
        <w:spacing w:line="240" w:lineRule="auto"/>
        <w:ind w:right="986"/>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29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具体内容详情参见巨潮资讯网（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披露的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年东华软件股份公司社会责任报告。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BodyText"/>
        <w:spacing w:line="240" w:lineRule="auto" w:before="49"/>
        <w:ind w:right="986"/>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spacing w:line="240" w:lineRule="auto" w:before="5"/>
        <w:rPr>
          <w:rFonts w:ascii="宋体" w:hAnsi="宋体" w:cs="宋体" w:eastAsia="宋体" w:hint="default"/>
          <w:sz w:val="18"/>
          <w:szCs w:val="18"/>
        </w:rPr>
      </w:pPr>
    </w:p>
    <w:p>
      <w:pPr>
        <w:pStyle w:val="Heading3"/>
        <w:spacing w:line="240" w:lineRule="auto"/>
        <w:ind w:right="986"/>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63"/>
        <w:ind w:right="1130" w:firstLine="360"/>
        <w:jc w:val="both"/>
      </w:pPr>
      <w:r>
        <w:rPr>
          <w:rFonts w:ascii="Times New Roman" w:hAnsi="Times New Roman" w:cs="Times New Roman" w:eastAsia="Times New Roman" w:hint="default"/>
          <w:spacing w:val="-2"/>
        </w:rPr>
        <w:t>1</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日公司第六届董事会第二十二次会议审议通过了《关于对外投资设立东华合创信通软件股份</w:t>
      </w:r>
      <w:r>
        <w:rPr/>
        <w:t> 有限公司的议案》，同意公司与北京东华合创科技有限公司共同出资人民币</w:t>
      </w:r>
      <w:r>
        <w:rPr>
          <w:rFonts w:ascii="Times New Roman" w:hAnsi="Times New Roman" w:cs="Times New Roman" w:eastAsia="Times New Roman" w:hint="default"/>
        </w:rPr>
        <w:t>6,000</w:t>
      </w:r>
      <w:r>
        <w:rPr/>
        <w:t>万元，设立东华合创信通软件股份有限公</w:t>
      </w:r>
      <w:r>
        <w:rPr>
          <w:spacing w:val="-42"/>
        </w:rPr>
        <w:t> </w:t>
      </w:r>
      <w:r>
        <w:rPr>
          <w:spacing w:val="-42"/>
        </w:rPr>
      </w:r>
      <w:r>
        <w:rPr>
          <w:spacing w:val="-1"/>
        </w:rPr>
        <w:t>司。详见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日刊登在《中国证券报》、《证券日报》、《证券时报》及巨潮资讯网（</w:t>
      </w:r>
      <w:hyperlink r:id="rId12">
        <w:r>
          <w:rPr>
            <w:rFonts w:ascii="Times New Roman" w:hAnsi="Times New Roman" w:cs="Times New Roman" w:eastAsia="Times New Roman" w:hint="default"/>
            <w:spacing w:val="-1"/>
          </w:rPr>
          <w:t>www.cninfo.com.cn</w:t>
        </w:r>
      </w:hyperlink>
      <w:r>
        <w:rPr>
          <w:spacing w:val="-1"/>
        </w:rPr>
        <w:t>）的《东</w:t>
      </w:r>
      <w:r>
        <w:rPr>
          <w:spacing w:val="-52"/>
        </w:rPr>
        <w:t> </w:t>
      </w:r>
      <w:r>
        <w:rPr>
          <w:spacing w:val="-52"/>
        </w:rPr>
      </w:r>
      <w:r>
        <w:rPr/>
        <w:t>华软件股份公司对外投资公告》（公告编号：</w:t>
      </w:r>
      <w:r>
        <w:rPr>
          <w:rFonts w:ascii="Times New Roman" w:hAnsi="Times New Roman" w:cs="Times New Roman" w:eastAsia="Times New Roman" w:hint="default"/>
        </w:rPr>
        <w:t>2019-002</w:t>
      </w:r>
      <w:r>
        <w:rPr/>
        <w:t>）。</w:t>
      </w:r>
    </w:p>
    <w:p>
      <w:pPr>
        <w:pStyle w:val="BodyText"/>
        <w:spacing w:line="300" w:lineRule="auto" w:before="13"/>
        <w:ind w:right="1128" w:firstLine="360"/>
        <w:jc w:val="both"/>
      </w:pPr>
      <w:r>
        <w:rPr>
          <w:rFonts w:ascii="Times New Roman" w:hAnsi="Times New Roman" w:cs="Times New Roman" w:eastAsia="Times New Roman" w:hint="default"/>
          <w:spacing w:val="-2"/>
        </w:rPr>
        <w:t>2</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日公司第六届董事会第二十四次会议审议通过了《关于对外投资设立东华医为大数据有限公</w:t>
      </w:r>
      <w:r>
        <w:rPr/>
        <w:t> </w:t>
      </w:r>
      <w:r>
        <w:rPr>
          <w:spacing w:val="-1"/>
        </w:rPr>
        <w:t>司的议案》，同意公司全资子公司东华医为科技有限公司以自筹资金出资人民币</w:t>
      </w:r>
      <w:r>
        <w:rPr>
          <w:rFonts w:ascii="Times New Roman" w:hAnsi="Times New Roman" w:cs="Times New Roman" w:eastAsia="Times New Roman" w:hint="default"/>
          <w:spacing w:val="-1"/>
        </w:rPr>
        <w:t>10,000</w:t>
      </w:r>
      <w:r>
        <w:rPr>
          <w:spacing w:val="-1"/>
        </w:rPr>
        <w:t>万元对外投资设立东华医为大数据有</w:t>
      </w:r>
      <w:r>
        <w:rPr>
          <w:spacing w:val="-73"/>
        </w:rPr>
        <w:t> </w:t>
      </w:r>
      <w:r>
        <w:rPr>
          <w:spacing w:val="-73"/>
        </w:rPr>
      </w:r>
      <w:r>
        <w:rPr>
          <w:spacing w:val="-1"/>
        </w:rPr>
        <w:t>限公司。详见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日刊登在《中国证券报》、《证券日报》、《证券时报》及巨潮资讯网（</w:t>
      </w:r>
      <w:hyperlink r:id="rId12">
        <w:r>
          <w:rPr>
            <w:rFonts w:ascii="Times New Roman" w:hAnsi="Times New Roman" w:cs="Times New Roman" w:eastAsia="Times New Roman" w:hint="default"/>
            <w:spacing w:val="-1"/>
          </w:rPr>
          <w:t>www.cninfo.com.cn</w:t>
        </w:r>
      </w:hyperlink>
      <w:r>
        <w:rPr>
          <w:spacing w:val="-1"/>
        </w:rPr>
        <w:t>）的</w:t>
      </w:r>
    </w:p>
    <w:p>
      <w:pPr>
        <w:pStyle w:val="BodyText"/>
        <w:spacing w:line="240" w:lineRule="auto" w:before="13"/>
        <w:ind w:right="986"/>
        <w:jc w:val="left"/>
      </w:pPr>
      <w:r>
        <w:rPr/>
        <w:t>《东华软件股份公司关于全资子公司对外投资设立子公司的公告》（公告编号：</w:t>
      </w:r>
      <w:r>
        <w:rPr>
          <w:rFonts w:ascii="Times New Roman" w:hAnsi="Times New Roman" w:cs="Times New Roman" w:eastAsia="Times New Roman" w:hint="default"/>
        </w:rPr>
        <w:t>2019-011</w:t>
      </w:r>
      <w:r>
        <w:rPr/>
        <w:t>）。</w:t>
      </w:r>
    </w:p>
    <w:p>
      <w:pPr>
        <w:pStyle w:val="BodyText"/>
        <w:spacing w:line="300" w:lineRule="auto" w:before="63"/>
        <w:ind w:right="1130" w:firstLine="360"/>
        <w:jc w:val="both"/>
      </w:pPr>
      <w:r>
        <w:rPr>
          <w:rFonts w:ascii="Times New Roman" w:hAnsi="Times New Roman" w:cs="Times New Roman" w:eastAsia="Times New Roman" w:hint="default"/>
          <w:spacing w:val="-2"/>
        </w:rPr>
        <w:t>3</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日公司第六届董事会第二十四次会议审议通过了《关于对外投资设立东华软件（长沙）有限</w:t>
      </w:r>
      <w:r>
        <w:rPr/>
        <w:t> </w:t>
      </w:r>
      <w:r>
        <w:rPr>
          <w:spacing w:val="-1"/>
        </w:rPr>
        <w:t>公司的议案》，同意公司与全资子公司北京东华合创科技有限公司共同出资人民币</w:t>
      </w:r>
      <w:r>
        <w:rPr>
          <w:rFonts w:ascii="Times New Roman" w:hAnsi="Times New Roman" w:cs="Times New Roman" w:eastAsia="Times New Roman" w:hint="default"/>
          <w:spacing w:val="-1"/>
        </w:rPr>
        <w:t>20,000</w:t>
      </w:r>
      <w:r>
        <w:rPr>
          <w:spacing w:val="-1"/>
        </w:rPr>
        <w:t>万元设立东华软件（长沙）有限公</w:t>
      </w:r>
      <w:r>
        <w:rPr>
          <w:spacing w:val="-74"/>
        </w:rPr>
        <w:t> </w:t>
      </w:r>
      <w:r>
        <w:rPr>
          <w:spacing w:val="-74"/>
        </w:rPr>
      </w:r>
      <w:r>
        <w:rPr>
          <w:spacing w:val="-1"/>
        </w:rPr>
        <w:t>司。详见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日刊登在《中国证券报》、《证券日报》、《证券时报》及巨潮资讯网（</w:t>
      </w:r>
      <w:hyperlink r:id="rId12">
        <w:r>
          <w:rPr>
            <w:rFonts w:ascii="Times New Roman" w:hAnsi="Times New Roman" w:cs="Times New Roman" w:eastAsia="Times New Roman" w:hint="default"/>
            <w:spacing w:val="-1"/>
          </w:rPr>
          <w:t>www.cninfo.com.cn</w:t>
        </w:r>
      </w:hyperlink>
      <w:r>
        <w:rPr>
          <w:spacing w:val="-1"/>
        </w:rPr>
        <w:t>）的《东</w:t>
      </w:r>
      <w:r>
        <w:rPr>
          <w:spacing w:val="-53"/>
        </w:rPr>
        <w:t> </w:t>
      </w:r>
      <w:r>
        <w:rPr>
          <w:spacing w:val="-53"/>
        </w:rPr>
      </w:r>
      <w:r>
        <w:rPr/>
        <w:t>华软件股份公司对外投资公告》（公告编号：</w:t>
      </w:r>
      <w:r>
        <w:rPr>
          <w:rFonts w:ascii="Times New Roman" w:hAnsi="Times New Roman" w:cs="Times New Roman" w:eastAsia="Times New Roman" w:hint="default"/>
        </w:rPr>
        <w:t>2019-012</w:t>
      </w:r>
      <w:r>
        <w:rPr/>
        <w:t>）。</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095" w:firstLine="360"/>
        <w:jc w:val="both"/>
      </w:pPr>
      <w:r>
        <w:rPr>
          <w:rFonts w:ascii="Times New Roman" w:hAnsi="Times New Roman" w:cs="Times New Roman" w:eastAsia="Times New Roman" w:hint="default"/>
          <w:spacing w:val="-2"/>
        </w:rPr>
        <w:t>4</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日公司第六届董事会第二十五次会议审议通过了《关于对外投资设立东华指尖科技有限公司</w:t>
      </w:r>
      <w:r>
        <w:rPr/>
        <w:t> 的议案》，同意公司及其全资子公司北京东华合创科技有限公司共同出资人民币</w:t>
      </w:r>
      <w:r>
        <w:rPr>
          <w:rFonts w:ascii="Times New Roman" w:hAnsi="Times New Roman" w:cs="Times New Roman" w:eastAsia="Times New Roman" w:hint="default"/>
        </w:rPr>
        <w:t>10,000</w:t>
      </w:r>
      <w:r>
        <w:rPr/>
        <w:t>万元，设立东华指尖科技有限公司。 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日刊登在《中国证券报》、《证券日报》、《证券时报》及巨潮资讯网（</w:t>
      </w:r>
      <w:hyperlink r:id="rId12">
        <w:r>
          <w:rPr>
            <w:rFonts w:ascii="Times New Roman" w:hAnsi="Times New Roman" w:cs="Times New Roman" w:eastAsia="Times New Roman" w:hint="default"/>
          </w:rPr>
          <w:t>www.cninfo.com.cn</w:t>
        </w:r>
      </w:hyperlink>
      <w:r>
        <w:rPr/>
        <w:t>）的《东华软 件股份公司对外投资公告》（公告编号：</w:t>
      </w:r>
      <w:r>
        <w:rPr>
          <w:rFonts w:ascii="Times New Roman" w:hAnsi="Times New Roman" w:cs="Times New Roman" w:eastAsia="Times New Roman" w:hint="default"/>
        </w:rPr>
        <w:t>2019-018</w:t>
      </w:r>
      <w:r>
        <w:rPr/>
        <w:t>）。</w:t>
      </w:r>
    </w:p>
    <w:p>
      <w:pPr>
        <w:pStyle w:val="BodyText"/>
        <w:spacing w:line="300" w:lineRule="auto" w:before="13"/>
        <w:ind w:right="1132" w:firstLine="360"/>
        <w:jc w:val="both"/>
      </w:pPr>
      <w:r>
        <w:rPr>
          <w:rFonts w:ascii="Times New Roman" w:hAnsi="Times New Roman" w:cs="Times New Roman" w:eastAsia="Times New Roman" w:hint="default"/>
          <w:spacing w:val="-2"/>
        </w:rPr>
        <w:t>5</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日公司第六届董事会第二十六次会议审议通过了《东华软件股份公司关于对外投资设立东华</w:t>
      </w:r>
      <w:r>
        <w:rPr/>
        <w:t> </w:t>
      </w:r>
      <w:r>
        <w:rPr>
          <w:spacing w:val="-1"/>
        </w:rPr>
        <w:t>软件（扬州）有限公司的议案》，同意公司与全资子公司北京东华合创科技有限公司以自筹资金共同出资人民币</w:t>
      </w:r>
      <w:r>
        <w:rPr>
          <w:rFonts w:ascii="Times New Roman" w:hAnsi="Times New Roman" w:cs="Times New Roman" w:eastAsia="Times New Roman" w:hint="default"/>
          <w:spacing w:val="-1"/>
        </w:rPr>
        <w:t>10,000</w:t>
      </w:r>
      <w:r>
        <w:rPr>
          <w:spacing w:val="-1"/>
        </w:rPr>
        <w:t>万元</w:t>
      </w:r>
      <w:r>
        <w:rPr>
          <w:spacing w:val="-74"/>
        </w:rPr>
        <w:t> </w:t>
      </w:r>
      <w:r>
        <w:rPr/>
        <w:t>设立东华软件（扬州）有限公司。详见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日刊登在《中国证券报》、《证券日报》、《证券时报》及巨潮资讯网</w:t>
      </w:r>
    </w:p>
    <w:p>
      <w:pPr>
        <w:pStyle w:val="BodyText"/>
        <w:spacing w:line="240" w:lineRule="auto" w:before="13"/>
        <w:ind w:right="986"/>
        <w:jc w:val="left"/>
      </w:pPr>
      <w:r>
        <w:rPr/>
        <w:t>（</w:t>
      </w:r>
      <w:hyperlink r:id="rId12">
        <w:r>
          <w:rPr>
            <w:rFonts w:ascii="Times New Roman" w:hAnsi="Times New Roman" w:cs="Times New Roman" w:eastAsia="Times New Roman" w:hint="default"/>
          </w:rPr>
          <w:t>www.cninfo.com.cn</w:t>
        </w:r>
      </w:hyperlink>
      <w:r>
        <w:rPr/>
        <w:t>）上的《东华软件股份公司对外投资公告</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2019-029</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6</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日公司第六届董事会第二十六次会议审议通过了《东华软件股份公司关于对外投资设立东华</w:t>
      </w:r>
      <w:r>
        <w:rPr/>
        <w:t> </w:t>
      </w:r>
      <w:r>
        <w:rPr>
          <w:spacing w:val="-1"/>
        </w:rPr>
        <w:t>智金科技有限公司的议案》，同意公司与全资子公司北京东华合创科技有限公司以自筹资金共同出资人民币</w:t>
      </w:r>
      <w:r>
        <w:rPr>
          <w:rFonts w:ascii="Times New Roman" w:hAnsi="Times New Roman" w:cs="Times New Roman" w:eastAsia="Times New Roman" w:hint="default"/>
          <w:spacing w:val="-1"/>
        </w:rPr>
        <w:t>10,000</w:t>
      </w:r>
      <w:r>
        <w:rPr>
          <w:spacing w:val="-1"/>
        </w:rPr>
        <w:t>万元设立</w:t>
      </w:r>
      <w:r>
        <w:rPr>
          <w:spacing w:val="-71"/>
        </w:rPr>
        <w:t> </w:t>
      </w:r>
      <w:r>
        <w:rPr>
          <w:spacing w:val="-71"/>
        </w:rPr>
      </w:r>
      <w:r>
        <w:rPr>
          <w:spacing w:val="13"/>
        </w:rPr>
        <w:t>东华智金科技有限公司。详见</w:t>
      </w:r>
      <w:r>
        <w:rPr>
          <w:spacing w:val="-67"/>
        </w:rPr>
        <w:t> </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30</w:t>
      </w:r>
      <w:r>
        <w:rPr>
          <w:spacing w:val="9"/>
        </w:rPr>
        <w:t>日刊登在《中</w:t>
      </w:r>
      <w:r>
        <w:rPr>
          <w:spacing w:val="-68"/>
        </w:rPr>
        <w:t> </w:t>
      </w:r>
      <w:r>
        <w:rPr>
          <w:spacing w:val="12"/>
        </w:rPr>
        <w:t>国证券报》、《</w:t>
      </w:r>
      <w:r>
        <w:rPr>
          <w:spacing w:val="-68"/>
        </w:rPr>
        <w:t> </w:t>
      </w:r>
      <w:r>
        <w:rPr>
          <w:spacing w:val="13"/>
        </w:rPr>
        <w:t>证券日报》、《证券时报》</w:t>
      </w:r>
      <w:r>
        <w:rPr>
          <w:spacing w:val="-68"/>
        </w:rPr>
        <w:t> </w:t>
      </w:r>
      <w:r>
        <w:rPr>
          <w:spacing w:val="12"/>
        </w:rPr>
        <w:t>及巨潮资讯网</w:t>
      </w:r>
    </w:p>
    <w:p>
      <w:pPr>
        <w:pStyle w:val="BodyText"/>
        <w:spacing w:line="240" w:lineRule="auto" w:before="13"/>
        <w:ind w:right="986"/>
        <w:jc w:val="left"/>
      </w:pPr>
      <w:r>
        <w:rPr/>
        <w:t>（</w:t>
      </w:r>
      <w:hyperlink r:id="rId12">
        <w:r>
          <w:rPr>
            <w:rFonts w:ascii="Times New Roman" w:hAnsi="Times New Roman" w:cs="Times New Roman" w:eastAsia="Times New Roman" w:hint="default"/>
          </w:rPr>
          <w:t>www.cninfo.com.cn</w:t>
        </w:r>
      </w:hyperlink>
      <w:r>
        <w:rPr/>
        <w:t>）上的《东华软件股份公司对外投资公告</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w:t>
      </w:r>
      <w:r>
        <w:rPr>
          <w:spacing w:val="-27"/>
        </w:rPr>
        <w:t> </w:t>
      </w:r>
      <w:r>
        <w:rPr/>
        <w:t>（公告编号：</w:t>
      </w:r>
      <w:r>
        <w:rPr>
          <w:rFonts w:ascii="Times New Roman" w:hAnsi="Times New Roman" w:cs="Times New Roman" w:eastAsia="Times New Roman" w:hint="default"/>
        </w:rPr>
        <w:t>2019-030</w:t>
      </w:r>
      <w:r>
        <w:rPr/>
        <w:t>）。</w:t>
      </w:r>
    </w:p>
    <w:p>
      <w:pPr>
        <w:pStyle w:val="BodyText"/>
        <w:spacing w:line="300" w:lineRule="auto" w:before="63"/>
        <w:ind w:right="1042" w:firstLine="432"/>
        <w:jc w:val="left"/>
      </w:pPr>
      <w:r>
        <w:rPr>
          <w:rFonts w:ascii="Times New Roman" w:hAnsi="Times New Roman" w:cs="Times New Roman" w:eastAsia="Times New Roman" w:hint="default"/>
        </w:rPr>
        <w:t>7</w:t>
      </w:r>
      <w:r>
        <w:rPr/>
        <w:t>、报告期内，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日公司第六届董事会第二十七次会议审议通过了《关于对外投资设立静海东华智慧产业技 术有限公司的议案》，同意公司与全资子公司北京东华合创科技有限公司共同出资人民币</w:t>
      </w:r>
      <w:r>
        <w:rPr>
          <w:rFonts w:ascii="Times New Roman" w:hAnsi="Times New Roman" w:cs="Times New Roman" w:eastAsia="Times New Roman" w:hint="default"/>
        </w:rPr>
        <w:t>10,000</w:t>
      </w:r>
      <w:r>
        <w:rPr/>
        <w:t>万元设立静海东华智慧产业 </w:t>
      </w:r>
      <w:r>
        <w:rPr>
          <w:spacing w:val="-5"/>
        </w:rPr>
        <w:t>技术有限公司。详见</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29</w:t>
      </w:r>
      <w:r>
        <w:rPr>
          <w:spacing w:val="-5"/>
        </w:rPr>
        <w:t>日刊登在《中国证券报》、《证券日报》、《证券时报》及巨潮资讯网（</w:t>
      </w:r>
      <w:hyperlink r:id="rId12">
        <w:r>
          <w:rPr>
            <w:rFonts w:ascii="Times New Roman" w:hAnsi="Times New Roman" w:cs="Times New Roman" w:eastAsia="Times New Roman" w:hint="default"/>
            <w:spacing w:val="-5"/>
          </w:rPr>
          <w:t>www.cninfo.com.cn</w:t>
        </w:r>
      </w:hyperlink>
      <w:r>
        <w:rPr>
          <w:spacing w:val="-5"/>
        </w:rPr>
        <w:t>）</w:t>
      </w:r>
      <w:r>
        <w:rPr>
          <w:spacing w:val="-47"/>
        </w:rPr>
        <w:t> </w:t>
      </w:r>
      <w:r>
        <w:rPr/>
        <w:t>的《东华软件股份公司对外投资公告》（公告编号：</w:t>
      </w:r>
      <w:r>
        <w:rPr>
          <w:rFonts w:ascii="Times New Roman" w:hAnsi="Times New Roman" w:cs="Times New Roman" w:eastAsia="Times New Roman" w:hint="default"/>
        </w:rPr>
        <w:t>2019-038</w:t>
      </w:r>
      <w:r>
        <w:rPr/>
        <w:t>）。</w:t>
      </w:r>
    </w:p>
    <w:p>
      <w:pPr>
        <w:pStyle w:val="BodyText"/>
        <w:spacing w:line="300" w:lineRule="auto" w:before="13"/>
        <w:ind w:right="1131" w:firstLine="360"/>
        <w:jc w:val="both"/>
      </w:pPr>
      <w:r>
        <w:rPr>
          <w:rFonts w:ascii="Times New Roman" w:hAnsi="Times New Roman" w:cs="Times New Roman" w:eastAsia="Times New Roman" w:hint="default"/>
          <w:spacing w:val="-2"/>
        </w:rPr>
        <w:t>8</w:t>
      </w:r>
      <w:r>
        <w:rPr>
          <w:spacing w:val="-2"/>
        </w:rPr>
        <w:t>、报告期内，</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w:t>
      </w:r>
      <w:r>
        <w:rPr>
          <w:rFonts w:ascii="Times New Roman" w:hAnsi="Times New Roman" w:cs="Times New Roman" w:eastAsia="Times New Roman" w:hint="default"/>
          <w:spacing w:val="-2"/>
        </w:rPr>
        <w:t>2019</w:t>
      </w:r>
      <w:r>
        <w:rPr>
          <w:spacing w:val="-2"/>
        </w:rPr>
        <w:t>年第一次临时股东大会审议通过了《关于公司拟以自有资金认购北京和隆优化科</w:t>
      </w:r>
      <w:r>
        <w:rPr/>
        <w:t> 技股份有限公司非公开发行股份的议案》。详见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日刊登在《中国证券报》、《证券日报》、《证券时报》及巨</w:t>
      </w:r>
      <w:r>
        <w:rPr>
          <w:spacing w:val="-85"/>
        </w:rPr>
        <w:t> </w:t>
      </w:r>
      <w:r>
        <w:rPr>
          <w:spacing w:val="-85"/>
        </w:rPr>
      </w:r>
      <w:r>
        <w:rPr/>
        <w:t>潮资讯网（</w:t>
      </w:r>
      <w:hyperlink r:id="rId12">
        <w:r>
          <w:rPr>
            <w:rFonts w:ascii="Times New Roman" w:hAnsi="Times New Roman" w:cs="Times New Roman" w:eastAsia="Times New Roman" w:hint="default"/>
          </w:rPr>
          <w:t>www.cninfo.com.cn</w:t>
        </w:r>
      </w:hyperlink>
      <w:r>
        <w:rPr/>
        <w:t>）的《东华软件股份公司</w:t>
      </w:r>
      <w:r>
        <w:rPr>
          <w:rFonts w:ascii="Times New Roman" w:hAnsi="Times New Roman" w:cs="Times New Roman" w:eastAsia="Times New Roman" w:hint="default"/>
        </w:rPr>
        <w:t>2019</w:t>
      </w:r>
      <w:r>
        <w:rPr/>
        <w:t>年第一次临时股东大会决议公告》（公告编号：</w:t>
      </w:r>
      <w:r>
        <w:rPr>
          <w:rFonts w:ascii="Times New Roman" w:hAnsi="Times New Roman" w:cs="Times New Roman" w:eastAsia="Times New Roman" w:hint="default"/>
        </w:rPr>
        <w:t>2019-056</w:t>
      </w:r>
      <w:r>
        <w:rPr/>
        <w:t>）。</w:t>
      </w:r>
    </w:p>
    <w:p>
      <w:pPr>
        <w:pStyle w:val="BodyText"/>
        <w:spacing w:line="300" w:lineRule="auto" w:before="13"/>
        <w:ind w:right="1130" w:firstLine="432"/>
        <w:jc w:val="both"/>
      </w:pPr>
      <w:r>
        <w:rPr>
          <w:rFonts w:ascii="Times New Roman" w:hAnsi="Times New Roman" w:cs="Times New Roman" w:eastAsia="Times New Roman" w:hint="default"/>
        </w:rPr>
        <w:t>9</w:t>
      </w:r>
      <w:r>
        <w:rPr/>
        <w:t>、报告期内，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日公司第六届董事会第三十二次会议审议通过了《关于对外投资设立曹州云都技术有限公 司的议案》，同意公司与全资子公司北京东华合创科技有限公司共同出资人民币</w:t>
      </w:r>
      <w:r>
        <w:rPr>
          <w:rFonts w:ascii="Times New Roman" w:hAnsi="Times New Roman" w:cs="Times New Roman" w:eastAsia="Times New Roman" w:hint="default"/>
        </w:rPr>
        <w:t>5,000</w:t>
      </w:r>
      <w:r>
        <w:rPr/>
        <w:t>万元设立曹州云都技术有限公司。详</w:t>
      </w:r>
      <w:r>
        <w:rPr>
          <w:spacing w:val="-40"/>
        </w:rPr>
        <w:t> </w:t>
      </w:r>
      <w:r>
        <w:rPr>
          <w:spacing w:val="-40"/>
        </w:rPr>
      </w:r>
      <w:r>
        <w:rPr>
          <w:spacing w:val="-1"/>
        </w:rPr>
        <w:t>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日刊登在《中国证券报》、《证券日报》、《证券时报》及巨潮资讯网（</w:t>
      </w:r>
      <w:hyperlink r:id="rId12">
        <w:r>
          <w:rPr>
            <w:rFonts w:ascii="Times New Roman" w:hAnsi="Times New Roman" w:cs="Times New Roman" w:eastAsia="Times New Roman" w:hint="default"/>
            <w:spacing w:val="-1"/>
          </w:rPr>
          <w:t>www.cninfo.com.cn</w:t>
        </w:r>
      </w:hyperlink>
      <w:r>
        <w:rPr>
          <w:spacing w:val="-1"/>
        </w:rPr>
        <w:t>）的《东华软件</w:t>
      </w:r>
      <w:r>
        <w:rPr>
          <w:spacing w:val="-53"/>
        </w:rPr>
        <w:t> </w:t>
      </w:r>
      <w:r>
        <w:rPr>
          <w:spacing w:val="-53"/>
        </w:rPr>
      </w:r>
      <w:r>
        <w:rPr/>
        <w:t>股份公司对外投资公告（一）》（公告编号：</w:t>
      </w:r>
      <w:r>
        <w:rPr>
          <w:rFonts w:ascii="Times New Roman" w:hAnsi="Times New Roman" w:cs="Times New Roman" w:eastAsia="Times New Roman" w:hint="default"/>
        </w:rPr>
        <w:t>2019-060</w:t>
      </w:r>
      <w:r>
        <w:rPr/>
        <w:t>）。</w:t>
      </w:r>
    </w:p>
    <w:p>
      <w:pPr>
        <w:pStyle w:val="BodyText"/>
        <w:spacing w:line="300" w:lineRule="auto" w:before="13"/>
        <w:ind w:right="1040" w:firstLine="432"/>
        <w:jc w:val="left"/>
      </w:pPr>
      <w:r>
        <w:rPr>
          <w:rFonts w:ascii="Times New Roman" w:hAnsi="Times New Roman" w:cs="Times New Roman" w:eastAsia="Times New Roman" w:hint="default"/>
          <w:spacing w:val="-5"/>
        </w:rPr>
        <w:t>10</w:t>
      </w:r>
      <w:r>
        <w:rPr>
          <w:spacing w:val="-5"/>
        </w:rPr>
        <w:t>、报告期内，</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w:t>
      </w:r>
      <w:r>
        <w:rPr>
          <w:spacing w:val="-5"/>
        </w:rPr>
        <w:t>日公司第六届董事会第三十二次会议审议通过了《关于对外投资设立东华云与智慧城市（宁</w:t>
      </w:r>
      <w:r>
        <w:rPr/>
        <w:t> 波）有限公司的议案》，同意公司与全资子公司北京东华合创科技有限公司共同出资人民币</w:t>
      </w:r>
      <w:r>
        <w:rPr>
          <w:rFonts w:ascii="Times New Roman" w:hAnsi="Times New Roman" w:cs="Times New Roman" w:eastAsia="Times New Roman" w:hint="default"/>
        </w:rPr>
        <w:t>10,000</w:t>
      </w:r>
      <w:r>
        <w:rPr/>
        <w:t>万元设立东华云与智慧城 </w:t>
      </w:r>
      <w:r>
        <w:rPr>
          <w:spacing w:val="-12"/>
          <w:w w:val="99"/>
        </w:rPr>
        <w:t>市（宁波）有限公司。详见</w:t>
      </w:r>
      <w:r>
        <w:rPr>
          <w:rFonts w:ascii="Times New Roman" w:hAnsi="Times New Roman" w:cs="Times New Roman" w:eastAsia="Times New Roman" w:hint="default"/>
          <w:spacing w:val="-12"/>
          <w:w w:val="99"/>
        </w:rPr>
        <w:t>2019</w:t>
      </w:r>
      <w:r>
        <w:rPr>
          <w:spacing w:val="-12"/>
          <w:w w:val="99"/>
        </w:rPr>
        <w:t>年</w:t>
      </w:r>
      <w:r>
        <w:rPr>
          <w:rFonts w:ascii="Times New Roman" w:hAnsi="Times New Roman" w:cs="Times New Roman" w:eastAsia="Times New Roman" w:hint="default"/>
          <w:spacing w:val="-12"/>
          <w:w w:val="99"/>
        </w:rPr>
        <w:t>11</w:t>
      </w:r>
      <w:r>
        <w:rPr>
          <w:spacing w:val="-12"/>
          <w:w w:val="99"/>
        </w:rPr>
        <w:t>月</w:t>
      </w:r>
      <w:r>
        <w:rPr>
          <w:rFonts w:ascii="Times New Roman" w:hAnsi="Times New Roman" w:cs="Times New Roman" w:eastAsia="Times New Roman" w:hint="default"/>
          <w:spacing w:val="-12"/>
          <w:w w:val="99"/>
        </w:rPr>
        <w:t>2</w:t>
      </w:r>
      <w:r>
        <w:rPr>
          <w:spacing w:val="-12"/>
          <w:w w:val="99"/>
        </w:rPr>
        <w:t>日刊登在《中国证券报》、《证券日报》、《证券时报》及巨潮资讯网（</w:t>
      </w:r>
      <w:hyperlink r:id="rId12">
        <w:r>
          <w:rPr>
            <w:rFonts w:ascii="Times New Roman" w:hAnsi="Times New Roman" w:cs="Times New Roman" w:eastAsia="Times New Roman" w:hint="default"/>
            <w:spacing w:val="-12"/>
            <w:w w:val="99"/>
          </w:rPr>
          <w:t>www.cninfo.com.cn</w:t>
        </w:r>
      </w:hyperlink>
      <w:r>
        <w:rPr>
          <w:spacing w:val="-12"/>
          <w:w w:val="99"/>
        </w:rPr>
        <w:t>）</w:t>
      </w:r>
      <w:r>
        <w:rPr>
          <w:spacing w:val="-75"/>
          <w:w w:val="99"/>
        </w:rPr>
        <w:t> </w:t>
      </w:r>
      <w:r>
        <w:rPr/>
        <w:t>的《东华软件股份公司对外投资公告（二）》（公告编号：</w:t>
      </w:r>
      <w:r>
        <w:rPr>
          <w:rFonts w:ascii="Times New Roman" w:hAnsi="Times New Roman" w:cs="Times New Roman" w:eastAsia="Times New Roman" w:hint="default"/>
        </w:rPr>
        <w:t>2019-061</w:t>
      </w:r>
      <w:r>
        <w:rPr/>
        <w:t>）。</w:t>
      </w:r>
    </w:p>
    <w:p>
      <w:pPr>
        <w:spacing w:after="0" w:line="3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045" w:right="986"/>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1177"/>
        <w:gridCol w:w="850"/>
        <w:gridCol w:w="850"/>
        <w:gridCol w:w="416"/>
        <w:gridCol w:w="1145"/>
        <w:gridCol w:w="569"/>
        <w:gridCol w:w="425"/>
        <w:gridCol w:w="112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113" w:right="110"/>
              <w:jc w:val="left"/>
              <w:rPr>
                <w:rFonts w:ascii="宋体" w:hAnsi="宋体" w:cs="宋体" w:eastAsia="宋体" w:hint="default"/>
                <w:sz w:val="18"/>
                <w:szCs w:val="18"/>
              </w:rPr>
            </w:pPr>
            <w:r>
              <w:rPr>
                <w:rFonts w:ascii="宋体" w:hAnsi="宋体" w:cs="宋体" w:eastAsia="宋体" w:hint="default"/>
                <w:sz w:val="18"/>
                <w:szCs w:val="18"/>
              </w:rPr>
              <w:t>送 股</w:t>
            </w: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16"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307,874,236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c>
          <w:tcPr>
            <w:tcW w:w="85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307,874,236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307,874,236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9.88%</w:t>
            </w:r>
          </w:p>
        </w:tc>
        <w:tc>
          <w:tcPr>
            <w:tcW w:w="85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307,874,236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9.88%</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307,874,236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c>
          <w:tcPr>
            <w:tcW w:w="85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307,874,236</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9.88%</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2,807,608,139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90.12%</w:t>
            </w:r>
          </w:p>
        </w:tc>
        <w:tc>
          <w:tcPr>
            <w:tcW w:w="85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2,807,608,139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90.12%</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2,807,608,139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90.12%</w:t>
            </w:r>
          </w:p>
        </w:tc>
        <w:tc>
          <w:tcPr>
            <w:tcW w:w="85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2,807,608,139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90.12%</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3,115,482,375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3,115,482,375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11"/>
        <w:ind w:right="986"/>
        <w:jc w:val="left"/>
      </w:pPr>
      <w:r>
        <w:rPr/>
        <w:t>股份变动的原因</w:t>
      </w:r>
    </w:p>
    <w:p>
      <w:pPr>
        <w:pStyle w:val="BodyText"/>
        <w:spacing w:line="300" w:lineRule="auto" w:before="76"/>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00" w:lineRule="auto" w:before="3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00" w:lineRule="auto" w:before="3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00" w:lineRule="auto" w:before="31"/>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00" w:lineRule="auto" w:before="3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00" w:lineRule="auto" w:before="32"/>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1"/>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23"/>
        <w:gridCol w:w="973"/>
        <w:gridCol w:w="443"/>
        <w:gridCol w:w="754"/>
        <w:gridCol w:w="98"/>
        <w:gridCol w:w="991"/>
        <w:gridCol w:w="106"/>
        <w:gridCol w:w="888"/>
        <w:gridCol w:w="307"/>
        <w:gridCol w:w="967"/>
        <w:gridCol w:w="232"/>
        <w:gridCol w:w="1046"/>
        <w:gridCol w:w="850"/>
        <w:gridCol w:w="595"/>
      </w:tblGrid>
      <w:tr>
        <w:trPr>
          <w:trHeight w:val="227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79"/>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shd w:fill="D9D9D9" w:color="auto" w:val="clear"/>
              </w:rPr>
              <w:t>期末普通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股股东总数</w:t>
            </w:r>
            <w:r>
              <w:rPr>
                <w:rFonts w:ascii="宋体" w:hAnsi="宋体" w:cs="宋体" w:eastAsia="宋体" w:hint="default"/>
                <w:sz w:val="18"/>
                <w:szCs w:val="18"/>
              </w:rPr>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91,120</w:t>
            </w:r>
          </w:p>
        </w:tc>
        <w:tc>
          <w:tcPr>
            <w:tcW w:w="11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115,765</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22" w:right="22"/>
              <w:jc w:val="both"/>
              <w:rPr>
                <w:rFonts w:ascii="宋体" w:hAnsi="宋体" w:cs="宋体" w:eastAsia="宋体" w:hint="default"/>
                <w:sz w:val="18"/>
                <w:szCs w:val="18"/>
              </w:rPr>
            </w:pPr>
            <w:r>
              <w:rPr>
                <w:rFonts w:ascii="宋体" w:hAnsi="宋体" w:cs="宋体" w:eastAsia="宋体" w:hint="default"/>
                <w:spacing w:val="-16"/>
                <w:sz w:val="18"/>
                <w:szCs w:val="18"/>
              </w:rPr>
              <w:t>（如有）（参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966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1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93"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93"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4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3" w:hRule="exact"/>
        </w:trPr>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274"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5"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北京东华诚信电 脑科技发展有限 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635,970,080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635,970,080</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12.62%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393,069,684</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294,802,263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98,267,421</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建水同欣奋斗企 </w:t>
            </w:r>
            <w:r>
              <w:rPr>
                <w:rFonts w:ascii="宋体" w:hAnsi="宋体" w:cs="宋体" w:eastAsia="宋体" w:hint="default"/>
                <w:spacing w:val="-10"/>
                <w:sz w:val="18"/>
                <w:szCs w:val="18"/>
              </w:rPr>
              <w:t>业管理中心（有限</w:t>
            </w:r>
            <w:r>
              <w:rPr>
                <w:rFonts w:ascii="宋体" w:hAnsi="宋体" w:cs="宋体" w:eastAsia="宋体" w:hint="default"/>
                <w:sz w:val="18"/>
                <w:szCs w:val="18"/>
              </w:rPr>
              <w:t> 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140,952,852</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140,952,852</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北京东华诚信投 </w:t>
            </w:r>
            <w:r>
              <w:rPr>
                <w:rFonts w:ascii="宋体" w:hAnsi="宋体" w:cs="宋体" w:eastAsia="宋体" w:hint="default"/>
                <w:spacing w:val="-10"/>
                <w:sz w:val="18"/>
                <w:szCs w:val="18"/>
              </w:rPr>
              <w:t>资管理中心（有限</w:t>
            </w:r>
            <w:r>
              <w:rPr>
                <w:rFonts w:ascii="宋体" w:hAnsi="宋体" w:cs="宋体" w:eastAsia="宋体" w:hint="default"/>
                <w:sz w:val="18"/>
                <w:szCs w:val="18"/>
              </w:rPr>
              <w:t> 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137,063,046</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137,063,046</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中国证券金融股 份有限公司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66,725,398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66,725,398</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62,207,503</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62,207,503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1417"/>
        <w:gridCol w:w="569"/>
        <w:gridCol w:w="283"/>
        <w:gridCol w:w="991"/>
        <w:gridCol w:w="994"/>
        <w:gridCol w:w="850"/>
        <w:gridCol w:w="425"/>
        <w:gridCol w:w="1277"/>
        <w:gridCol w:w="850"/>
        <w:gridCol w:w="595"/>
      </w:tblGrid>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中国工商银行股 份有限公司－东 方红产业升级灵 活配置混合型证 券投资基金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49,363,468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49,363,468</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z w:val="18"/>
                <w:szCs w:val="18"/>
              </w:rPr>
              <w:t>中国工商银行股 份有限公司－东 方红启元三年持 有期混合型证券 投资基金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32,306,953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32,306,953</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3"/>
              <w:jc w:val="both"/>
              <w:rPr>
                <w:rFonts w:ascii="宋体" w:hAnsi="宋体" w:cs="宋体" w:eastAsia="宋体" w:hint="default"/>
                <w:sz w:val="18"/>
                <w:szCs w:val="18"/>
              </w:rPr>
            </w:pPr>
            <w:r>
              <w:rPr>
                <w:rFonts w:ascii="宋体" w:hAnsi="宋体" w:cs="宋体" w:eastAsia="宋体" w:hint="default"/>
                <w:sz w:val="18"/>
                <w:szCs w:val="18"/>
              </w:rPr>
              <w:t>东华软件股份公 司－第一期员工 持股计划</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26,412,422</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26,412,422</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4"/>
              <w:jc w:val="left"/>
              <w:rPr>
                <w:rFonts w:ascii="宋体" w:hAnsi="宋体" w:cs="宋体" w:eastAsia="宋体" w:hint="default"/>
                <w:sz w:val="18"/>
                <w:szCs w:val="18"/>
              </w:rPr>
            </w:pPr>
            <w:r>
              <w:rPr>
                <w:rFonts w:ascii="宋体" w:hAnsi="宋体" w:cs="宋体" w:eastAsia="宋体" w:hint="default"/>
                <w:sz w:val="18"/>
                <w:szCs w:val="18"/>
              </w:rPr>
              <w:t>中国银行股份有 限公司－东方红 睿华沪港深灵活 配置混合型证券 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25,719,952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25,719,952</w:t>
            </w:r>
          </w:p>
        </w:tc>
        <w:tc>
          <w:tcPr>
            <w:tcW w:w="850"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3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34" w:type="dxa"/>
            <w:gridSpan w:val="9"/>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8"/>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北京东华诚信电脑科技发展有限公司和薛向东、北京东华诚信投资管理中心（有限合 </w:t>
            </w:r>
            <w:r>
              <w:rPr>
                <w:rFonts w:ascii="宋体" w:hAnsi="宋体" w:cs="宋体" w:eastAsia="宋体" w:hint="default"/>
                <w:spacing w:val="-4"/>
                <w:sz w:val="18"/>
                <w:szCs w:val="18"/>
              </w:rPr>
              <w:t>伙）、建水同欣奋斗企业管理中心（有限合伙）存在关联关系。</w:t>
            </w:r>
          </w:p>
        </w:tc>
      </w:tr>
      <w:tr>
        <w:trPr>
          <w:trHeight w:val="402" w:hRule="exact"/>
        </w:trPr>
        <w:tc>
          <w:tcPr>
            <w:tcW w:w="96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34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1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3404" w:type="dxa"/>
            <w:gridSpan w:val="3"/>
            <w:vMerge/>
            <w:tcBorders>
              <w:left w:val="single" w:sz="4" w:space="0" w:color="000000"/>
              <w:bottom w:val="single" w:sz="4" w:space="0" w:color="000000"/>
              <w:right w:val="single" w:sz="4" w:space="0" w:color="000000"/>
            </w:tcBorders>
            <w:shd w:val="clear" w:color="auto" w:fill="D2D2D2"/>
          </w:tcPr>
          <w:p>
            <w:pPr/>
          </w:p>
        </w:tc>
        <w:tc>
          <w:tcPr>
            <w:tcW w:w="3118" w:type="dxa"/>
            <w:gridSpan w:val="4"/>
            <w:vMerge/>
            <w:tcBorders>
              <w:left w:val="single" w:sz="4" w:space="0" w:color="000000"/>
              <w:bottom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635,970,080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635,970,080</w:t>
            </w:r>
          </w:p>
        </w:tc>
      </w:tr>
      <w:tr>
        <w:trPr>
          <w:trHeight w:val="401"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建水同欣奋斗企业管理中心（有限合伙）</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140,952,852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140,952,852</w:t>
            </w:r>
          </w:p>
        </w:tc>
      </w:tr>
      <w:tr>
        <w:trPr>
          <w:trHeight w:val="404"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137,063,046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1" w:right="0"/>
              <w:jc w:val="left"/>
              <w:rPr>
                <w:rFonts w:ascii="Times New Roman" w:hAnsi="Times New Roman" w:cs="Times New Roman" w:eastAsia="Times New Roman" w:hint="default"/>
                <w:sz w:val="18"/>
                <w:szCs w:val="18"/>
              </w:rPr>
            </w:pPr>
            <w:r>
              <w:rPr>
                <w:rFonts w:ascii="Times New Roman"/>
                <w:sz w:val="18"/>
              </w:rPr>
              <w:t>137,063,046</w:t>
            </w:r>
          </w:p>
        </w:tc>
      </w:tr>
      <w:tr>
        <w:trPr>
          <w:trHeight w:val="401"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98,267,421</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98,267,421</w:t>
            </w:r>
          </w:p>
        </w:tc>
      </w:tr>
      <w:tr>
        <w:trPr>
          <w:trHeight w:val="40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66,725,398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66,725,398</w:t>
            </w:r>
          </w:p>
        </w:tc>
      </w:tr>
      <w:tr>
        <w:trPr>
          <w:trHeight w:val="401"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62,207,503</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62,207,503</w:t>
            </w:r>
          </w:p>
        </w:tc>
      </w:tr>
      <w:tr>
        <w:trPr>
          <w:trHeight w:val="715"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8"/>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中国工商银行股份有限公司－东方红产业 升级灵活配置混合型证券投资基金</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49,363,468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49,363,468</w:t>
            </w:r>
          </w:p>
        </w:tc>
      </w:tr>
      <w:tr>
        <w:trPr>
          <w:trHeight w:val="71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东方红启元三 年持有期混合型证券投资基金</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32,306,953</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32,306,953</w:t>
            </w:r>
          </w:p>
        </w:tc>
      </w:tr>
      <w:tr>
        <w:trPr>
          <w:trHeight w:val="404"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东华软件股份公司－第一期员工持股计划</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26,412,422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26,412,422</w:t>
            </w:r>
          </w:p>
        </w:tc>
      </w:tr>
      <w:tr>
        <w:trPr>
          <w:trHeight w:val="715"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中国银行股份有限公司－东方红睿华沪港 深灵活配置混合型证券投资基金（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1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25,719,952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25,719,952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BodyText"/>
        <w:spacing w:line="240" w:lineRule="auto" w:before="44"/>
        <w:ind w:left="0" w:right="1038"/>
        <w:jc w:val="right"/>
      </w:pPr>
      <w:r>
        <w:rPr/>
        <w:pict>
          <v:shape style="position:absolute;margin-left:56.400002pt;margin-top:-32.068268pt;width:484.2pt;height:103.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4"/>
                    <w:gridCol w:w="6265"/>
                  </w:tblGrid>
                  <w:tr>
                    <w:trPr>
                      <w:trHeight w:val="1337"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4" w:right="36"/>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公司前十名股东中，北京东华诚信电脑科技发展有限公司、薛向东、北京东华 诚信投资管理中心（有限合伙）和建水同欣奋斗企业管理中心（有限合伙）存 在关联关系；前十名无限售条件股东中，未知其他股东之间是否存在关联关系 也未知是否属于一致行动人。</w:t>
                        </w: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 </w:t>
                        </w:r>
                        <w:r>
                          <w:rPr>
                            <w:rFonts w:ascii="宋体" w:hAnsi="宋体" w:cs="宋体" w:eastAsia="宋体" w:hint="default"/>
                            <w:spacing w:val="-10"/>
                            <w:sz w:val="18"/>
                            <w:szCs w:val="18"/>
                          </w:rPr>
                          <w:t>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right="98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8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141"/>
        <w:jc w:val="right"/>
      </w:pPr>
      <w:r>
        <w:rPr/>
        <w:pict>
          <v:shape style="position:absolute;margin-left:56.400002pt;margin-top:-36.488258pt;width:479.3pt;height:185.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983"/>
                    <w:gridCol w:w="1704"/>
                    <w:gridCol w:w="1841"/>
                    <w:gridCol w:w="2199"/>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844" w:type="dxa"/>
                        <w:tcBorders>
                          <w:top w:val="single" w:sz="4" w:space="0" w:color="000000"/>
                          <w:left w:val="single" w:sz="4" w:space="0" w:color="000000"/>
                          <w:bottom w:val="nil" w:sz="6" w:space="0" w:color="auto"/>
                          <w:right w:val="single" w:sz="4" w:space="0" w:color="000000"/>
                        </w:tcBorders>
                      </w:tcPr>
                      <w:p>
                        <w:pPr/>
                      </w:p>
                    </w:tc>
                    <w:tc>
                      <w:tcPr>
                        <w:tcW w:w="1983"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21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技术开发、技术推广、技术</w:t>
                        </w:r>
                      </w:p>
                    </w:tc>
                  </w:tr>
                  <w:tr>
                    <w:trPr>
                      <w:trHeight w:val="311" w:hRule="exact"/>
                    </w:trPr>
                    <w:tc>
                      <w:tcPr>
                        <w:tcW w:w="1844" w:type="dxa"/>
                        <w:tcBorders>
                          <w:top w:val="nil" w:sz="6" w:space="0" w:color="auto"/>
                          <w:left w:val="single" w:sz="4" w:space="0" w:color="000000"/>
                          <w:bottom w:val="nil" w:sz="6" w:space="0" w:color="auto"/>
                          <w:right w:val="single" w:sz="4" w:space="0" w:color="000000"/>
                        </w:tcBorders>
                      </w:tcPr>
                      <w:p>
                        <w:pPr/>
                      </w:p>
                    </w:tc>
                    <w:tc>
                      <w:tcPr>
                        <w:tcW w:w="1983"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219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10"/>
                            <w:sz w:val="18"/>
                            <w:szCs w:val="18"/>
                          </w:rPr>
                          <w:t>转让、技术咨询、技术服务</w:t>
                        </w:r>
                      </w:p>
                    </w:tc>
                  </w:tr>
                  <w:tr>
                    <w:trPr>
                      <w:trHeight w:val="624" w:hRule="exact"/>
                    </w:trPr>
                    <w:tc>
                      <w:tcPr>
                        <w:tcW w:w="1844"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189"/>
                          <w:jc w:val="left"/>
                          <w:rPr>
                            <w:rFonts w:ascii="宋体" w:hAnsi="宋体" w:cs="宋体" w:eastAsia="宋体" w:hint="default"/>
                            <w:sz w:val="18"/>
                            <w:szCs w:val="18"/>
                          </w:rPr>
                        </w:pPr>
                        <w:r>
                          <w:rPr>
                            <w:rFonts w:ascii="宋体" w:hAnsi="宋体" w:cs="宋体" w:eastAsia="宋体" w:hint="default"/>
                            <w:sz w:val="18"/>
                            <w:szCs w:val="18"/>
                          </w:rPr>
                          <w:t>北京东华诚信电脑科 技发展有限公司</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91110108102047790H</w:t>
                        </w:r>
                      </w:p>
                    </w:tc>
                    <w:tc>
                      <w:tcPr>
                        <w:tcW w:w="219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pacing w:val="-2"/>
                            <w:sz w:val="18"/>
                            <w:szCs w:val="18"/>
                          </w:rPr>
                          <w:t>开发、销售计算机软硬件及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外围设备；计算机系统集</w:t>
                        </w:r>
                      </w:p>
                    </w:tc>
                  </w:tr>
                  <w:tr>
                    <w:trPr>
                      <w:trHeight w:val="312" w:hRule="exact"/>
                    </w:trPr>
                    <w:tc>
                      <w:tcPr>
                        <w:tcW w:w="1844" w:type="dxa"/>
                        <w:tcBorders>
                          <w:top w:val="nil" w:sz="6" w:space="0" w:color="auto"/>
                          <w:left w:val="single" w:sz="4" w:space="0" w:color="000000"/>
                          <w:bottom w:val="nil" w:sz="6" w:space="0" w:color="auto"/>
                          <w:right w:val="single" w:sz="4" w:space="0" w:color="000000"/>
                        </w:tcBorders>
                      </w:tcPr>
                      <w:p>
                        <w:pPr/>
                      </w:p>
                    </w:tc>
                    <w:tc>
                      <w:tcPr>
                        <w:tcW w:w="1983"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2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成；货物进出口、代理进出</w:t>
                        </w:r>
                      </w:p>
                    </w:tc>
                  </w:tr>
                  <w:tr>
                    <w:trPr>
                      <w:trHeight w:val="357" w:hRule="exact"/>
                    </w:trPr>
                    <w:tc>
                      <w:tcPr>
                        <w:tcW w:w="1844" w:type="dxa"/>
                        <w:tcBorders>
                          <w:top w:val="nil" w:sz="6" w:space="0" w:color="auto"/>
                          <w:left w:val="single" w:sz="4" w:space="0" w:color="000000"/>
                          <w:bottom w:val="single" w:sz="4" w:space="0" w:color="000000"/>
                          <w:right w:val="single" w:sz="4" w:space="0" w:color="000000"/>
                        </w:tcBorders>
                      </w:tcPr>
                      <w:p>
                        <w:pPr/>
                      </w:p>
                    </w:tc>
                    <w:tc>
                      <w:tcPr>
                        <w:tcW w:w="1983"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21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口。</w:t>
                        </w:r>
                      </w:p>
                    </w:tc>
                  </w:tr>
                  <w:tr>
                    <w:trPr>
                      <w:trHeight w:val="358" w:hRule="exact"/>
                    </w:trPr>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控股股东报告期内控</w:t>
                        </w:r>
                      </w:p>
                    </w:tc>
                    <w:tc>
                      <w:tcPr>
                        <w:tcW w:w="7727" w:type="dxa"/>
                        <w:gridSpan w:val="4"/>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8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89"/>
                          <w:jc w:val="left"/>
                          <w:rPr>
                            <w:rFonts w:ascii="宋体" w:hAnsi="宋体" w:cs="宋体" w:eastAsia="宋体" w:hint="default"/>
                            <w:sz w:val="18"/>
                            <w:szCs w:val="18"/>
                          </w:rPr>
                        </w:pPr>
                        <w:r>
                          <w:rPr>
                            <w:rFonts w:ascii="宋体" w:hAnsi="宋体" w:cs="宋体" w:eastAsia="宋体" w:hint="default"/>
                            <w:sz w:val="18"/>
                            <w:szCs w:val="18"/>
                          </w:rPr>
                          <w:t>股和参股的其他境内 外上市公司的股权情</w:t>
                        </w:r>
                      </w:p>
                    </w:tc>
                    <w:tc>
                      <w:tcPr>
                        <w:tcW w:w="772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727" w:type="dxa"/>
                        <w:gridSpan w:val="4"/>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44"/>
        <w:ind w:right="986"/>
        <w:jc w:val="left"/>
      </w:pPr>
      <w:r>
        <w:rPr/>
        <w:t>控股股东报告期内变更</w:t>
      </w:r>
    </w:p>
    <w:p>
      <w:pPr>
        <w:pStyle w:val="BodyText"/>
        <w:spacing w:line="300" w:lineRule="auto" w:before="76"/>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1596"/>
        <w:gridCol w:w="3190"/>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薛向东及其家族成员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44"/>
        <w:ind w:left="0" w:right="1149"/>
        <w:jc w:val="right"/>
      </w:pPr>
      <w:r>
        <w:rPr/>
        <w:pict>
          <v:shape style="position:absolute;margin-left:56.400002pt;margin-top:-32.068268pt;width:479.3pt;height:227.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7178"/>
                  </w:tblGrid>
                  <w:tr>
                    <w:trPr>
                      <w:trHeight w:val="358" w:hRule="exact"/>
                    </w:trPr>
                    <w:tc>
                      <w:tcPr>
                        <w:tcW w:w="2393" w:type="dxa"/>
                        <w:tcBorders>
                          <w:top w:val="single" w:sz="4" w:space="0" w:color="000000"/>
                          <w:left w:val="single" w:sz="4" w:space="0" w:color="000000"/>
                          <w:bottom w:val="nil" w:sz="6" w:space="0" w:color="auto"/>
                          <w:right w:val="single" w:sz="4" w:space="0" w:color="000000"/>
                        </w:tcBorders>
                      </w:tcPr>
                      <w:p>
                        <w:pPr/>
                      </w:p>
                    </w:tc>
                    <w:tc>
                      <w:tcPr>
                        <w:tcW w:w="7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薛向东先生最近五年一直担任本公司董事长，此外，现任本公司控股股东北京东华诚信电脑</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科技发展有限公司董事长，本公司全资子公司北京东华合创科技有限公司、东华合创软件有</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限公司、北京东华信息技术有限公司董事长；本公司全资子公司北京联银通科技有限公司</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山西东华软件有限公司、泰安东华合创软件有限公司、北京东华厚盾软件有限公司、北京东</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华易时科技有限公司、北京厚盾科技有限公司、大同东华软件有限公司、东华合创科技有限</w:t>
                        </w:r>
                      </w:p>
                    </w:tc>
                  </w:tr>
                  <w:tr>
                    <w:trPr>
                      <w:trHeight w:val="624"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3"/>
                            <w:sz w:val="18"/>
                            <w:szCs w:val="18"/>
                          </w:rPr>
                          <w:t>公司、广州东华软件有限公司、合力东华（北京）科技有限公司、雄安东华全球软件研发有</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限公司、北京威锐达测控系统有限公司、嘉兴中发恒博电子科技有限公司、北京华康诚信医</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疗科技有限公司、北京厚盾鸿远科技有限公司执行董事；公司全资子公司东华软件工程有限</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公司董事；本公司控股子公司北京东华中企会智慧城市科技有限公司、东华互联宜家数据服</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务有限公司董事长；本公司控股子公司北京东华福蝉信息技术有限公司副董事长；本公司控</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7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股子公司北京东华万兴软件有限公司、华金在线股份公司董事、北京中能博泰科技有限公司</w:t>
                        </w:r>
                      </w:p>
                    </w:tc>
                  </w:tr>
                  <w:tr>
                    <w:trPr>
                      <w:trHeight w:val="355" w:hRule="exact"/>
                    </w:trPr>
                    <w:tc>
                      <w:tcPr>
                        <w:tcW w:w="2393" w:type="dxa"/>
                        <w:tcBorders>
                          <w:top w:val="nil" w:sz="6" w:space="0" w:color="auto"/>
                          <w:left w:val="single" w:sz="4" w:space="0" w:color="000000"/>
                          <w:bottom w:val="single" w:sz="4" w:space="0" w:color="000000"/>
                          <w:right w:val="single" w:sz="4" w:space="0" w:color="000000"/>
                        </w:tcBorders>
                      </w:tcPr>
                      <w:p>
                        <w:pPr/>
                      </w:p>
                    </w:tc>
                    <w:tc>
                      <w:tcPr>
                        <w:tcW w:w="7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4"/>
        <w:ind w:right="986"/>
        <w:jc w:val="left"/>
      </w:pPr>
      <w:r>
        <w:rPr/>
        <w:t>实际控制人报告期内变更</w:t>
      </w:r>
    </w:p>
    <w:p>
      <w:pPr>
        <w:pStyle w:val="BodyText"/>
        <w:spacing w:line="35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2"/>
          <w:szCs w:val="22"/>
        </w:rPr>
      </w:pPr>
    </w:p>
    <w:p>
      <w:pPr>
        <w:spacing w:line="5364" w:lineRule="exact"/>
        <w:ind w:left="153"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6097262" cy="340614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6097262" cy="3406140"/>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6"/>
        <w:rPr>
          <w:rFonts w:ascii="宋体" w:hAnsi="宋体" w:cs="宋体" w:eastAsia="宋体" w:hint="default"/>
          <w:sz w:val="26"/>
          <w:szCs w:val="26"/>
        </w:rPr>
      </w:pPr>
    </w:p>
    <w:p>
      <w:pPr>
        <w:pStyle w:val="BodyText"/>
        <w:spacing w:line="240" w:lineRule="auto"/>
        <w:ind w:right="986"/>
        <w:jc w:val="left"/>
      </w:pPr>
      <w:r>
        <w:rPr/>
        <w:t>实际控制人通过信托或其他资产管理方式控制公司</w:t>
      </w:r>
    </w:p>
    <w:p>
      <w:pPr>
        <w:pStyle w:val="BodyText"/>
        <w:spacing w:line="240" w:lineRule="auto" w:before="76"/>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986"/>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986"/>
        <w:jc w:val="left"/>
        <w:rPr>
          <w:b w:val="0"/>
          <w:bCs w:val="0"/>
        </w:rPr>
      </w:pPr>
      <w:bookmarkStart w:name="_TOC_250005" w:id="8"/>
      <w:r>
        <w:rPr/>
        <w:t>第八节可转换公司债券相关情况</w:t>
      </w:r>
      <w:bookmarkEnd w:id="8"/>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986"/>
        <w:jc w:val="left"/>
        <w:rPr>
          <w:b w:val="0"/>
          <w:bCs w:val="0"/>
        </w:rPr>
      </w:pPr>
      <w:bookmarkStart w:name="_TOC_250004" w:id="9"/>
      <w:r>
        <w:rPr/>
        <w:t>第九节董事、监事、高级管理人员和员工情况</w:t>
      </w:r>
      <w:bookmarkEnd w:id="9"/>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6"/>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6"/>
        <w:gridCol w:w="311"/>
        <w:gridCol w:w="1418"/>
        <w:gridCol w:w="408"/>
        <w:gridCol w:w="442"/>
        <w:gridCol w:w="427"/>
        <w:gridCol w:w="1274"/>
        <w:gridCol w:w="1277"/>
        <w:gridCol w:w="850"/>
        <w:gridCol w:w="708"/>
        <w:gridCol w:w="711"/>
        <w:gridCol w:w="566"/>
        <w:gridCol w:w="924"/>
      </w:tblGrid>
      <w:tr>
        <w:trPr>
          <w:trHeight w:val="1027" w:hRule="exact"/>
        </w:trPr>
        <w:tc>
          <w:tcPr>
            <w:tcW w:w="5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120" w:right="0"/>
              <w:jc w:val="left"/>
              <w:rPr>
                <w:rFonts w:ascii="宋体" w:hAnsi="宋体" w:cs="宋体" w:eastAsia="宋体" w:hint="default"/>
                <w:sz w:val="16"/>
                <w:szCs w:val="16"/>
              </w:rPr>
            </w:pPr>
            <w:r>
              <w:rPr>
                <w:rFonts w:ascii="宋体" w:hAnsi="宋体" w:cs="宋体" w:eastAsia="宋体" w:hint="default"/>
                <w:sz w:val="16"/>
                <w:szCs w:val="16"/>
              </w:rPr>
              <w:t>姓名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职务</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357" w:lineRule="auto"/>
              <w:ind w:left="38" w:right="36"/>
              <w:jc w:val="left"/>
              <w:rPr>
                <w:rFonts w:ascii="宋体" w:hAnsi="宋体" w:cs="宋体" w:eastAsia="宋体" w:hint="default"/>
                <w:sz w:val="16"/>
                <w:szCs w:val="16"/>
              </w:rPr>
            </w:pPr>
            <w:r>
              <w:rPr>
                <w:rFonts w:ascii="宋体" w:hAnsi="宋体" w:cs="宋体" w:eastAsia="宋体" w:hint="default"/>
                <w:sz w:val="16"/>
                <w:szCs w:val="16"/>
              </w:rPr>
              <w:t>任职</w:t>
            </w:r>
            <w:r>
              <w:rPr>
                <w:rFonts w:ascii="宋体" w:hAnsi="宋体" w:cs="宋体" w:eastAsia="宋体" w:hint="default"/>
                <w:w w:val="100"/>
                <w:sz w:val="16"/>
                <w:szCs w:val="16"/>
              </w:rPr>
              <w:t> </w:t>
            </w:r>
            <w:r>
              <w:rPr>
                <w:rFonts w:ascii="宋体" w:hAnsi="宋体" w:cs="宋体" w:eastAsia="宋体" w:hint="default"/>
                <w:sz w:val="16"/>
                <w:szCs w:val="16"/>
              </w:rPr>
              <w:t>状态</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年龄</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357" w:lineRule="auto"/>
              <w:ind w:left="100" w:right="95"/>
              <w:jc w:val="left"/>
              <w:rPr>
                <w:rFonts w:ascii="宋体" w:hAnsi="宋体" w:cs="宋体" w:eastAsia="宋体" w:hint="default"/>
                <w:sz w:val="16"/>
                <w:szCs w:val="16"/>
              </w:rPr>
            </w:pPr>
            <w:r>
              <w:rPr>
                <w:rFonts w:ascii="宋体" w:hAnsi="宋体" w:cs="宋体" w:eastAsia="宋体" w:hint="default"/>
                <w:sz w:val="16"/>
                <w:szCs w:val="16"/>
              </w:rPr>
              <w:t>期初持股</w:t>
            </w:r>
            <w:r>
              <w:rPr>
                <w:rFonts w:ascii="宋体" w:hAnsi="宋体" w:cs="宋体" w:eastAsia="宋体" w:hint="default"/>
                <w:spacing w:val="-77"/>
                <w:sz w:val="16"/>
                <w:szCs w:val="16"/>
              </w:rPr>
              <w:t> </w:t>
            </w:r>
            <w:r>
              <w:rPr>
                <w:rFonts w:ascii="宋体" w:hAnsi="宋体" w:cs="宋体" w:eastAsia="宋体" w:hint="default"/>
                <w:sz w:val="16"/>
                <w:szCs w:val="16"/>
              </w:rPr>
              <w:t>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70"/>
              <w:ind w:left="28" w:right="24"/>
              <w:jc w:val="left"/>
              <w:rPr>
                <w:rFonts w:ascii="宋体" w:hAnsi="宋体" w:cs="宋体" w:eastAsia="宋体" w:hint="default"/>
                <w:sz w:val="16"/>
                <w:szCs w:val="16"/>
              </w:rPr>
            </w:pPr>
            <w:r>
              <w:rPr>
                <w:rFonts w:ascii="宋体" w:hAnsi="宋体" w:cs="宋体" w:eastAsia="宋体" w:hint="default"/>
                <w:sz w:val="16"/>
                <w:szCs w:val="16"/>
              </w:rPr>
              <w:t>本期增持</w:t>
            </w:r>
            <w:r>
              <w:rPr>
                <w:rFonts w:ascii="宋体" w:hAnsi="宋体" w:cs="宋体" w:eastAsia="宋体" w:hint="default"/>
                <w:spacing w:val="-77"/>
                <w:sz w:val="16"/>
                <w:szCs w:val="16"/>
              </w:rPr>
              <w:t> </w:t>
            </w:r>
            <w:r>
              <w:rPr>
                <w:rFonts w:ascii="宋体" w:hAnsi="宋体" w:cs="宋体" w:eastAsia="宋体" w:hint="default"/>
                <w:sz w:val="16"/>
                <w:szCs w:val="16"/>
              </w:rPr>
              <w:t>股份数量</w:t>
            </w:r>
          </w:p>
          <w:p>
            <w:pPr>
              <w:pStyle w:val="TableParagraph"/>
              <w:spacing w:line="240" w:lineRule="auto" w:before="24"/>
              <w:ind w:left="110" w:right="0"/>
              <w:jc w:val="left"/>
              <w:rPr>
                <w:rFonts w:ascii="宋体" w:hAnsi="宋体" w:cs="宋体" w:eastAsia="宋体" w:hint="default"/>
                <w:sz w:val="16"/>
                <w:szCs w:val="16"/>
              </w:rPr>
            </w:pPr>
            <w:r>
              <w:rPr>
                <w:rFonts w:ascii="宋体" w:hAnsi="宋体" w:cs="宋体" w:eastAsia="宋体" w:hint="default"/>
                <w:sz w:val="16"/>
                <w:szCs w:val="16"/>
              </w:rPr>
              <w:t>（股）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70"/>
              <w:ind w:left="28" w:right="26"/>
              <w:jc w:val="left"/>
              <w:rPr>
                <w:rFonts w:ascii="宋体" w:hAnsi="宋体" w:cs="宋体" w:eastAsia="宋体" w:hint="default"/>
                <w:sz w:val="16"/>
                <w:szCs w:val="16"/>
              </w:rPr>
            </w:pPr>
            <w:r>
              <w:rPr>
                <w:rFonts w:ascii="宋体" w:hAnsi="宋体" w:cs="宋体" w:eastAsia="宋体" w:hint="default"/>
                <w:sz w:val="16"/>
                <w:szCs w:val="16"/>
              </w:rPr>
              <w:t>本期减持</w:t>
            </w:r>
            <w:r>
              <w:rPr>
                <w:rFonts w:ascii="宋体" w:hAnsi="宋体" w:cs="宋体" w:eastAsia="宋体" w:hint="default"/>
                <w:spacing w:val="-77"/>
                <w:sz w:val="16"/>
                <w:szCs w:val="16"/>
              </w:rPr>
              <w:t> </w:t>
            </w:r>
            <w:r>
              <w:rPr>
                <w:rFonts w:ascii="宋体" w:hAnsi="宋体" w:cs="宋体" w:eastAsia="宋体" w:hint="default"/>
                <w:sz w:val="16"/>
                <w:szCs w:val="16"/>
              </w:rPr>
              <w:t>股份数量</w:t>
            </w:r>
          </w:p>
          <w:p>
            <w:pPr>
              <w:pStyle w:val="TableParagraph"/>
              <w:spacing w:line="240" w:lineRule="auto" w:before="24"/>
              <w:ind w:left="110" w:right="0"/>
              <w:jc w:val="left"/>
              <w:rPr>
                <w:rFonts w:ascii="宋体" w:hAnsi="宋体" w:cs="宋体" w:eastAsia="宋体" w:hint="default"/>
                <w:sz w:val="16"/>
                <w:szCs w:val="16"/>
              </w:rPr>
            </w:pPr>
            <w:r>
              <w:rPr>
                <w:rFonts w:ascii="宋体" w:hAnsi="宋体" w:cs="宋体" w:eastAsia="宋体" w:hint="default"/>
                <w:sz w:val="16"/>
                <w:szCs w:val="16"/>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70"/>
              <w:ind w:left="38" w:right="35"/>
              <w:jc w:val="left"/>
              <w:rPr>
                <w:rFonts w:ascii="宋体" w:hAnsi="宋体" w:cs="宋体" w:eastAsia="宋体" w:hint="default"/>
                <w:sz w:val="16"/>
                <w:szCs w:val="16"/>
              </w:rPr>
            </w:pPr>
            <w:r>
              <w:rPr>
                <w:rFonts w:ascii="宋体" w:hAnsi="宋体" w:cs="宋体" w:eastAsia="宋体" w:hint="default"/>
                <w:sz w:val="16"/>
                <w:szCs w:val="16"/>
              </w:rPr>
              <w:t>其他增</w:t>
            </w:r>
            <w:r>
              <w:rPr>
                <w:rFonts w:ascii="宋体" w:hAnsi="宋体" w:cs="宋体" w:eastAsia="宋体" w:hint="default"/>
                <w:spacing w:val="-78"/>
                <w:sz w:val="16"/>
                <w:szCs w:val="16"/>
              </w:rPr>
              <w:t> </w:t>
            </w:r>
            <w:r>
              <w:rPr>
                <w:rFonts w:ascii="宋体" w:hAnsi="宋体" w:cs="宋体" w:eastAsia="宋体" w:hint="default"/>
                <w:sz w:val="16"/>
                <w:szCs w:val="16"/>
              </w:rPr>
              <w:t>减变动</w:t>
            </w:r>
          </w:p>
          <w:p>
            <w:pPr>
              <w:pStyle w:val="TableParagraph"/>
              <w:spacing w:line="240" w:lineRule="auto" w:before="24"/>
              <w:ind w:left="38" w:right="0"/>
              <w:jc w:val="left"/>
              <w:rPr>
                <w:rFonts w:ascii="宋体" w:hAnsi="宋体" w:cs="宋体" w:eastAsia="宋体" w:hint="default"/>
                <w:sz w:val="16"/>
                <w:szCs w:val="16"/>
              </w:rPr>
            </w:pPr>
            <w:r>
              <w:rPr>
                <w:rFonts w:ascii="宋体" w:hAnsi="宋体" w:cs="宋体" w:eastAsia="宋体" w:hint="default"/>
                <w:sz w:val="16"/>
                <w:szCs w:val="16"/>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期末持股数</w:t>
            </w:r>
          </w:p>
          <w:p>
            <w:pPr>
              <w:pStyle w:val="TableParagraph"/>
              <w:spacing w:line="240" w:lineRule="auto" w:before="102"/>
              <w:ind w:left="4" w:right="0"/>
              <w:jc w:val="center"/>
              <w:rPr>
                <w:rFonts w:ascii="宋体" w:hAnsi="宋体" w:cs="宋体" w:eastAsia="宋体" w:hint="default"/>
                <w:sz w:val="16"/>
                <w:szCs w:val="16"/>
              </w:rPr>
            </w:pPr>
            <w:r>
              <w:rPr>
                <w:rFonts w:ascii="宋体" w:hAnsi="宋体" w:cs="宋体" w:eastAsia="宋体" w:hint="default"/>
                <w:sz w:val="16"/>
                <w:szCs w:val="16"/>
              </w:rPr>
              <w:t>（股）</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薛向东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393,069,684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393,069,684</w:t>
            </w:r>
          </w:p>
        </w:tc>
      </w:tr>
      <w:tr>
        <w:trPr>
          <w:trHeight w:val="403"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49"/>
              <w:jc w:val="center"/>
              <w:rPr>
                <w:rFonts w:ascii="宋体" w:hAnsi="宋体" w:cs="宋体" w:eastAsia="宋体" w:hint="default"/>
                <w:sz w:val="15"/>
                <w:szCs w:val="15"/>
              </w:rPr>
            </w:pPr>
            <w:r>
              <w:rPr>
                <w:rFonts w:ascii="宋体" w:hAnsi="宋体" w:cs="宋体" w:eastAsia="宋体" w:hint="default"/>
                <w:w w:val="100"/>
                <w:sz w:val="15"/>
                <w:szCs w:val="15"/>
              </w:rPr>
              <w:t>吕</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w w:val="100"/>
                <w:sz w:val="15"/>
                <w:szCs w:val="15"/>
              </w:rPr>
              <w:t>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副董事长、总经理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6,076,720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6,076,720</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李建国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董事、副总经理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2,628,572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2,628,572</w:t>
            </w:r>
          </w:p>
        </w:tc>
      </w:tr>
      <w:tr>
        <w:trPr>
          <w:trHeight w:val="715"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49"/>
              <w:jc w:val="center"/>
              <w:rPr>
                <w:rFonts w:ascii="宋体" w:hAnsi="宋体" w:cs="宋体" w:eastAsia="宋体" w:hint="default"/>
                <w:sz w:val="15"/>
                <w:szCs w:val="15"/>
              </w:rPr>
            </w:pPr>
            <w:r>
              <w:rPr>
                <w:rFonts w:ascii="宋体" w:hAnsi="宋体" w:cs="宋体" w:eastAsia="宋体" w:hint="default"/>
                <w:w w:val="100"/>
                <w:sz w:val="15"/>
                <w:szCs w:val="15"/>
              </w:rPr>
              <w:t>杨</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w w:val="100"/>
                <w:sz w:val="15"/>
                <w:szCs w:val="15"/>
              </w:rPr>
              <w:t>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3" w:right="29"/>
              <w:jc w:val="left"/>
              <w:rPr>
                <w:rFonts w:ascii="宋体" w:hAnsi="宋体" w:cs="宋体" w:eastAsia="宋体" w:hint="default"/>
                <w:sz w:val="15"/>
                <w:szCs w:val="15"/>
              </w:rPr>
            </w:pPr>
            <w:r>
              <w:rPr>
                <w:rFonts w:ascii="宋体" w:hAnsi="宋体" w:cs="宋体" w:eastAsia="宋体" w:hint="default"/>
                <w:sz w:val="15"/>
                <w:szCs w:val="15"/>
              </w:rPr>
              <w:t>董事、副总经理、董</w:t>
            </w:r>
            <w:r>
              <w:rPr>
                <w:rFonts w:ascii="宋体" w:hAnsi="宋体" w:cs="宋体" w:eastAsia="宋体" w:hint="default"/>
                <w:w w:val="100"/>
                <w:sz w:val="15"/>
                <w:szCs w:val="15"/>
              </w:rPr>
              <w:t> </w:t>
            </w:r>
            <w:r>
              <w:rPr>
                <w:rFonts w:ascii="宋体" w:hAnsi="宋体" w:cs="宋体" w:eastAsia="宋体" w:hint="default"/>
                <w:sz w:val="15"/>
                <w:szCs w:val="15"/>
              </w:rPr>
              <w:t>事会秘书</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610,024</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610,024</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郑晓清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187,650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187,650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徐德力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491,800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491,800</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郭玉杰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70,500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70,500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苏根继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蒋恕慧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3"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49"/>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w w:val="100"/>
                <w:sz w:val="15"/>
                <w:szCs w:val="15"/>
              </w:rPr>
              <w:t>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638,152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638,152</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夏金崇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2,899,612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2,899,612</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林文平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349,500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349,500</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刘志华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pacing w:val="-3"/>
                <w:sz w:val="15"/>
                <w:szCs w:val="15"/>
              </w:rPr>
              <w:t>11 </w:t>
            </w:r>
            <w:r>
              <w:rPr>
                <w:rFonts w:ascii="宋体" w:hAnsi="宋体" w:cs="宋体" w:eastAsia="宋体" w:hint="default"/>
                <w:sz w:val="15"/>
                <w:szCs w:val="15"/>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288,600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72,150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216,450</w:t>
            </w:r>
          </w:p>
        </w:tc>
      </w:tr>
      <w:tr>
        <w:trPr>
          <w:trHeight w:val="403"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49"/>
              <w:jc w:val="center"/>
              <w:rPr>
                <w:rFonts w:ascii="宋体" w:hAnsi="宋体" w:cs="宋体" w:eastAsia="宋体" w:hint="default"/>
                <w:sz w:val="15"/>
                <w:szCs w:val="15"/>
              </w:rPr>
            </w:pPr>
            <w:r>
              <w:rPr>
                <w:rFonts w:ascii="宋体" w:hAnsi="宋体" w:cs="宋体" w:eastAsia="宋体" w:hint="default"/>
                <w:w w:val="100"/>
                <w:sz w:val="15"/>
                <w:szCs w:val="15"/>
              </w:rPr>
              <w:t>王</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w w:val="100"/>
                <w:sz w:val="15"/>
                <w:szCs w:val="15"/>
              </w:rPr>
              <w:t>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1,581,768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1,581,768</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韩士斌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350,800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350,800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董国勇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203,400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203,400</w:t>
            </w:r>
          </w:p>
        </w:tc>
      </w:tr>
      <w:tr>
        <w:trPr>
          <w:trHeight w:val="401"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49"/>
              <w:jc w:val="center"/>
              <w:rPr>
                <w:rFonts w:ascii="宋体" w:hAnsi="宋体" w:cs="宋体" w:eastAsia="宋体" w:hint="default"/>
                <w:sz w:val="15"/>
                <w:szCs w:val="15"/>
              </w:rPr>
            </w:pPr>
            <w:r>
              <w:rPr>
                <w:rFonts w:ascii="宋体" w:hAnsi="宋体" w:cs="宋体" w:eastAsia="宋体" w:hint="default"/>
                <w:w w:val="100"/>
                <w:sz w:val="15"/>
                <w:szCs w:val="15"/>
              </w:rPr>
              <w:t>阮</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w w:val="100"/>
                <w:sz w:val="15"/>
                <w:szCs w:val="15"/>
              </w:rPr>
              <w:t>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spacing w:val="-1"/>
                <w:sz w:val="15"/>
              </w:rPr>
              <w:t>293,400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spacing w:val="-1"/>
                <w:sz w:val="15"/>
              </w:rPr>
              <w:t>293,400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侯志国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323,600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323,600</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任安彪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72,800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72,800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尹继南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90,600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90,600</w:t>
            </w:r>
          </w:p>
        </w:tc>
      </w:tr>
      <w:tr>
        <w:trPr>
          <w:trHeight w:val="401"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49"/>
              <w:jc w:val="center"/>
              <w:rPr>
                <w:rFonts w:ascii="宋体" w:hAnsi="宋体" w:cs="宋体" w:eastAsia="宋体" w:hint="default"/>
                <w:sz w:val="15"/>
                <w:szCs w:val="15"/>
              </w:rPr>
            </w:pPr>
            <w:r>
              <w:rPr>
                <w:rFonts w:ascii="宋体" w:hAnsi="宋体" w:cs="宋体" w:eastAsia="宋体" w:hint="default"/>
                <w:w w:val="100"/>
                <w:sz w:val="15"/>
                <w:szCs w:val="15"/>
              </w:rPr>
              <w:t>叶</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w w:val="100"/>
                <w:sz w:val="15"/>
                <w:szCs w:val="15"/>
              </w:rPr>
              <w:t>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财务总监</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271,800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271,800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范玉顺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49"/>
              <w:jc w:val="center"/>
              <w:rPr>
                <w:rFonts w:ascii="宋体" w:hAnsi="宋体" w:cs="宋体" w:eastAsia="宋体" w:hint="default"/>
                <w:sz w:val="15"/>
                <w:szCs w:val="15"/>
              </w:rPr>
            </w:pPr>
            <w:r>
              <w:rPr>
                <w:rFonts w:ascii="宋体" w:hAnsi="宋体" w:cs="宋体" w:eastAsia="宋体" w:hint="default"/>
                <w:w w:val="100"/>
                <w:sz w:val="15"/>
                <w:szCs w:val="15"/>
              </w:rPr>
              <w:t>林</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w w:val="100"/>
                <w:sz w:val="15"/>
                <w:szCs w:val="15"/>
              </w:rPr>
              <w:t>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离任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3" w:hRule="exact"/>
        </w:trPr>
        <w:tc>
          <w:tcPr>
            <w:tcW w:w="2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49"/>
              <w:jc w:val="center"/>
              <w:rPr>
                <w:rFonts w:ascii="宋体" w:hAnsi="宋体" w:cs="宋体" w:eastAsia="宋体" w:hint="default"/>
                <w:sz w:val="15"/>
                <w:szCs w:val="15"/>
              </w:rPr>
            </w:pPr>
            <w:r>
              <w:rPr>
                <w:rFonts w:ascii="宋体" w:hAnsi="宋体" w:cs="宋体" w:eastAsia="宋体" w:hint="default"/>
                <w:w w:val="100"/>
                <w:sz w:val="15"/>
                <w:szCs w:val="15"/>
              </w:rPr>
              <w:t>李</w:t>
            </w:r>
          </w:p>
        </w:tc>
        <w:tc>
          <w:tcPr>
            <w:tcW w:w="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w w:val="100"/>
                <w:sz w:val="15"/>
                <w:szCs w:val="15"/>
              </w:rPr>
              <w:t>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栾大龙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3" w:hRule="exact"/>
        </w:trPr>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王以朋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w w:val="100"/>
                <w:sz w:val="15"/>
              </w:rPr>
              <w:t>0</w:t>
            </w:r>
          </w:p>
        </w:tc>
      </w:tr>
    </w:tbl>
    <w:p>
      <w:pPr>
        <w:spacing w:after="0" w:line="240" w:lineRule="auto"/>
        <w:jc w:val="right"/>
        <w:rPr>
          <w:rFonts w:ascii="Times New Roman" w:hAnsi="Times New Roman" w:cs="Times New Roman" w:eastAsia="Times New Roman" w:hint="default"/>
          <w:sz w:val="15"/>
          <w:szCs w:val="15"/>
        </w:rPr>
        <w:sectPr>
          <w:pgSz w:w="11910" w:h="16840"/>
          <w:pgMar w:header="748" w:footer="979"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567"/>
        <w:gridCol w:w="1418"/>
        <w:gridCol w:w="408"/>
        <w:gridCol w:w="442"/>
        <w:gridCol w:w="427"/>
        <w:gridCol w:w="1274"/>
        <w:gridCol w:w="1277"/>
        <w:gridCol w:w="850"/>
        <w:gridCol w:w="708"/>
        <w:gridCol w:w="711"/>
        <w:gridCol w:w="566"/>
        <w:gridCol w:w="924"/>
      </w:tblGrid>
      <w:tr>
        <w:trPr>
          <w:trHeight w:val="402"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刘尔奎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现任</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 w:right="0"/>
              <w:jc w:val="left"/>
              <w:rPr>
                <w:rFonts w:ascii="宋体" w:hAnsi="宋体" w:cs="宋体" w:eastAsia="宋体" w:hint="default"/>
                <w:sz w:val="15"/>
                <w:szCs w:val="15"/>
              </w:rPr>
            </w:pPr>
            <w:r>
              <w:rPr>
                <w:rFonts w:ascii="宋体" w:hAnsi="宋体" w:cs="宋体" w:eastAsia="宋体" w:hint="default"/>
                <w:w w:val="100"/>
                <w:sz w:val="15"/>
                <w:szCs w:val="15"/>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2" w:right="0"/>
              <w:jc w:val="left"/>
              <w:rPr>
                <w:rFonts w:ascii="Times New Roman" w:hAnsi="Times New Roman" w:cs="Times New Roman" w:eastAsia="Times New Roman" w:hint="default"/>
                <w:sz w:val="15"/>
                <w:szCs w:val="15"/>
              </w:rPr>
            </w:pPr>
            <w:r>
              <w:rPr>
                <w:rFonts w:ascii="Times New Roman"/>
                <w:sz w:val="15"/>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5"/>
                <w:szCs w:val="15"/>
              </w:rPr>
            </w:pPr>
            <w:r>
              <w:rPr>
                <w:rFonts w:ascii="Times New Roman"/>
                <w:w w:val="100"/>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02"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2" w:right="0"/>
              <w:jc w:val="center"/>
              <w:rPr>
                <w:rFonts w:ascii="Times New Roman" w:hAnsi="Times New Roman" w:cs="Times New Roman" w:eastAsia="Times New Roman" w:hint="default"/>
                <w:sz w:val="15"/>
                <w:szCs w:val="15"/>
              </w:rPr>
            </w:pPr>
            <w:r>
              <w:rPr>
                <w:rFonts w:ascii="Times New Roman"/>
                <w:sz w:val="15"/>
              </w:rPr>
              <w:t>--</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165" w:right="0"/>
              <w:jc w:val="left"/>
              <w:rPr>
                <w:rFonts w:ascii="Times New Roman" w:hAnsi="Times New Roman" w:cs="Times New Roman" w:eastAsia="Times New Roman" w:hint="default"/>
                <w:sz w:val="15"/>
                <w:szCs w:val="15"/>
              </w:rPr>
            </w:pPr>
            <w:r>
              <w:rPr>
                <w:rFonts w:ascii="Times New Roman"/>
                <w:sz w:val="15"/>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158" w:right="0"/>
              <w:jc w:val="left"/>
              <w:rPr>
                <w:rFonts w:ascii="Times New Roman" w:hAnsi="Times New Roman" w:cs="Times New Roman" w:eastAsia="Times New Roman" w:hint="default"/>
                <w:sz w:val="15"/>
                <w:szCs w:val="15"/>
              </w:rPr>
            </w:pPr>
            <w:r>
              <w:rPr>
                <w:rFonts w:ascii="Times New Roman"/>
                <w:sz w:val="15"/>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2" w:right="0"/>
              <w:jc w:val="center"/>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410,498,982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72,150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5"/>
                <w:szCs w:val="15"/>
              </w:rPr>
            </w:pPr>
            <w:r>
              <w:rPr>
                <w:rFonts w:ascii="Times New Roman"/>
                <w:w w:val="100"/>
                <w:sz w:val="15"/>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410,426,832</w:t>
            </w:r>
          </w:p>
        </w:tc>
      </w:tr>
    </w:tbl>
    <w:p>
      <w:pPr>
        <w:spacing w:line="240" w:lineRule="auto" w:before="3"/>
        <w:rPr>
          <w:rFonts w:ascii="宋体" w:hAnsi="宋体" w:cs="宋体" w:eastAsia="宋体" w:hint="default"/>
          <w:b/>
          <w:bCs/>
          <w:sz w:val="18"/>
          <w:szCs w:val="18"/>
        </w:rPr>
      </w:pPr>
    </w:p>
    <w:p>
      <w:pPr>
        <w:pStyle w:val="Heading3"/>
        <w:spacing w:line="240" w:lineRule="auto" w:before="26"/>
        <w:ind w:right="986"/>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6"/>
        <w:gridCol w:w="1525"/>
        <w:gridCol w:w="1169"/>
        <w:gridCol w:w="1493"/>
        <w:gridCol w:w="4246"/>
      </w:tblGrid>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因个人原因辞去公司副总经理职务。</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东华软件股份公司第七届董事会第一次会议聘任为公 司独立董事</w:t>
            </w:r>
          </w:p>
        </w:tc>
      </w:tr>
    </w:tbl>
    <w:p>
      <w:pPr>
        <w:spacing w:line="240" w:lineRule="auto" w:before="3"/>
        <w:rPr>
          <w:rFonts w:ascii="宋体" w:hAnsi="宋体" w:cs="宋体" w:eastAsia="宋体" w:hint="default"/>
          <w:sz w:val="18"/>
          <w:szCs w:val="18"/>
        </w:rPr>
      </w:pPr>
    </w:p>
    <w:p>
      <w:pPr>
        <w:pStyle w:val="Heading3"/>
        <w:spacing w:line="240" w:lineRule="auto" w:before="26"/>
        <w:ind w:right="986"/>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公司现任董事、监事、高级管理人员专业背景、主要工作经历以及目前在公司的主要职责</w:t>
      </w:r>
    </w:p>
    <w:p>
      <w:pPr>
        <w:pStyle w:val="BodyText"/>
        <w:spacing w:line="300" w:lineRule="auto" w:before="76"/>
        <w:ind w:left="513" w:right="1033"/>
        <w:jc w:val="left"/>
      </w:pPr>
      <w:r>
        <w:rPr>
          <w:rFonts w:ascii="Times New Roman" w:hAnsi="Times New Roman" w:cs="Times New Roman" w:eastAsia="Times New Roman" w:hint="default"/>
          <w:b/>
          <w:bCs/>
        </w:rPr>
        <w:t>1</w:t>
      </w:r>
      <w:r>
        <w:rPr>
          <w:rFonts w:ascii="宋体" w:hAnsi="宋体" w:cs="宋体" w:eastAsia="宋体" w:hint="default"/>
          <w:b/>
          <w:bCs/>
        </w:rPr>
        <w:t>、董事简介</w:t>
      </w:r>
      <w:r>
        <w:rPr>
          <w:rFonts w:ascii="宋体" w:hAnsi="宋体" w:cs="宋体" w:eastAsia="宋体" w:hint="default"/>
          <w:b/>
          <w:bCs/>
          <w:w w:val="99"/>
        </w:rPr>
        <w:t> </w:t>
      </w:r>
      <w:r>
        <w:rPr/>
        <w:t>薛向东先生：中国国籍，现年</w:t>
      </w:r>
      <w:r>
        <w:rPr>
          <w:rFonts w:ascii="Times New Roman" w:hAnsi="Times New Roman" w:cs="Times New Roman" w:eastAsia="Times New Roman" w:hint="default"/>
        </w:rPr>
        <w:t>61</w:t>
      </w:r>
      <w:r>
        <w:rPr/>
        <w:t>岁，大学本科，高级工程师，长期从事行业应用软件开发及计算机信息系统集成工作，</w:t>
      </w:r>
    </w:p>
    <w:p>
      <w:pPr>
        <w:pStyle w:val="BodyText"/>
        <w:spacing w:line="300" w:lineRule="auto" w:before="13"/>
        <w:ind w:left="513" w:right="1123" w:hanging="361"/>
        <w:jc w:val="left"/>
        <w:rPr>
          <w:rFonts w:ascii="Times New Roman" w:hAnsi="Times New Roman" w:cs="Times New Roman" w:eastAsia="Times New Roman" w:hint="default"/>
        </w:rPr>
      </w:pPr>
      <w:r>
        <w:rPr/>
        <w:t>公司实际控制人，最近</w:t>
      </w:r>
      <w:r>
        <w:rPr>
          <w:rFonts w:ascii="Times New Roman" w:hAnsi="Times New Roman" w:cs="Times New Roman" w:eastAsia="Times New Roman" w:hint="default"/>
        </w:rPr>
        <w:t>5</w:t>
      </w:r>
      <w:r>
        <w:rPr/>
        <w:t>年一直担任本公司董事长。 吕波先生：中国国籍，现年</w:t>
      </w:r>
      <w:r>
        <w:rPr>
          <w:rFonts w:ascii="Times New Roman" w:hAnsi="Times New Roman" w:cs="Times New Roman" w:eastAsia="Times New Roman" w:hint="default"/>
        </w:rPr>
        <w:t>57</w:t>
      </w:r>
      <w:r>
        <w:rPr/>
        <w:t>岁，硕士研究生，讲师，长期从事行业应用软件开发及计算机信息系统集成工作，最近</w:t>
      </w:r>
      <w:r>
        <w:rPr>
          <w:rFonts w:ascii="Times New Roman" w:hAnsi="Times New Roman" w:cs="Times New Roman" w:eastAsia="Times New Roman" w:hint="default"/>
        </w:rPr>
        <w:t>5</w:t>
      </w:r>
    </w:p>
    <w:p>
      <w:pPr>
        <w:pStyle w:val="BodyText"/>
        <w:spacing w:line="316" w:lineRule="auto" w:before="13"/>
        <w:ind w:left="513" w:right="1123" w:hanging="361"/>
        <w:jc w:val="left"/>
      </w:pPr>
      <w:r>
        <w:rPr/>
        <w:t>年一直担任本公司副董事长、总经理。 李建国先生：中国国籍，现年</w:t>
      </w:r>
      <w:r>
        <w:rPr>
          <w:rFonts w:ascii="Times New Roman" w:hAnsi="Times New Roman" w:cs="Times New Roman" w:eastAsia="Times New Roman" w:hint="default"/>
        </w:rPr>
        <w:t>51</w:t>
      </w:r>
      <w:r>
        <w:rPr/>
        <w:t>岁，硕士研究生，长期从事行业应用软件开发及计算机信息系统集成工作，最近</w:t>
      </w:r>
      <w:r>
        <w:rPr>
          <w:rFonts w:ascii="Times New Roman" w:hAnsi="Times New Roman" w:cs="Times New Roman" w:eastAsia="Times New Roman" w:hint="default"/>
        </w:rPr>
        <w:t>5</w:t>
      </w:r>
      <w:r>
        <w:rPr/>
        <w:t>年一</w:t>
      </w:r>
    </w:p>
    <w:p>
      <w:pPr>
        <w:pStyle w:val="BodyText"/>
        <w:spacing w:line="304" w:lineRule="auto"/>
        <w:ind w:left="513" w:right="1123" w:hanging="361"/>
        <w:jc w:val="left"/>
      </w:pPr>
      <w:r>
        <w:rPr/>
        <w:t>直担任本公司董事、副总经理。 杨健先生：中国国籍，现年</w:t>
      </w:r>
      <w:r>
        <w:rPr>
          <w:rFonts w:ascii="Times New Roman" w:hAnsi="Times New Roman" w:cs="Times New Roman" w:eastAsia="Times New Roman" w:hint="default"/>
        </w:rPr>
        <w:t>52</w:t>
      </w:r>
      <w:r>
        <w:rPr/>
        <w:t>岁，硕士研究生，会计师，最近</w:t>
      </w:r>
      <w:r>
        <w:rPr>
          <w:rFonts w:ascii="Times New Roman" w:hAnsi="Times New Roman" w:cs="Times New Roman" w:eastAsia="Times New Roman" w:hint="default"/>
        </w:rPr>
        <w:t>5</w:t>
      </w:r>
      <w:r>
        <w:rPr/>
        <w:t>年一直担任本公司董事、副总经理、董事会秘书。 郑晓清女士：中国国籍，现年</w:t>
      </w:r>
      <w:r>
        <w:rPr>
          <w:rFonts w:ascii="Times New Roman" w:hAnsi="Times New Roman" w:cs="Times New Roman" w:eastAsia="Times New Roman" w:hint="default"/>
        </w:rPr>
        <w:t>49</w:t>
      </w:r>
      <w:r>
        <w:rPr/>
        <w:t>岁，硕士研究生，最近</w:t>
      </w:r>
      <w:r>
        <w:rPr>
          <w:rFonts w:ascii="Times New Roman" w:hAnsi="Times New Roman" w:cs="Times New Roman" w:eastAsia="Times New Roman" w:hint="default"/>
        </w:rPr>
        <w:t>5</w:t>
      </w:r>
      <w:r>
        <w:rPr/>
        <w:t>年一直担任本公司董事、市场部经理。 徐德力先生：中国国籍，现年</w:t>
      </w:r>
      <w:r>
        <w:rPr>
          <w:rFonts w:ascii="Times New Roman" w:hAnsi="Times New Roman" w:cs="Times New Roman" w:eastAsia="Times New Roman" w:hint="default"/>
        </w:rPr>
        <w:t>46</w:t>
      </w:r>
      <w:r>
        <w:rPr/>
        <w:t>岁，硕士研究生，最近</w:t>
      </w:r>
      <w:r>
        <w:rPr>
          <w:rFonts w:ascii="Times New Roman" w:hAnsi="Times New Roman" w:cs="Times New Roman" w:eastAsia="Times New Roman" w:hint="default"/>
        </w:rPr>
        <w:t>5</w:t>
      </w:r>
      <w:r>
        <w:rPr/>
        <w:t>年一直在本公司工作，现任本公司董事。 李燕女士：中国国籍，现年</w:t>
      </w:r>
      <w:r>
        <w:rPr>
          <w:rFonts w:ascii="Times New Roman" w:hAnsi="Times New Roman" w:cs="Times New Roman" w:eastAsia="Times New Roman" w:hint="default"/>
        </w:rPr>
        <w:t>63</w:t>
      </w:r>
      <w:r>
        <w:rPr/>
        <w:t>岁，大学本科，注册会计师（非执业），最近</w:t>
      </w:r>
      <w:r>
        <w:rPr>
          <w:rFonts w:ascii="Times New Roman" w:hAnsi="Times New Roman" w:cs="Times New Roman" w:eastAsia="Times New Roman" w:hint="default"/>
        </w:rPr>
        <w:t>5</w:t>
      </w:r>
      <w:r>
        <w:rPr/>
        <w:t>年一直担任中央财经大学教授，兼任中国</w:t>
      </w:r>
    </w:p>
    <w:p>
      <w:pPr>
        <w:pStyle w:val="BodyText"/>
        <w:spacing w:line="316" w:lineRule="auto" w:before="9"/>
        <w:ind w:right="986"/>
        <w:jc w:val="left"/>
      </w:pPr>
      <w:r>
        <w:rPr>
          <w:spacing w:val="-2"/>
        </w:rPr>
        <w:t>财政学会理事、中国财税法学研究会理事，中国电影股份有限公司独立董事、中邮创业基金管理股份有限公司独立董事、青</w:t>
      </w:r>
      <w:r>
        <w:rPr>
          <w:spacing w:val="-64"/>
        </w:rPr>
        <w:t> </w:t>
      </w:r>
      <w:r>
        <w:rPr>
          <w:spacing w:val="-64"/>
        </w:rPr>
      </w:r>
      <w:r>
        <w:rPr/>
        <w:t>岛啤酒股份有限公司外部监事。</w:t>
      </w:r>
    </w:p>
    <w:p>
      <w:pPr>
        <w:pStyle w:val="BodyText"/>
        <w:spacing w:line="300" w:lineRule="auto" w:before="19"/>
        <w:ind w:right="986" w:firstLine="360"/>
        <w:jc w:val="left"/>
      </w:pPr>
      <w:r>
        <w:rPr>
          <w:spacing w:val="-2"/>
        </w:rPr>
        <w:t>栾大龙先生：中国国籍，现年</w:t>
      </w:r>
      <w:r>
        <w:rPr>
          <w:rFonts w:ascii="Times New Roman" w:hAnsi="Times New Roman" w:cs="Times New Roman" w:eastAsia="Times New Roman" w:hint="default"/>
          <w:spacing w:val="-2"/>
        </w:rPr>
        <w:t>56</w:t>
      </w:r>
      <w:r>
        <w:rPr>
          <w:spacing w:val="-2"/>
        </w:rPr>
        <w:t>岁，博士学位，曾就任军事科学院研究员，在航天科技控股集团股份有限公司担任独立</w:t>
      </w:r>
      <w:r>
        <w:rPr/>
        <w:t> 董事职务。</w:t>
      </w:r>
    </w:p>
    <w:p>
      <w:pPr>
        <w:pStyle w:val="BodyText"/>
        <w:spacing w:line="240" w:lineRule="auto" w:before="31"/>
        <w:ind w:left="513" w:right="986"/>
        <w:jc w:val="left"/>
        <w:rPr>
          <w:rFonts w:ascii="Times New Roman" w:hAnsi="Times New Roman" w:cs="Times New Roman" w:eastAsia="Times New Roman" w:hint="default"/>
        </w:rPr>
      </w:pPr>
      <w:r>
        <w:rPr>
          <w:spacing w:val="-7"/>
        </w:rPr>
        <w:t>王以朋先生：中国国籍，现年</w:t>
      </w:r>
      <w:r>
        <w:rPr>
          <w:rFonts w:ascii="Times New Roman" w:hAnsi="Times New Roman" w:cs="Times New Roman" w:eastAsia="Times New Roman" w:hint="default"/>
          <w:spacing w:val="-7"/>
        </w:rPr>
        <w:t>64</w:t>
      </w:r>
      <w:r>
        <w:rPr>
          <w:spacing w:val="-7"/>
        </w:rPr>
        <w:t>岁，大学本科，博士生导师、教授。最近</w:t>
      </w:r>
      <w:r>
        <w:rPr>
          <w:rFonts w:ascii="Times New Roman" w:hAnsi="Times New Roman" w:cs="Times New Roman" w:eastAsia="Times New Roman" w:hint="default"/>
          <w:spacing w:val="-7"/>
        </w:rPr>
        <w:t>5</w:t>
      </w:r>
      <w:r>
        <w:rPr>
          <w:spacing w:val="-7"/>
        </w:rPr>
        <w:t>年一直担任中国医学科学院北京协和医院</w:t>
      </w:r>
      <w:r>
        <w:rPr>
          <w:spacing w:val="27"/>
        </w:rPr>
        <w:t> </w:t>
      </w:r>
      <w:r>
        <w:rPr>
          <w:rFonts w:ascii="Times New Roman" w:hAnsi="Times New Roman" w:cs="Times New Roman" w:eastAsia="Times New Roman" w:hint="default"/>
        </w:rPr>
        <w:t>WHO</w:t>
      </w:r>
    </w:p>
    <w:p>
      <w:pPr>
        <w:pStyle w:val="BodyText"/>
        <w:spacing w:line="316" w:lineRule="auto" w:before="63"/>
        <w:ind w:left="513" w:right="1123" w:hanging="361"/>
        <w:jc w:val="left"/>
      </w:pPr>
      <w:r>
        <w:rPr/>
        <w:t>疾病分类家族中国部主任。 刘尔奎先生：中国国籍，现年</w:t>
      </w:r>
      <w:r>
        <w:rPr>
          <w:rFonts w:ascii="Times New Roman" w:hAnsi="Times New Roman" w:cs="Times New Roman" w:eastAsia="Times New Roman" w:hint="default"/>
        </w:rPr>
        <w:t>51</w:t>
      </w:r>
      <w:r>
        <w:rPr/>
        <w:t>岁，博士学位，最近</w:t>
      </w:r>
      <w:r>
        <w:rPr>
          <w:rFonts w:ascii="Times New Roman" w:hAnsi="Times New Roman" w:cs="Times New Roman" w:eastAsia="Times New Roman" w:hint="default"/>
        </w:rPr>
        <w:t>5</w:t>
      </w:r>
      <w:r>
        <w:rPr/>
        <w:t>年一直担任公证天业会计事务所（特殊普通合伙）合伙人，北京</w:t>
      </w:r>
    </w:p>
    <w:p>
      <w:pPr>
        <w:pStyle w:val="BodyText"/>
        <w:spacing w:line="316" w:lineRule="auto"/>
        <w:ind w:right="986"/>
        <w:jc w:val="left"/>
      </w:pPr>
      <w:r>
        <w:rPr>
          <w:spacing w:val="-2"/>
        </w:rPr>
        <w:t>理工大学、中央财经大学研究生校外导师，北京注册会计师协会常务理事，深圳市大富科技股份有限公司独立董事职务、陕</w:t>
      </w:r>
      <w:r>
        <w:rPr>
          <w:spacing w:val="-62"/>
        </w:rPr>
        <w:t> </w:t>
      </w:r>
      <w:r>
        <w:rPr>
          <w:spacing w:val="-62"/>
        </w:rPr>
      </w:r>
      <w:r>
        <w:rPr/>
        <w:t>西红旗民爆集团股份有限公司独立董事职务。</w:t>
      </w:r>
    </w:p>
    <w:p>
      <w:pPr>
        <w:pStyle w:val="BodyText"/>
        <w:spacing w:line="300" w:lineRule="auto" w:before="19"/>
        <w:ind w:left="513" w:right="1843"/>
        <w:jc w:val="left"/>
      </w:pPr>
      <w:r>
        <w:rPr>
          <w:rFonts w:ascii="Times New Roman" w:hAnsi="Times New Roman" w:cs="Times New Roman" w:eastAsia="Times New Roman" w:hint="default"/>
          <w:b/>
          <w:bCs/>
        </w:rPr>
        <w:t>2</w:t>
      </w:r>
      <w:r>
        <w:rPr>
          <w:rFonts w:ascii="宋体" w:hAnsi="宋体" w:cs="宋体" w:eastAsia="宋体" w:hint="default"/>
          <w:b/>
          <w:bCs/>
        </w:rPr>
        <w:t>、监事简介</w:t>
      </w:r>
      <w:r>
        <w:rPr>
          <w:rFonts w:ascii="宋体" w:hAnsi="宋体" w:cs="宋体" w:eastAsia="宋体" w:hint="default"/>
          <w:b/>
          <w:bCs/>
          <w:w w:val="99"/>
        </w:rPr>
        <w:t> </w:t>
      </w:r>
      <w:r>
        <w:rPr/>
        <w:t>苏根继先生：中国国籍，现年</w:t>
      </w:r>
      <w:r>
        <w:rPr>
          <w:rFonts w:ascii="Times New Roman" w:hAnsi="Times New Roman" w:cs="Times New Roman" w:eastAsia="Times New Roman" w:hint="default"/>
        </w:rPr>
        <w:t>56</w:t>
      </w:r>
      <w:r>
        <w:rPr/>
        <w:t>岁，大学本科，讲师，最近</w:t>
      </w:r>
      <w:r>
        <w:rPr>
          <w:rFonts w:ascii="Times New Roman" w:hAnsi="Times New Roman" w:cs="Times New Roman" w:eastAsia="Times New Roman" w:hint="default"/>
        </w:rPr>
        <w:t>5</w:t>
      </w:r>
      <w:r>
        <w:rPr/>
        <w:t>年一直担任本公司监事会主席、法律部负责人。 蒋恕慧女士：中国国籍，现年</w:t>
      </w:r>
      <w:r>
        <w:rPr>
          <w:rFonts w:ascii="Times New Roman" w:hAnsi="Times New Roman" w:cs="Times New Roman" w:eastAsia="Times New Roman" w:hint="default"/>
        </w:rPr>
        <w:t>56</w:t>
      </w:r>
      <w:r>
        <w:rPr/>
        <w:t>岁，大学本科，工程师，最近</w:t>
      </w:r>
      <w:r>
        <w:rPr>
          <w:rFonts w:ascii="Times New Roman" w:hAnsi="Times New Roman" w:cs="Times New Roman" w:eastAsia="Times New Roman" w:hint="default"/>
        </w:rPr>
        <w:t>5</w:t>
      </w:r>
      <w:r>
        <w:rPr/>
        <w:t>年一直担任本公司监事、商务部经理。 郭玉杰先生：中国国籍，现年</w:t>
      </w:r>
      <w:r>
        <w:rPr>
          <w:rFonts w:ascii="Times New Roman" w:hAnsi="Times New Roman" w:cs="Times New Roman" w:eastAsia="Times New Roman" w:hint="default"/>
        </w:rPr>
        <w:t>56</w:t>
      </w:r>
      <w:r>
        <w:rPr/>
        <w:t>岁，大学专科，最近</w:t>
      </w:r>
      <w:r>
        <w:rPr>
          <w:rFonts w:ascii="Times New Roman" w:hAnsi="Times New Roman" w:cs="Times New Roman" w:eastAsia="Times New Roman" w:hint="default"/>
        </w:rPr>
        <w:t>5</w:t>
      </w:r>
      <w:r>
        <w:rPr/>
        <w:t>年一直担任本公司监事。</w:t>
      </w:r>
    </w:p>
    <w:p>
      <w:pPr>
        <w:spacing w:line="300" w:lineRule="auto" w:before="13"/>
        <w:ind w:left="513" w:right="31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、高级管理人员简介</w:t>
      </w:r>
      <w:r>
        <w:rPr>
          <w:rFonts w:ascii="宋体" w:hAnsi="宋体" w:cs="宋体" w:eastAsia="宋体" w:hint="default"/>
          <w:b/>
          <w:bCs/>
          <w:w w:val="99"/>
          <w:sz w:val="18"/>
          <w:szCs w:val="18"/>
        </w:rPr>
        <w:t> </w:t>
      </w:r>
      <w:r>
        <w:rPr>
          <w:rFonts w:ascii="宋体" w:hAnsi="宋体" w:cs="宋体" w:eastAsia="宋体" w:hint="default"/>
          <w:sz w:val="18"/>
          <w:szCs w:val="18"/>
        </w:rPr>
        <w:t>金伟先生：中国国籍，现年</w:t>
      </w:r>
      <w:r>
        <w:rPr>
          <w:rFonts w:ascii="Times New Roman" w:hAnsi="Times New Roman" w:cs="Times New Roman" w:eastAsia="Times New Roman" w:hint="default"/>
          <w:sz w:val="18"/>
          <w:szCs w:val="18"/>
        </w:rPr>
        <w:t>63</w:t>
      </w:r>
      <w:r>
        <w:rPr>
          <w:rFonts w:ascii="宋体" w:hAnsi="宋体" w:cs="宋体" w:eastAsia="宋体" w:hint="default"/>
          <w:sz w:val="18"/>
          <w:szCs w:val="18"/>
        </w:rPr>
        <w:t>岁，硕士研究生，工程师，最近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年一直担任本公司副总经理。</w:t>
      </w:r>
    </w:p>
    <w:p>
      <w:pPr>
        <w:spacing w:after="0" w:line="30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6"/>
        <w:jc w:val="left"/>
      </w:pPr>
      <w:r>
        <w:rPr/>
        <w:t>夏金崇先生：中国国籍，现年</w:t>
      </w:r>
      <w:r>
        <w:rPr>
          <w:rFonts w:ascii="Times New Roman" w:hAnsi="Times New Roman" w:cs="Times New Roman" w:eastAsia="Times New Roman" w:hint="default"/>
        </w:rPr>
        <w:t>56</w:t>
      </w:r>
      <w:r>
        <w:rPr/>
        <w:t>岁，大学本科，工程师，长期从事行业应用软件开发及计算机信息系统集成工作，最近</w:t>
      </w:r>
    </w:p>
    <w:p>
      <w:pPr>
        <w:pStyle w:val="BodyText"/>
        <w:spacing w:line="300" w:lineRule="auto" w:before="63"/>
        <w:ind w:left="513" w:right="1143" w:hanging="361"/>
        <w:jc w:val="left"/>
      </w:pPr>
      <w:r>
        <w:rPr>
          <w:rFonts w:ascii="Times New Roman" w:hAnsi="Times New Roman" w:cs="Times New Roman" w:eastAsia="Times New Roman" w:hint="default"/>
        </w:rPr>
        <w:t>5</w:t>
      </w:r>
      <w:r>
        <w:rPr/>
        <w:t>年一直担任本公司副总经理。 林文平先生：中国国籍，现年</w:t>
      </w:r>
      <w:r>
        <w:rPr>
          <w:rFonts w:ascii="Times New Roman" w:hAnsi="Times New Roman" w:cs="Times New Roman" w:eastAsia="Times New Roman" w:hint="default"/>
        </w:rPr>
        <w:t>54</w:t>
      </w:r>
      <w:r>
        <w:rPr/>
        <w:t>岁，硕士研究生，工程师，最近</w:t>
      </w:r>
      <w:r>
        <w:rPr>
          <w:rFonts w:ascii="Times New Roman" w:hAnsi="Times New Roman" w:cs="Times New Roman" w:eastAsia="Times New Roman" w:hint="default"/>
        </w:rPr>
        <w:t>5</w:t>
      </w:r>
      <w:r>
        <w:rPr/>
        <w:t>年一直在本公司工作，现任公司副总经理。 王佺先生：中国国籍，现年</w:t>
      </w:r>
      <w:r>
        <w:rPr>
          <w:rFonts w:ascii="Times New Roman" w:hAnsi="Times New Roman" w:cs="Times New Roman" w:eastAsia="Times New Roman" w:hint="default"/>
        </w:rPr>
        <w:t>46</w:t>
      </w:r>
      <w:r>
        <w:rPr/>
        <w:t>岁，</w:t>
      </w:r>
      <w:r>
        <w:rPr>
          <w:rFonts w:ascii="Times New Roman" w:hAnsi="Times New Roman" w:cs="Times New Roman" w:eastAsia="Times New Roman" w:hint="default"/>
        </w:rPr>
        <w:t>EMBA</w:t>
      </w:r>
      <w:r>
        <w:rPr/>
        <w:t>学位，最近</w:t>
      </w:r>
      <w:r>
        <w:rPr>
          <w:rFonts w:ascii="Times New Roman" w:hAnsi="Times New Roman" w:cs="Times New Roman" w:eastAsia="Times New Roman" w:hint="default"/>
        </w:rPr>
        <w:t>5</w:t>
      </w:r>
      <w:r>
        <w:rPr/>
        <w:t>年一直担任北京神州新桥科技有限公司副总裁，现任本公司副总</w:t>
      </w:r>
    </w:p>
    <w:p>
      <w:pPr>
        <w:pStyle w:val="BodyText"/>
        <w:spacing w:line="240" w:lineRule="auto" w:before="13"/>
        <w:ind w:right="986"/>
        <w:jc w:val="left"/>
      </w:pPr>
      <w:r>
        <w:rPr/>
        <w:t>经理。</w:t>
      </w:r>
    </w:p>
    <w:p>
      <w:pPr>
        <w:pStyle w:val="BodyText"/>
        <w:spacing w:line="300" w:lineRule="auto" w:before="76"/>
        <w:ind w:right="1124" w:firstLine="360"/>
        <w:jc w:val="left"/>
      </w:pPr>
      <w:r>
        <w:rPr/>
        <w:t>韩士斌先生：中国国籍，现年</w:t>
      </w:r>
      <w:r>
        <w:rPr>
          <w:rFonts w:ascii="Times New Roman" w:hAnsi="Times New Roman" w:cs="Times New Roman" w:eastAsia="Times New Roman" w:hint="default"/>
        </w:rPr>
        <w:t>54</w:t>
      </w:r>
      <w:r>
        <w:rPr/>
        <w:t>岁，硕士研究生，工程师，最近</w:t>
      </w:r>
      <w:r>
        <w:rPr>
          <w:rFonts w:ascii="Times New Roman" w:hAnsi="Times New Roman" w:cs="Times New Roman" w:eastAsia="Times New Roman" w:hint="default"/>
        </w:rPr>
        <w:t>5</w:t>
      </w:r>
      <w:r>
        <w:rPr/>
        <w:t>年一直在本公司工作，现任本公司副总经理、医疗卫 生事业部总经理。</w:t>
      </w:r>
    </w:p>
    <w:p>
      <w:pPr>
        <w:pStyle w:val="BodyText"/>
        <w:spacing w:line="300" w:lineRule="auto" w:before="31"/>
        <w:ind w:left="513" w:right="986"/>
        <w:jc w:val="left"/>
      </w:pPr>
      <w:r>
        <w:rPr>
          <w:spacing w:val="-2"/>
        </w:rPr>
        <w:t>董国勇先生：中国国籍，现年</w:t>
      </w:r>
      <w:r>
        <w:rPr>
          <w:rFonts w:ascii="Times New Roman" w:hAnsi="Times New Roman" w:cs="Times New Roman" w:eastAsia="Times New Roman" w:hint="default"/>
          <w:spacing w:val="-2"/>
        </w:rPr>
        <w:t>47</w:t>
      </w:r>
      <w:r>
        <w:rPr>
          <w:spacing w:val="-2"/>
        </w:rPr>
        <w:t>岁，大学本科，最近</w:t>
      </w:r>
      <w:r>
        <w:rPr>
          <w:rFonts w:ascii="Times New Roman" w:hAnsi="Times New Roman" w:cs="Times New Roman" w:eastAsia="Times New Roman" w:hint="default"/>
          <w:spacing w:val="-2"/>
        </w:rPr>
        <w:t>5</w:t>
      </w:r>
      <w:r>
        <w:rPr>
          <w:spacing w:val="-2"/>
        </w:rPr>
        <w:t>年一直在本公司工作，现任本公司副总经理、金融事业部总经理。</w:t>
      </w:r>
      <w:r>
        <w:rPr>
          <w:spacing w:val="-69"/>
        </w:rPr>
        <w:t> </w:t>
      </w:r>
      <w:r>
        <w:rPr>
          <w:spacing w:val="-69"/>
        </w:rPr>
      </w:r>
      <w:r>
        <w:rPr/>
        <w:t>阮晋先生：中国国籍，现年</w:t>
      </w:r>
      <w:r>
        <w:rPr>
          <w:rFonts w:ascii="Times New Roman" w:hAnsi="Times New Roman" w:cs="Times New Roman" w:eastAsia="Times New Roman" w:hint="default"/>
        </w:rPr>
        <w:t>47</w:t>
      </w:r>
      <w:r>
        <w:rPr/>
        <w:t>岁，</w:t>
      </w:r>
      <w:r>
        <w:rPr>
          <w:rFonts w:ascii="Times New Roman" w:hAnsi="Times New Roman" w:cs="Times New Roman" w:eastAsia="Times New Roman" w:hint="default"/>
        </w:rPr>
        <w:t>EMBA</w:t>
      </w:r>
      <w:r>
        <w:rPr/>
        <w:t>学位，最近</w:t>
      </w:r>
      <w:r>
        <w:rPr>
          <w:rFonts w:ascii="Times New Roman" w:hAnsi="Times New Roman" w:cs="Times New Roman" w:eastAsia="Times New Roman" w:hint="default"/>
        </w:rPr>
        <w:t>5</w:t>
      </w:r>
      <w:r>
        <w:rPr/>
        <w:t>年一直在本公司工作，现任本公司副总经理。 叶莉女士：中国国籍，现年</w:t>
      </w:r>
      <w:r>
        <w:rPr>
          <w:rFonts w:ascii="Times New Roman" w:hAnsi="Times New Roman" w:cs="Times New Roman" w:eastAsia="Times New Roman" w:hint="default"/>
        </w:rPr>
        <w:t>47</w:t>
      </w:r>
      <w:r>
        <w:rPr/>
        <w:t>岁，硕士研究生，最近</w:t>
      </w:r>
      <w:r>
        <w:rPr>
          <w:rFonts w:ascii="Times New Roman" w:hAnsi="Times New Roman" w:cs="Times New Roman" w:eastAsia="Times New Roman" w:hint="default"/>
        </w:rPr>
        <w:t>5</w:t>
      </w:r>
      <w:r>
        <w:rPr/>
        <w:t>年一直在本公司工作，现任本公司财务总监。 侯志国先生：中国国籍，现年</w:t>
      </w:r>
      <w:r>
        <w:rPr>
          <w:rFonts w:ascii="Times New Roman" w:hAnsi="Times New Roman" w:cs="Times New Roman" w:eastAsia="Times New Roman" w:hint="default"/>
        </w:rPr>
        <w:t>42</w:t>
      </w:r>
      <w:r>
        <w:rPr/>
        <w:t>岁，本科，最近</w:t>
      </w:r>
      <w:r>
        <w:rPr>
          <w:rFonts w:ascii="Times New Roman" w:hAnsi="Times New Roman" w:cs="Times New Roman" w:eastAsia="Times New Roman" w:hint="default"/>
        </w:rPr>
        <w:t>5</w:t>
      </w:r>
      <w:r>
        <w:rPr/>
        <w:t>年一直在本公司工作，现任本公司副总经理。 尹继南先生：中国国籍，现年</w:t>
      </w:r>
      <w:r>
        <w:rPr>
          <w:rFonts w:ascii="Times New Roman" w:hAnsi="Times New Roman" w:cs="Times New Roman" w:eastAsia="Times New Roman" w:hint="default"/>
        </w:rPr>
        <w:t>44</w:t>
      </w:r>
      <w:r>
        <w:rPr/>
        <w:t>岁，本科，最近</w:t>
      </w:r>
      <w:r>
        <w:rPr>
          <w:rFonts w:ascii="Times New Roman" w:hAnsi="Times New Roman" w:cs="Times New Roman" w:eastAsia="Times New Roman" w:hint="default"/>
        </w:rPr>
        <w:t>5</w:t>
      </w:r>
      <w:r>
        <w:rPr/>
        <w:t>年一直在本公司工作，现任本公司副总经理。 任安彪先生：中国国籍，现年</w:t>
      </w:r>
      <w:r>
        <w:rPr>
          <w:rFonts w:ascii="Times New Roman" w:hAnsi="Times New Roman" w:cs="Times New Roman" w:eastAsia="Times New Roman" w:hint="default"/>
        </w:rPr>
        <w:t>46</w:t>
      </w:r>
      <w:r>
        <w:rPr/>
        <w:t>岁，本科，最近</w:t>
      </w:r>
      <w:r>
        <w:rPr>
          <w:rFonts w:ascii="Times New Roman" w:hAnsi="Times New Roman" w:cs="Times New Roman" w:eastAsia="Times New Roman" w:hint="default"/>
        </w:rPr>
        <w:t>5</w:t>
      </w:r>
      <w:r>
        <w:rPr/>
        <w:t>年一直在本公司工作，现任本公司副总经理。</w:t>
      </w:r>
    </w:p>
    <w:p>
      <w:pPr>
        <w:pStyle w:val="BodyText"/>
        <w:spacing w:line="240" w:lineRule="auto" w:before="51"/>
        <w:ind w:right="986"/>
        <w:jc w:val="left"/>
      </w:pPr>
      <w:r>
        <w:rPr/>
        <w:t>在股东单位任职情况</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薛向东先生最近五年一直担任本公司董事长，除此之外现任本公司控股股东北京东华诚信电脑科技发展有 限公司董事长。</w:t>
            </w:r>
          </w:p>
        </w:tc>
      </w:tr>
    </w:tbl>
    <w:p>
      <w:pPr>
        <w:pStyle w:val="BodyText"/>
        <w:spacing w:line="240" w:lineRule="auto" w:before="49"/>
        <w:ind w:right="986"/>
        <w:jc w:val="left"/>
      </w:pPr>
      <w:r>
        <w:rPr/>
        <w:t>在其他单位任职情况</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870"/>
        <w:gridCol w:w="991"/>
        <w:gridCol w:w="821"/>
        <w:gridCol w:w="1375"/>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11" w:right="12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25" w:right="4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870"/>
        <w:gridCol w:w="991"/>
        <w:gridCol w:w="82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即墨东华软件有限公司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大同东华软件有限公司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北京华康诚信医疗科技有限公司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北京东华软件开发有限公司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北京岳麓京华信息咨询服务有限公司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东华软件股份公司上海分公司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泰安东华服饰材料有限公司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嘉兴中发恒博电子科技有限公司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湖北华中大数据交易股份有限公司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北京冠瑞通电子商务科技股份有限公司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北京中关村银行股份有限公司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雄安东华全球软件研发有限公司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东华智慧视频技术有限公司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东华时尚服饰有限公司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北京东华中企会智慧城市科技有限公司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东华合创信通软件股份有限公司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东华合创信通软件股份有限公司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雄安东华全球软件研发有限公司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870"/>
        <w:gridCol w:w="991"/>
        <w:gridCol w:w="82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瑞客东华转化医学研究中心有限公司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东华健康乐互联网医院有限公司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健康乐（海南）互联网医院有限公司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健康乐（海南）远程医疗中心有限公司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东华智融股份有限公司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日照东华智谷置业有限公司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北京东华科融科技有限公司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东华智金科技有限公司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尹继南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广西东华云数据信息技术有限公司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广州神州新桥科技发展有限公司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南通东华软件有限公司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北京神州新桥科技有限公司上海分公司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北京东华信创科技有限公司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经理、执行董事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东华慧湾数字科技有限公司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北京卓智能研科技有限公司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董事兼经理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董事兼经理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北京国能智研信息科技有限公司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经理、执行董事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870"/>
        <w:gridCol w:w="991"/>
        <w:gridCol w:w="82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东华软件智能科技有限公司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内蒙古合创信息技术有限公司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贵州东华云数据科技有限责任公司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东华软件智能科技有限公司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中国财政学会</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中国财税法学会</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全国政府预算研究会</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北京市人大常委会预算监督顾问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中国电影股份有限公司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中邮创业基金管理股份有限公司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青岛啤酒股份有限公司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华原经贸发展有限公司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北京农村商业银行股份有限公司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苏州瑞可达连接系统股份有限公司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航天科技控股集团股份有限公司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公证天业会计事务所（特殊普通合伙）</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研究生校外导师</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研究生校外导师</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北京注册会计师协会</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深圳市大富科技股份有限公司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刘尔奎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陕西红旗民爆集团股份有限公司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0"/>
        <w:ind w:right="986"/>
        <w:jc w:val="left"/>
      </w:pPr>
      <w:r>
        <w:rPr/>
        <w:t>公司现任及报告期内离任董事、监事和高级管理人员近三年证券监管机构处罚的情况</w:t>
      </w:r>
    </w:p>
    <w:p>
      <w:pPr>
        <w:pStyle w:val="BodyText"/>
        <w:spacing w:line="240" w:lineRule="auto" w:before="76"/>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董事、监事、高级管理人员报酬的决策程序、确定依据、实际支付情况</w:t>
      </w:r>
    </w:p>
    <w:p>
      <w:pPr>
        <w:pStyle w:val="BodyText"/>
        <w:spacing w:line="300" w:lineRule="auto" w:before="76"/>
        <w:ind w:right="1124" w:firstLine="360"/>
        <w:jc w:val="left"/>
      </w:pPr>
      <w:r>
        <w:rPr>
          <w:rFonts w:ascii="Times New Roman" w:hAnsi="Times New Roman" w:cs="Times New Roman" w:eastAsia="Times New Roman" w:hint="default"/>
        </w:rPr>
        <w:t>1</w:t>
      </w:r>
      <w:r>
        <w:rPr/>
        <w:t>、董事、监事、高级管理人员报酬的决策程序：董事、监事的津贴根据股东大会决议确定。薪酬与考核委员会是董事 会按照股东大会决议设立的专门工作机构，负责对董事会与高级管理人员的考核和薪酬进行审查，并提出意见和建议。</w:t>
      </w:r>
    </w:p>
    <w:p>
      <w:pPr>
        <w:pStyle w:val="BodyText"/>
        <w:spacing w:line="300" w:lineRule="auto" w:before="31"/>
        <w:ind w:right="1124" w:firstLine="360"/>
        <w:jc w:val="left"/>
      </w:pPr>
      <w:r>
        <w:rPr>
          <w:rFonts w:ascii="Times New Roman" w:hAnsi="Times New Roman" w:cs="Times New Roman" w:eastAsia="Times New Roman" w:hint="default"/>
        </w:rPr>
        <w:t>2</w:t>
      </w:r>
      <w:r>
        <w:rPr/>
        <w:t>、董事、监事、高级管理人员报酬确定依据：在公司任职的董事、监事、高级管理人员按照其行政职务根据公司现行 的工资制度领取报酬，年底根据经营业绩，按照绩效考核体系对高级管理人员进行考评，根据考评结果确定其年终奖金。</w:t>
      </w:r>
    </w:p>
    <w:p>
      <w:pPr>
        <w:pStyle w:val="BodyText"/>
        <w:spacing w:line="300" w:lineRule="auto" w:before="31"/>
        <w:ind w:right="1124" w:firstLine="360"/>
        <w:jc w:val="left"/>
      </w:pPr>
      <w:r>
        <w:rPr>
          <w:rFonts w:ascii="Times New Roman" w:hAnsi="Times New Roman" w:cs="Times New Roman" w:eastAsia="Times New Roman" w:hint="default"/>
        </w:rPr>
        <w:t>3</w:t>
      </w:r>
      <w:r>
        <w:rPr/>
        <w:t>、董事、监事、高级管理人员报酬的实际支付情况：公司严格按照董事、监事、高级管理人员薪酬的决策程序与确定 依据按月支付薪酬。</w:t>
      </w:r>
    </w:p>
    <w:p>
      <w:pPr>
        <w:pStyle w:val="BodyText"/>
        <w:spacing w:line="240" w:lineRule="auto" w:before="31"/>
        <w:ind w:right="986"/>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2552"/>
        <w:gridCol w:w="850"/>
        <w:gridCol w:w="994"/>
        <w:gridCol w:w="1166"/>
        <w:gridCol w:w="1366"/>
        <w:gridCol w:w="1368"/>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王以朋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阮 </w:t>
            </w:r>
            <w:r>
              <w:rPr>
                <w:rFonts w:ascii="宋体" w:hAnsi="宋体" w:cs="宋体" w:eastAsia="宋体" w:hint="default"/>
                <w:spacing w:val="2"/>
                <w:sz w:val="18"/>
                <w:szCs w:val="18"/>
              </w:rPr>
              <w:t> </w:t>
            </w:r>
            <w:r>
              <w:rPr>
                <w:rFonts w:ascii="宋体" w:hAnsi="宋体" w:cs="宋体" w:eastAsia="宋体" w:hint="default"/>
                <w:sz w:val="18"/>
                <w:szCs w:val="18"/>
              </w:rPr>
              <w:t>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2"/>
                <w:sz w:val="18"/>
                <w:szCs w:val="18"/>
              </w:rPr>
              <w:t> </w:t>
            </w:r>
            <w:r>
              <w:rPr>
                <w:rFonts w:ascii="宋体" w:hAnsi="宋体" w:cs="宋体" w:eastAsia="宋体" w:hint="default"/>
                <w:sz w:val="18"/>
                <w:szCs w:val="18"/>
              </w:rPr>
              <w:t>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尹继南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2552"/>
        <w:gridCol w:w="850"/>
        <w:gridCol w:w="994"/>
        <w:gridCol w:w="1166"/>
        <w:gridCol w:w="1366"/>
        <w:gridCol w:w="1368"/>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任安彪</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公司董事、高级管理人员报告期内被授予的股权激励情况</w:t>
      </w:r>
    </w:p>
    <w:p>
      <w:pPr>
        <w:pStyle w:val="BodyText"/>
        <w:spacing w:line="240" w:lineRule="auto" w:before="117"/>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6,823</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8,991</w:t>
            </w:r>
          </w:p>
        </w:tc>
      </w:tr>
    </w:tbl>
    <w:p>
      <w:pPr>
        <w:spacing w:line="240" w:lineRule="auto" w:before="5"/>
        <w:rPr>
          <w:rFonts w:ascii="宋体" w:hAnsi="宋体" w:cs="宋体" w:eastAsia="宋体" w:hint="default"/>
          <w:b/>
          <w:bCs/>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9" w:firstLine="360"/>
        <w:jc w:val="both"/>
      </w:pPr>
      <w:r>
        <w:rPr>
          <w:spacing w:val="-2"/>
        </w:rPr>
        <w:t>公司严格按照《中华人民共和国劳动合同法》和相关法律法规的规定，结合自身经营状况与行业薪酬水平，在综合考虑</w:t>
      </w:r>
      <w:r>
        <w:rPr/>
        <w:t> </w:t>
      </w:r>
      <w:r>
        <w:rPr>
          <w:spacing w:val="-2"/>
        </w:rPr>
        <w:t>各岗位价值和效能的前提下，设计公司薪酬架构体系，并严格按照国家规定为公司员工缴纳医疗保险金、养老保险、失业保</w:t>
      </w:r>
      <w:r>
        <w:rPr>
          <w:spacing w:val="-63"/>
        </w:rPr>
        <w:t> </w:t>
      </w:r>
      <w:r>
        <w:rPr>
          <w:spacing w:val="-63"/>
        </w:rPr>
      </w:r>
      <w:r>
        <w:rPr>
          <w:spacing w:val="-2"/>
        </w:rPr>
        <w:t>险、工伤保险、生育保险、公积金。同时，公司提供员工持股计划、增持倡议、绩效挂钩奖励制度等多种员工激励机制，进</w:t>
      </w:r>
      <w:r>
        <w:rPr>
          <w:spacing w:val="-65"/>
        </w:rPr>
        <w:t> </w:t>
      </w:r>
      <w:r>
        <w:rPr>
          <w:spacing w:val="-65"/>
        </w:rPr>
      </w:r>
      <w:r>
        <w:rPr>
          <w:spacing w:val="-2"/>
        </w:rPr>
        <w:t>一步调动管理者和核心员工的工作积极性。公司通过科学的薪酬体系、完备的福利保障、丰富的激励机制，持续加强人才队</w:t>
      </w:r>
      <w:r>
        <w:rPr>
          <w:spacing w:val="-64"/>
        </w:rPr>
        <w:t> </w:t>
      </w:r>
      <w:r>
        <w:rPr>
          <w:spacing w:val="-64"/>
        </w:rPr>
      </w:r>
      <w:r>
        <w:rPr/>
        <w:t>伍的培养，有效促进公司持续健康发展。</w:t>
      </w:r>
    </w:p>
    <w:p>
      <w:pPr>
        <w:pStyle w:val="BodyText"/>
        <w:spacing w:line="240" w:lineRule="auto" w:before="17"/>
        <w:ind w:right="98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公司十分重视人才的培养和储备，不断完善员工培训管理机制，积极寻求优质培训资源，着力提高全体员工的综合素质</w:t>
      </w:r>
      <w:r>
        <w:rPr/>
        <w:t> </w:t>
      </w:r>
      <w:r>
        <w:rPr>
          <w:spacing w:val="-2"/>
        </w:rPr>
        <w:t>和专业技能，建立专业、高效的人才队伍。公司结合自身发展状况、岗位要求、企业文化及个人职业发展，制定了分级培训</w:t>
      </w:r>
      <w:r>
        <w:rPr>
          <w:spacing w:val="-68"/>
        </w:rPr>
        <w:t> </w:t>
      </w:r>
      <w:r>
        <w:rPr>
          <w:spacing w:val="-68"/>
        </w:rPr>
      </w:r>
      <w:r>
        <w:rPr>
          <w:spacing w:val="-2"/>
        </w:rPr>
        <w:t>计划，采取现场培训与网络培训相结合的方式，有针对性地开展新员工入职培训与在职人员专业技能培训，实现公司可持续</w:t>
      </w:r>
      <w:r>
        <w:rPr>
          <w:spacing w:val="-63"/>
        </w:rPr>
        <w:t> </w:t>
      </w:r>
      <w:r>
        <w:rPr>
          <w:spacing w:val="-63"/>
        </w:rPr>
      </w:r>
      <w:r>
        <w:rPr/>
        <w:t>发展和员工自身职业技能提升的共赢。</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11"/>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29"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圳证券交易所中小企业板上市公司规范运作指引》及中国证监会有关法律法规的要求，不断完善公司治理结构，建立健全内</w:t>
      </w:r>
      <w:r>
        <w:rPr>
          <w:spacing w:val="-62"/>
        </w:rPr>
        <w:t> </w:t>
      </w:r>
      <w:r>
        <w:rPr>
          <w:spacing w:val="-62"/>
        </w:rPr>
      </w:r>
      <w:r>
        <w:rPr>
          <w:spacing w:val="-2"/>
        </w:rPr>
        <w:t>部管理和控制制度，持续深入开展公司治理活动，规范公司运作，提高公司治理水平。公司在实际运作中没有违反相关规定</w:t>
      </w:r>
      <w:r>
        <w:rPr>
          <w:spacing w:val="-64"/>
        </w:rPr>
        <w:t> </w:t>
      </w:r>
      <w:r>
        <w:rPr>
          <w:spacing w:val="-64"/>
        </w:rPr>
      </w:r>
      <w:r>
        <w:rPr>
          <w:spacing w:val="-5"/>
        </w:rPr>
        <w:t>或与相关规定不一致的情况，公司治理基本符合相关法律法规和规范性文件的要求。报告期内，公司严格按照《章程》、《董</w:t>
      </w:r>
      <w:r>
        <w:rPr>
          <w:spacing w:val="-82"/>
        </w:rPr>
        <w:t> </w:t>
      </w:r>
      <w:r>
        <w:rPr>
          <w:spacing w:val="-82"/>
        </w:rPr>
      </w:r>
      <w:r>
        <w:rPr>
          <w:spacing w:val="-2"/>
        </w:rPr>
        <w:t>事会议事规则》、《监事会议事规则》规定，召开了</w:t>
      </w:r>
      <w:r>
        <w:rPr>
          <w:rFonts w:ascii="Times New Roman" w:hAnsi="Times New Roman" w:cs="Times New Roman" w:eastAsia="Times New Roman" w:hint="default"/>
          <w:spacing w:val="-2"/>
        </w:rPr>
        <w:t>2</w:t>
      </w:r>
      <w:r>
        <w:rPr>
          <w:spacing w:val="-2"/>
        </w:rPr>
        <w:t>次股东大会，</w:t>
      </w:r>
      <w:r>
        <w:rPr>
          <w:rFonts w:ascii="Times New Roman" w:hAnsi="Times New Roman" w:cs="Times New Roman" w:eastAsia="Times New Roman" w:hint="default"/>
          <w:spacing w:val="-2"/>
        </w:rPr>
        <w:t>12</w:t>
      </w:r>
      <w:r>
        <w:rPr>
          <w:spacing w:val="-2"/>
        </w:rPr>
        <w:t>次董事会会议，</w:t>
      </w:r>
      <w:r>
        <w:rPr>
          <w:rFonts w:ascii="Times New Roman" w:hAnsi="Times New Roman" w:cs="Times New Roman" w:eastAsia="Times New Roman" w:hint="default"/>
          <w:spacing w:val="-2"/>
        </w:rPr>
        <w:t>2</w:t>
      </w:r>
      <w:r>
        <w:rPr>
          <w:spacing w:val="-2"/>
        </w:rPr>
        <w:t>次监事会会议，各项会议召开运行合</w:t>
      </w:r>
      <w:r>
        <w:rPr>
          <w:spacing w:val="-65"/>
        </w:rPr>
        <w:t> </w:t>
      </w:r>
      <w:r>
        <w:rPr>
          <w:spacing w:val="-65"/>
        </w:rPr>
      </w:r>
      <w:r>
        <w:rPr/>
        <w:t>法有效。截止报告期末，公司治理实际情况基本符合中国证监会、深交所发布的有关上市公司治理的规范性文件的要求。</w:t>
      </w:r>
    </w:p>
    <w:p>
      <w:pPr>
        <w:spacing w:line="468" w:lineRule="exact" w:before="12"/>
        <w:ind w:left="513" w:right="986"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、公司治理制度的建立情况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报告期内，公司不断建立、健全各项公司治理制度，目前已涵盖经营管理、财务、信息披露、内部审计、对外投资等各</w:t>
      </w:r>
    </w:p>
    <w:p>
      <w:pPr>
        <w:pStyle w:val="BodyText"/>
        <w:spacing w:line="240" w:lineRule="auto" w:before="8"/>
        <w:ind w:right="0"/>
        <w:jc w:val="both"/>
      </w:pPr>
      <w:r>
        <w:rPr/>
        <w:t>个方面，为公司的规范运作与健康发展提供了良好的制度保障。</w:t>
      </w:r>
    </w:p>
    <w:p>
      <w:pPr>
        <w:pStyle w:val="BodyText"/>
        <w:spacing w:line="450" w:lineRule="atLeast" w:before="31"/>
        <w:ind w:left="513" w:right="986" w:firstLine="2"/>
        <w:jc w:val="left"/>
      </w:pPr>
      <w:r>
        <w:rPr>
          <w:rFonts w:ascii="Times New Roman" w:hAnsi="Times New Roman" w:cs="Times New Roman" w:eastAsia="Times New Roman" w:hint="default"/>
          <w:b/>
          <w:bCs/>
        </w:rPr>
        <w:t>2</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公司严格按照《公司法》、《上市公司股东大会规范意见》、《公司章程》、《股东大会议事规则》的规定和要求，召</w:t>
      </w:r>
    </w:p>
    <w:p>
      <w:pPr>
        <w:pStyle w:val="BodyText"/>
        <w:spacing w:line="316" w:lineRule="auto" w:before="76"/>
        <w:ind w:right="1135"/>
        <w:jc w:val="both"/>
      </w:pPr>
      <w:r>
        <w:rPr>
          <w:spacing w:val="-2"/>
        </w:rPr>
        <w:t>集、召开股东大会，规范表决程序，并通过聘请律师见证，保证会议的合法性。确保全体股东特别是中小股东享有平等地位</w:t>
      </w:r>
      <w:r>
        <w:rPr>
          <w:spacing w:val="-67"/>
        </w:rPr>
        <w:t> </w:t>
      </w:r>
      <w:r>
        <w:rPr>
          <w:spacing w:val="-67"/>
        </w:rPr>
      </w:r>
      <w:r>
        <w:rPr/>
        <w:t>和权利，并承担相应的义务，充分保护股东的合法权益，充分行使自己的权利。</w:t>
      </w:r>
    </w:p>
    <w:p>
      <w:pPr>
        <w:pStyle w:val="BodyText"/>
        <w:spacing w:line="468" w:lineRule="exact" w:before="11"/>
        <w:ind w:left="513" w:right="986" w:firstLine="2"/>
        <w:jc w:val="left"/>
      </w:pPr>
      <w:r>
        <w:rPr>
          <w:rFonts w:ascii="Times New Roman" w:hAnsi="Times New Roman" w:cs="Times New Roman" w:eastAsia="Times New Roman" w:hint="default"/>
          <w:b/>
          <w:bCs/>
        </w:rPr>
        <w:t>3</w:t>
      </w:r>
      <w:r>
        <w:rPr>
          <w:rFonts w:ascii="宋体" w:hAnsi="宋体" w:cs="宋体" w:eastAsia="宋体" w:hint="default"/>
          <w:b/>
          <w:bCs/>
        </w:rPr>
        <w:t>、关于公司与控股股东</w:t>
      </w:r>
      <w:r>
        <w:rPr>
          <w:rFonts w:ascii="宋体" w:hAnsi="宋体" w:cs="宋体" w:eastAsia="宋体" w:hint="default"/>
          <w:b/>
          <w:bCs/>
          <w:w w:val="99"/>
        </w:rPr>
        <w:t> </w:t>
      </w:r>
      <w:r>
        <w:rPr>
          <w:spacing w:val="-2"/>
        </w:rPr>
        <w:t>本公司按照《公司法》、《证券法》、《公司章程》及证券监管部门的有关规定正确处理与控股股东的关系。本公司控</w:t>
      </w:r>
    </w:p>
    <w:p>
      <w:pPr>
        <w:pStyle w:val="BodyText"/>
        <w:spacing w:line="316" w:lineRule="auto" w:before="8"/>
        <w:ind w:right="1133"/>
        <w:jc w:val="both"/>
      </w:pPr>
      <w:r>
        <w:rPr>
          <w:spacing w:val="-2"/>
        </w:rPr>
        <w:t>股股东依法行使其权利并承担相应义务，无占用公司资金、超越股东大会授权范围行使职权、直接或间接干预本公司的决策</w:t>
      </w:r>
      <w:r>
        <w:rPr>
          <w:spacing w:val="-65"/>
        </w:rPr>
        <w:t> </w:t>
      </w:r>
      <w:r>
        <w:rPr>
          <w:spacing w:val="-65"/>
        </w:rPr>
      </w:r>
      <w:r>
        <w:rPr>
          <w:spacing w:val="-2"/>
        </w:rPr>
        <w:t>和生产经营活动的情形。本公司具有自主经营能力，在业务、人员、资金、财务等方面均独立于控股股东，公司董事会、监</w:t>
      </w:r>
      <w:r>
        <w:rPr>
          <w:spacing w:val="-73"/>
        </w:rPr>
        <w:t> </w:t>
      </w:r>
      <w:r>
        <w:rPr>
          <w:spacing w:val="-73"/>
        </w:rPr>
      </w:r>
      <w:r>
        <w:rPr/>
        <w:t>事会和内部机构能够按照各自的议事规则和规章制度独立运作，各司其职。</w:t>
      </w:r>
    </w:p>
    <w:p>
      <w:pPr>
        <w:pStyle w:val="BodyText"/>
        <w:spacing w:line="468" w:lineRule="exact" w:before="10"/>
        <w:ind w:left="513" w:right="986" w:firstLine="2"/>
        <w:jc w:val="left"/>
      </w:pPr>
      <w:r>
        <w:rPr>
          <w:rFonts w:ascii="Times New Roman" w:hAnsi="Times New Roman" w:cs="Times New Roman" w:eastAsia="Times New Roman" w:hint="default"/>
          <w:b/>
          <w:bCs/>
        </w:rPr>
        <w:t>4</w:t>
      </w:r>
      <w:r>
        <w:rPr>
          <w:rFonts w:ascii="宋体" w:hAnsi="宋体" w:cs="宋体" w:eastAsia="宋体" w:hint="default"/>
          <w:b/>
          <w:bCs/>
        </w:rPr>
        <w:t>、关于董事与董事会</w:t>
      </w:r>
      <w:r>
        <w:rPr>
          <w:rFonts w:ascii="宋体" w:hAnsi="宋体" w:cs="宋体" w:eastAsia="宋体" w:hint="default"/>
          <w:b/>
          <w:bCs/>
          <w:w w:val="99"/>
        </w:rPr>
        <w:t> </w:t>
      </w:r>
      <w:r>
        <w:rPr>
          <w:spacing w:val="-2"/>
        </w:rPr>
        <w:t>公司董事能够依据《中小企业板块上市公司董事行为指引》、《董事会议事规则》开展工作，认真出席相关会议，积极</w:t>
      </w:r>
    </w:p>
    <w:p>
      <w:pPr>
        <w:pStyle w:val="BodyText"/>
        <w:spacing w:line="300" w:lineRule="auto" w:before="8"/>
        <w:ind w:right="1133"/>
        <w:jc w:val="both"/>
      </w:pPr>
      <w:r>
        <w:rPr>
          <w:spacing w:val="-2"/>
        </w:rPr>
        <w:t>参加培训，熟悉有关法律法规。公司严格按照《公司章程》规定的选聘程序选举董事，截至报告期末公司有董事</w:t>
      </w:r>
      <w:r>
        <w:rPr>
          <w:rFonts w:ascii="Times New Roman" w:hAnsi="Times New Roman" w:cs="Times New Roman" w:eastAsia="Times New Roman" w:hint="default"/>
          <w:spacing w:val="-2"/>
        </w:rPr>
        <w:t>11</w:t>
      </w:r>
      <w:r>
        <w:rPr>
          <w:spacing w:val="-2"/>
        </w:rPr>
        <w:t>名，其中</w:t>
      </w:r>
      <w:r>
        <w:rPr>
          <w:spacing w:val="-67"/>
        </w:rPr>
        <w:t> </w:t>
      </w:r>
      <w:r>
        <w:rPr>
          <w:spacing w:val="-67"/>
        </w:rPr>
      </w:r>
      <w:r>
        <w:rPr/>
        <w:t>独立董事</w:t>
      </w:r>
      <w:r>
        <w:rPr>
          <w:rFonts w:ascii="Times New Roman" w:hAnsi="Times New Roman" w:cs="Times New Roman" w:eastAsia="Times New Roman" w:hint="default"/>
        </w:rPr>
        <w:t>5</w:t>
      </w:r>
      <w:r>
        <w:rPr/>
        <w:t>名，董事会的人员构成符合法律法规和《公司章程》的要求。独立董事按照《独立董事工作细则》等制度规定独 立履行职责，出席公司董事会、股东大会，对公司重大事项发表独立意见，保证了公司的规范运作。</w:t>
      </w:r>
    </w:p>
    <w:p>
      <w:pPr>
        <w:pStyle w:val="BodyText"/>
        <w:spacing w:line="468" w:lineRule="exact" w:before="23"/>
        <w:ind w:left="513" w:right="986" w:firstLine="2"/>
        <w:jc w:val="left"/>
      </w:pPr>
      <w:r>
        <w:rPr>
          <w:rFonts w:ascii="Times New Roman" w:hAnsi="Times New Roman" w:cs="Times New Roman" w:eastAsia="Times New Roman" w:hint="default"/>
          <w:b/>
          <w:bCs/>
        </w:rPr>
        <w:t>5</w:t>
      </w:r>
      <w:r>
        <w:rPr>
          <w:rFonts w:ascii="宋体" w:hAnsi="宋体" w:cs="宋体" w:eastAsia="宋体" w:hint="default"/>
          <w:b/>
          <w:bCs/>
        </w:rPr>
        <w:t>、监事和监事会</w:t>
      </w:r>
      <w:r>
        <w:rPr>
          <w:rFonts w:ascii="宋体" w:hAnsi="宋体" w:cs="宋体" w:eastAsia="宋体" w:hint="default"/>
          <w:b/>
          <w:bCs/>
          <w:w w:val="99"/>
        </w:rPr>
        <w:t> </w:t>
      </w:r>
      <w:r>
        <w:rPr>
          <w:spacing w:val="-2"/>
        </w:rPr>
        <w:t>公司监事会严格按照《公司法》、《公司章程》和《监事会议事规则》的有关规定开展工作，监事的推荐、选举和产生</w:t>
      </w:r>
    </w:p>
    <w:p>
      <w:pPr>
        <w:pStyle w:val="BodyText"/>
        <w:spacing w:line="316" w:lineRule="auto" w:before="8"/>
        <w:ind w:right="1131"/>
        <w:jc w:val="both"/>
      </w:pPr>
      <w:r>
        <w:rPr>
          <w:spacing w:val="-2"/>
        </w:rPr>
        <w:t>程序符合相关法律、法规要求。公司监事认真履行职责，对公司财务状况、重大事项的合法、合规性进行监督，维护公司及</w:t>
      </w:r>
      <w:r>
        <w:rPr>
          <w:spacing w:val="-67"/>
        </w:rPr>
        <w:t> </w:t>
      </w:r>
      <w:r>
        <w:rPr>
          <w:spacing w:val="-67"/>
        </w:rPr>
      </w:r>
      <w:r>
        <w:rPr/>
        <w:t>股东的合法权益。</w:t>
      </w:r>
    </w:p>
    <w:p>
      <w:pPr>
        <w:pStyle w:val="BodyText"/>
        <w:spacing w:line="468" w:lineRule="exact" w:before="10"/>
        <w:ind w:left="513" w:right="1033" w:firstLine="2"/>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t>公司根据《信息披露事务管理办法》和《投资者关系管理制度》，认真履行信息披露义务。公司指定《中国证券报》、</w:t>
      </w:r>
    </w:p>
    <w:p>
      <w:pPr>
        <w:pStyle w:val="BodyText"/>
        <w:spacing w:line="309" w:lineRule="auto" w:before="8"/>
        <w:ind w:right="986"/>
        <w:jc w:val="left"/>
      </w:pPr>
      <w:r>
        <w:rPr/>
        <w:t>《证券日报》、《证券时报》以及巨潮资讯网（</w:t>
      </w:r>
      <w:hyperlink r:id="rId12">
        <w:r>
          <w:rPr>
            <w:rFonts w:ascii="Times New Roman" w:hAnsi="Times New Roman" w:cs="Times New Roman" w:eastAsia="Times New Roman" w:hint="default"/>
          </w:rPr>
          <w:t>www.cninfo.com.cn</w:t>
        </w:r>
      </w:hyperlink>
      <w:r>
        <w:rPr/>
        <w:t>）作为公司信息披露的报纸和网站。保证公司信息披露 </w:t>
      </w:r>
      <w:r>
        <w:rPr>
          <w:spacing w:val="-2"/>
        </w:rPr>
        <w:t>的真实、准确、完整、及时，并确保所有股东有平等的机会获得信息。本公司指定董事会秘书负责信息披露工作，证券事务</w:t>
      </w:r>
      <w:r>
        <w:rPr>
          <w:spacing w:val="-70"/>
        </w:rPr>
        <w:t> </w:t>
      </w:r>
      <w:r>
        <w:rPr>
          <w:spacing w:val="-70"/>
        </w:rPr>
      </w:r>
      <w:r>
        <w:rPr/>
        <w:t>代表协助董事会秘书开展工作。</w:t>
      </w:r>
    </w:p>
    <w:p>
      <w:pPr>
        <w:spacing w:after="0" w:line="309"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Heading5"/>
        <w:spacing w:line="240" w:lineRule="auto" w:before="44"/>
        <w:ind w:left="515" w:right="986"/>
        <w:jc w:val="left"/>
        <w:rPr>
          <w:b w:val="0"/>
          <w:bCs w:val="0"/>
        </w:rPr>
      </w:pPr>
      <w:r>
        <w:rPr>
          <w:rFonts w:ascii="Times New Roman" w:hAnsi="Times New Roman" w:cs="Times New Roman" w:eastAsia="Times New Roman" w:hint="default"/>
        </w:rPr>
        <w:t>7</w:t>
      </w:r>
      <w:r>
        <w:rPr/>
        <w:t>、关于相关利益者</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1131" w:firstLine="360"/>
        <w:jc w:val="both"/>
      </w:pPr>
      <w:r>
        <w:rPr>
          <w:spacing w:val="-2"/>
        </w:rPr>
        <w:t>本公司能够充分尊重和维护相关利益者的合法权益，积极与相关利益者合作，加强与各方的沟通和交流，实现股东、员</w:t>
      </w:r>
      <w:r>
        <w:rPr/>
        <w:t> 工、社会等各方利益的协调平衡，共同推动公司持续、健康的发展。</w:t>
      </w:r>
    </w:p>
    <w:p>
      <w:pPr>
        <w:spacing w:line="468" w:lineRule="exact" w:before="10"/>
        <w:ind w:left="513" w:right="986"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公司建立了完善的绩效评价、激励与约束机制，公司高级管理人员均由董事会聘任，董事会薪酬与考核委员会负责对公</w:t>
      </w:r>
    </w:p>
    <w:p>
      <w:pPr>
        <w:pStyle w:val="BodyText"/>
        <w:spacing w:line="316" w:lineRule="auto" w:before="8"/>
        <w:ind w:right="986"/>
        <w:jc w:val="left"/>
      </w:pPr>
      <w:r>
        <w:rPr>
          <w:spacing w:val="-2"/>
        </w:rPr>
        <w:t>司高级管理人员的工作能力、履行情况、责任目标完成情况进行严格考评。同时，公司通过员工持股计划的实施，进一步调</w:t>
      </w:r>
      <w:r>
        <w:rPr>
          <w:spacing w:val="-67"/>
        </w:rPr>
        <w:t> </w:t>
      </w:r>
      <w:r>
        <w:rPr>
          <w:spacing w:val="-67"/>
        </w:rPr>
      </w:r>
      <w:r>
        <w:rPr>
          <w:spacing w:val="-4"/>
        </w:rPr>
        <w:t>动管理者和核心员工的工作积极性，对吸引和保留优秀管理人才和核心员工起到积极的促进作用。通过激励机制的不断完善，</w:t>
      </w:r>
      <w:r>
        <w:rPr>
          <w:spacing w:val="-44"/>
        </w:rPr>
        <w:t> </w:t>
      </w:r>
      <w:r>
        <w:rPr>
          <w:spacing w:val="-44"/>
        </w:rPr>
      </w:r>
      <w:r>
        <w:rPr/>
        <w:t>有效的促进了公司持续健康发展、完善了公司法人治理结构。</w:t>
      </w:r>
    </w:p>
    <w:p>
      <w:pPr>
        <w:spacing w:line="468" w:lineRule="exact" w:before="10"/>
        <w:ind w:left="513" w:right="986"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、内部审计制度的建立和执行情况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公司建立了《内部审计制度》，对内审工作作出明确的规定和要求。公司内部审计部门直接对董事会负责，在审计委员</w:t>
      </w:r>
    </w:p>
    <w:p>
      <w:pPr>
        <w:pStyle w:val="BodyText"/>
        <w:spacing w:line="316" w:lineRule="auto" w:before="8"/>
        <w:ind w:right="986"/>
        <w:jc w:val="left"/>
      </w:pPr>
      <w:r>
        <w:rPr>
          <w:spacing w:val="-4"/>
        </w:rPr>
        <w:t>会的指导下，独立行使审计职权，不受其他部门和个人的干涉。内部审计部门对公司及下属子公司所有经营管理、财务状况、</w:t>
      </w:r>
      <w:r>
        <w:rPr>
          <w:spacing w:val="-46"/>
        </w:rPr>
        <w:t> </w:t>
      </w:r>
      <w:r>
        <w:rPr>
          <w:spacing w:val="-46"/>
        </w:rPr>
      </w:r>
      <w:r>
        <w:rPr>
          <w:spacing w:val="-2"/>
        </w:rPr>
        <w:t>内控执行等情况进行内部审计，对其经济效益的真实性、合理性、合法性做出合理评价，提升内部控制管理的有效性，进一</w:t>
      </w:r>
      <w:r>
        <w:rPr>
          <w:spacing w:val="-67"/>
        </w:rPr>
        <w:t> </w:t>
      </w:r>
      <w:r>
        <w:rPr>
          <w:spacing w:val="-67"/>
        </w:rPr>
      </w:r>
      <w:r>
        <w:rPr/>
        <w:t>步防范经营风险和财务风险。</w:t>
      </w:r>
    </w:p>
    <w:p>
      <w:pPr>
        <w:spacing w:line="240" w:lineRule="auto" w:before="5"/>
        <w:rPr>
          <w:rFonts w:ascii="宋体" w:hAnsi="宋体" w:cs="宋体" w:eastAsia="宋体" w:hint="default"/>
          <w:sz w:val="13"/>
          <w:szCs w:val="13"/>
        </w:rPr>
      </w:pPr>
    </w:p>
    <w:p>
      <w:pPr>
        <w:pStyle w:val="BodyText"/>
        <w:spacing w:line="240" w:lineRule="auto"/>
        <w:ind w:right="986"/>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7"/>
          <w:szCs w:val="17"/>
        </w:rPr>
      </w:pPr>
    </w:p>
    <w:p>
      <w:pPr>
        <w:pStyle w:val="BodyText"/>
        <w:spacing w:line="451" w:lineRule="auto"/>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2"/>
        <w:rPr>
          <w:rFonts w:ascii="宋体" w:hAnsi="宋体" w:cs="宋体" w:eastAsia="宋体" w:hint="default"/>
          <w:sz w:val="13"/>
          <w:szCs w:val="13"/>
        </w:rPr>
      </w:pPr>
    </w:p>
    <w:p>
      <w:pPr>
        <w:pStyle w:val="Heading3"/>
        <w:spacing w:line="240" w:lineRule="auto"/>
        <w:ind w:right="986"/>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86"/>
        <w:jc w:val="left"/>
      </w:pPr>
      <w:r>
        <w:rPr/>
        <w:t>公司与控股股东在业务、人员、资产、机构、财务等方面完全分开，具有独立完整的业务及自主经营能力。</w:t>
      </w:r>
    </w:p>
    <w:p>
      <w:pPr>
        <w:spacing w:line="240" w:lineRule="auto" w:before="10"/>
        <w:rPr>
          <w:rFonts w:ascii="宋体" w:hAnsi="宋体" w:cs="宋体" w:eastAsia="宋体" w:hint="default"/>
          <w:sz w:val="17"/>
          <w:szCs w:val="17"/>
        </w:rPr>
      </w:pPr>
    </w:p>
    <w:p>
      <w:pPr>
        <w:pStyle w:val="BodyText"/>
        <w:spacing w:line="309" w:lineRule="auto"/>
        <w:ind w:right="1034" w:firstLine="360"/>
        <w:jc w:val="left"/>
      </w:pPr>
      <w:r>
        <w:rPr>
          <w:rFonts w:ascii="Times New Roman" w:hAnsi="Times New Roman" w:cs="Times New Roman" w:eastAsia="Times New Roman" w:hint="default"/>
          <w:spacing w:val="-2"/>
        </w:rPr>
        <w:t>1</w:t>
      </w:r>
      <w:r>
        <w:rPr>
          <w:spacing w:val="-2"/>
        </w:rPr>
        <w:t>、业务独立情况公司主要从事行业应用软件开发、计算机信息系统集成及相关服务业务，拥有独立的采购和销售系统，</w:t>
      </w:r>
      <w:r>
        <w:rPr/>
        <w:t> 独立的进行原材料和产品的采购和销售，并建立了符合现代企业制度要求和公司实际情况的法人治理结构和内部组织结构， </w:t>
      </w:r>
      <w:r>
        <w:rPr>
          <w:spacing w:val="-2"/>
        </w:rPr>
        <w:t>在生产经营及管理上独立运作。本公司的实际控制人薛向东及其家族成员以及所控制的诚信电脑、诚信投资、合创电商分别</w:t>
      </w:r>
      <w:r>
        <w:rPr>
          <w:spacing w:val="-64"/>
        </w:rPr>
        <w:t> </w:t>
      </w:r>
      <w:r>
        <w:rPr>
          <w:spacing w:val="-64"/>
        </w:rPr>
      </w:r>
      <w:r>
        <w:rPr/>
        <w:t>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日向本公司出具了《不竞争承诺函》以及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日签订的《避免同业竞争承诺》，本公司与任何股东 及其他关联方之间不存在同业竞争。</w:t>
      </w:r>
    </w:p>
    <w:p>
      <w:pPr>
        <w:spacing w:line="240" w:lineRule="auto" w:before="10"/>
        <w:rPr>
          <w:rFonts w:ascii="宋体" w:hAnsi="宋体" w:cs="宋体" w:eastAsia="宋体" w:hint="default"/>
          <w:sz w:val="13"/>
          <w:szCs w:val="13"/>
        </w:rPr>
      </w:pPr>
    </w:p>
    <w:p>
      <w:pPr>
        <w:pStyle w:val="BodyText"/>
        <w:spacing w:line="314" w:lineRule="auto"/>
        <w:ind w:right="1131" w:firstLine="360"/>
        <w:jc w:val="both"/>
      </w:pPr>
      <w:r>
        <w:rPr>
          <w:rFonts w:ascii="Times New Roman" w:hAnsi="Times New Roman" w:cs="Times New Roman" w:eastAsia="Times New Roman" w:hint="default"/>
        </w:rPr>
        <w:t>2</w:t>
      </w:r>
      <w:r>
        <w:rPr/>
        <w:t>、人员独立情况公司逐步建立健全法人治理结构，董事、监事及高级管理人员均严格按照《公司法》、《公司章程》 </w:t>
      </w:r>
      <w:r>
        <w:rPr>
          <w:spacing w:val="-2"/>
        </w:rPr>
        <w:t>规定的条件和程序产生。目前，除董事长薛向东担任控股股东诚信电脑的董事外，公司其余董事、监事均未在公司股东单位</w:t>
      </w:r>
      <w:r>
        <w:rPr>
          <w:spacing w:val="-65"/>
        </w:rPr>
        <w:t> </w:t>
      </w:r>
      <w:r>
        <w:rPr>
          <w:spacing w:val="-65"/>
        </w:rPr>
      </w:r>
      <w:r>
        <w:rPr>
          <w:spacing w:val="-2"/>
        </w:rPr>
        <w:t>任职。公司总经理、副总经理、财务负责人和董事会秘书等高级管理人员专职在公司工作并领取薪酬，其中公司副总经理王</w:t>
      </w:r>
      <w:r>
        <w:rPr>
          <w:spacing w:val="-64"/>
        </w:rPr>
        <w:t> </w:t>
      </w:r>
      <w:r>
        <w:rPr>
          <w:spacing w:val="-64"/>
        </w:rPr>
      </w:r>
      <w:r>
        <w:rPr>
          <w:spacing w:val="-2"/>
        </w:rPr>
        <w:t>佺在控股子公司北京神州新桥科技有限公司担任副总经理，并在控股子公司领取工资。其余公司高级管理人员未在公司股东</w:t>
      </w:r>
      <w:r>
        <w:rPr>
          <w:spacing w:val="-64"/>
        </w:rPr>
        <w:t> </w:t>
      </w:r>
      <w:r>
        <w:rPr>
          <w:spacing w:val="-64"/>
        </w:rPr>
      </w:r>
      <w:r>
        <w:rPr/>
        <w:t>单位任职，也未在与公司业务相同或相似、或存在其他利益冲突的企业任职。</w:t>
      </w:r>
    </w:p>
    <w:p>
      <w:pPr>
        <w:spacing w:line="240" w:lineRule="auto" w:before="7"/>
        <w:rPr>
          <w:rFonts w:ascii="宋体" w:hAnsi="宋体" w:cs="宋体" w:eastAsia="宋体" w:hint="default"/>
          <w:sz w:val="13"/>
          <w:szCs w:val="13"/>
        </w:rPr>
      </w:pPr>
    </w:p>
    <w:p>
      <w:pPr>
        <w:pStyle w:val="BodyText"/>
        <w:spacing w:line="309" w:lineRule="auto"/>
        <w:ind w:right="1041" w:firstLine="360"/>
        <w:jc w:val="both"/>
      </w:pPr>
      <w:r>
        <w:rPr>
          <w:rFonts w:ascii="Times New Roman" w:hAnsi="Times New Roman" w:cs="Times New Roman" w:eastAsia="Times New Roman" w:hint="default"/>
          <w:spacing w:val="-2"/>
        </w:rPr>
        <w:t>3</w:t>
      </w:r>
      <w:r>
        <w:rPr>
          <w:spacing w:val="-2"/>
        </w:rPr>
        <w:t>、资产独立情况公司拥有独立的生产经营场所，对全部资产拥有完全的控制支配权，拥有独立的经营系统和配套设施、</w:t>
      </w:r>
      <w:r>
        <w:rPr/>
        <w:t> </w:t>
      </w:r>
      <w:r>
        <w:rPr>
          <w:spacing w:val="-4"/>
        </w:rPr>
        <w:t>专有技术、计算机软件著作权等资产。公司和控股股东产权关系明确，公司资产完整并由公司实际控制和使用，不存在资产、</w:t>
      </w:r>
      <w:r>
        <w:rPr>
          <w:spacing w:val="-46"/>
        </w:rPr>
        <w:t> </w:t>
      </w:r>
      <w:r>
        <w:rPr>
          <w:spacing w:val="-46"/>
        </w:rPr>
      </w:r>
      <w:r>
        <w:rPr/>
        <w:t>资金被控股股东、实际控制人及其控制的企业违规占用而损害公司利益的情况。</w:t>
      </w:r>
    </w:p>
    <w:p>
      <w:pPr>
        <w:spacing w:line="240" w:lineRule="auto" w:before="10"/>
        <w:rPr>
          <w:rFonts w:ascii="宋体" w:hAnsi="宋体" w:cs="宋体" w:eastAsia="宋体" w:hint="default"/>
          <w:sz w:val="13"/>
          <w:szCs w:val="13"/>
        </w:rPr>
      </w:pPr>
    </w:p>
    <w:p>
      <w:pPr>
        <w:pStyle w:val="BodyText"/>
        <w:spacing w:line="300" w:lineRule="auto"/>
        <w:ind w:right="1138" w:firstLine="360"/>
        <w:jc w:val="both"/>
      </w:pPr>
      <w:r>
        <w:rPr>
          <w:rFonts w:ascii="Times New Roman" w:hAnsi="Times New Roman" w:cs="Times New Roman" w:eastAsia="Times New Roman" w:hint="default"/>
        </w:rPr>
        <w:t>4</w:t>
      </w:r>
      <w:r>
        <w:rPr/>
        <w:t>、机构独立情况公司根据《公司法》、《证券法》及《公司章程》的相关规定，设立了健全的组织结构体系，独立运 作，不存在与控股股东或其职能部门之间的从属关系。</w:t>
      </w:r>
    </w:p>
    <w:p>
      <w:pPr>
        <w:spacing w:line="240" w:lineRule="auto" w:before="4"/>
        <w:rPr>
          <w:rFonts w:ascii="宋体" w:hAnsi="宋体" w:cs="宋体" w:eastAsia="宋体" w:hint="default"/>
          <w:sz w:val="14"/>
          <w:szCs w:val="14"/>
        </w:rPr>
      </w:pPr>
    </w:p>
    <w:p>
      <w:pPr>
        <w:pStyle w:val="BodyText"/>
        <w:spacing w:line="309" w:lineRule="auto"/>
        <w:ind w:right="1130" w:firstLine="360"/>
        <w:jc w:val="both"/>
      </w:pPr>
      <w:r>
        <w:rPr>
          <w:rFonts w:ascii="Times New Roman" w:hAnsi="Times New Roman" w:cs="Times New Roman" w:eastAsia="Times New Roman" w:hint="default"/>
        </w:rPr>
        <w:t>5</w:t>
      </w:r>
      <w:r>
        <w:rPr/>
        <w:t>、财务独立情况公司已依照相关法律、法规成立了独立的财务部门，建立了独立的会计核算体系和财务管理制度，并 </w:t>
      </w:r>
      <w:r>
        <w:rPr>
          <w:spacing w:val="-2"/>
        </w:rPr>
        <w:t>实施严格的内部审计制度，不存在本公司股东或其他关联方干预本公司资金使用的情况；公司拥有独立的银行账户，独立进</w:t>
      </w:r>
      <w:r>
        <w:rPr>
          <w:spacing w:val="-63"/>
        </w:rPr>
        <w:t> </w:t>
      </w:r>
      <w:r>
        <w:rPr>
          <w:spacing w:val="-63"/>
        </w:rPr>
      </w:r>
      <w:r>
        <w:rPr>
          <w:spacing w:val="-2"/>
        </w:rPr>
        <w:t>行纳税申报并履行纳税义务，本公司股东及其他关联方未以任何形式占用公司资金、资产和其他资源。截止目前，本公司没</w:t>
      </w:r>
    </w:p>
    <w:p>
      <w:pPr>
        <w:spacing w:after="0" w:line="309"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有以资产、权益或信誉为股东、股东的控股子公司或附属企业、个人提供担保的行为。</w:t>
      </w:r>
    </w:p>
    <w:p>
      <w:pPr>
        <w:spacing w:line="240" w:lineRule="auto" w:before="3"/>
        <w:rPr>
          <w:rFonts w:ascii="宋体" w:hAnsi="宋体" w:cs="宋体" w:eastAsia="宋体" w:hint="default"/>
          <w:sz w:val="25"/>
          <w:szCs w:val="25"/>
        </w:rPr>
      </w:pPr>
    </w:p>
    <w:p>
      <w:pPr>
        <w:pStyle w:val="Heading3"/>
        <w:spacing w:line="240" w:lineRule="auto"/>
        <w:ind w:right="986"/>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6"/>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852"/>
        <w:gridCol w:w="1560"/>
        <w:gridCol w:w="1558"/>
        <w:gridCol w:w="2621"/>
      </w:tblGrid>
      <w:tr>
        <w:trPr>
          <w:trHeight w:val="75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62" w:right="59" w:firstLine="91"/>
              <w:jc w:val="left"/>
              <w:rPr>
                <w:rFonts w:ascii="宋体" w:hAnsi="宋体" w:cs="宋体" w:eastAsia="宋体" w:hint="default"/>
                <w:sz w:val="18"/>
                <w:szCs w:val="18"/>
              </w:rPr>
            </w:pPr>
            <w:r>
              <w:rPr>
                <w:rFonts w:ascii="宋体" w:hAnsi="宋体" w:cs="宋体" w:eastAsia="宋体" w:hint="default"/>
                <w:sz w:val="18"/>
                <w:szCs w:val="18"/>
              </w:rPr>
              <w:t>投资者 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26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刊登在《中国证券报</w:t>
            </w:r>
            <w:r>
              <w:rPr>
                <w:rFonts w:ascii="宋体" w:hAnsi="宋体" w:cs="宋体" w:eastAsia="宋体" w:hint="default"/>
                <w:spacing w:val="-92"/>
                <w:sz w:val="18"/>
                <w:szCs w:val="18"/>
              </w:rPr>
              <w:t>》、</w:t>
            </w:r>
            <w:r>
              <w:rPr>
                <w:rFonts w:ascii="宋体" w:hAnsi="宋体" w:cs="宋体" w:eastAsia="宋体" w:hint="default"/>
                <w:sz w:val="18"/>
                <w:szCs w:val="18"/>
              </w:rPr>
              <w:t>《证</w:t>
            </w:r>
            <w:r>
              <w:rPr>
                <w:rFonts w:ascii="宋体" w:hAnsi="宋体" w:cs="宋体" w:eastAsia="宋体" w:hint="default"/>
                <w:spacing w:val="2"/>
                <w:sz w:val="18"/>
                <w:szCs w:val="18"/>
              </w:rPr>
              <w:t>券</w:t>
            </w:r>
            <w:r>
              <w:rPr>
                <w:rFonts w:ascii="宋体" w:hAnsi="宋体" w:cs="宋体" w:eastAsia="宋体" w:hint="default"/>
                <w:sz w:val="18"/>
                <w:szCs w:val="18"/>
              </w:rPr>
              <w:t>日</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《证券时报》及巨潮资</w:t>
            </w:r>
            <w:r>
              <w:rPr>
                <w:rFonts w:ascii="宋体" w:hAnsi="宋体" w:cs="宋体" w:eastAsia="宋体" w:hint="default"/>
                <w:spacing w:val="2"/>
                <w:sz w:val="18"/>
                <w:szCs w:val="18"/>
              </w:rPr>
              <w:t>讯</w:t>
            </w:r>
            <w:r>
              <w:rPr>
                <w:rFonts w:ascii="宋体" w:hAnsi="宋体" w:cs="宋体" w:eastAsia="宋体" w:hint="default"/>
                <w:sz w:val="18"/>
                <w:szCs w:val="18"/>
              </w:rPr>
              <w:t>网</w:t>
            </w:r>
          </w:p>
        </w:tc>
      </w:tr>
      <w:tr>
        <w:trPr>
          <w:trHeight w:val="629"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62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www.cninfo.com.cn)</w:t>
            </w:r>
            <w:r>
              <w:rPr>
                <w:rFonts w:ascii="宋体" w:hAnsi="宋体" w:cs="宋体" w:eastAsia="宋体" w:hint="default"/>
                <w:spacing w:val="-2"/>
                <w:sz w:val="18"/>
                <w:szCs w:val="18"/>
              </w:rPr>
              <w:t>上的《东华</w:t>
            </w:r>
            <w:r>
              <w:rPr>
                <w:rFonts w:ascii="宋体" w:hAnsi="宋体" w:cs="宋体" w:eastAsia="宋体" w:hint="default"/>
                <w:sz w:val="18"/>
                <w:szCs w:val="18"/>
              </w:rPr>
              <w:t> 软件股份公司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w:t>
            </w: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6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大会决议公告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tc>
      </w:tr>
      <w:tr>
        <w:trPr>
          <w:trHeight w:val="355"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2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2019-035</w:t>
            </w:r>
            <w:r>
              <w:rPr>
                <w:rFonts w:ascii="宋体" w:hAnsi="宋体" w:cs="宋体" w:eastAsia="宋体" w:hint="default"/>
                <w:sz w:val="18"/>
                <w:szCs w:val="18"/>
              </w:rPr>
              <w:t>）</w:t>
            </w:r>
          </w:p>
        </w:tc>
      </w:tr>
      <w:tr>
        <w:trPr>
          <w:trHeight w:val="358"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26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刊登在《中国证券报</w:t>
            </w:r>
            <w:r>
              <w:rPr>
                <w:rFonts w:ascii="宋体" w:hAnsi="宋体" w:cs="宋体" w:eastAsia="宋体" w:hint="default"/>
                <w:spacing w:val="-92"/>
                <w:sz w:val="18"/>
                <w:szCs w:val="18"/>
              </w:rPr>
              <w:t>》、</w:t>
            </w:r>
            <w:r>
              <w:rPr>
                <w:rFonts w:ascii="宋体" w:hAnsi="宋体" w:cs="宋体" w:eastAsia="宋体" w:hint="default"/>
                <w:sz w:val="18"/>
                <w:szCs w:val="18"/>
              </w:rPr>
              <w:t>《证</w:t>
            </w:r>
            <w:r>
              <w:rPr>
                <w:rFonts w:ascii="宋体" w:hAnsi="宋体" w:cs="宋体" w:eastAsia="宋体" w:hint="default"/>
                <w:spacing w:val="2"/>
                <w:sz w:val="18"/>
                <w:szCs w:val="18"/>
              </w:rPr>
              <w:t>券</w:t>
            </w:r>
            <w:r>
              <w:rPr>
                <w:rFonts w:ascii="宋体" w:hAnsi="宋体" w:cs="宋体" w:eastAsia="宋体" w:hint="default"/>
                <w:sz w:val="18"/>
                <w:szCs w:val="18"/>
              </w:rPr>
              <w:t>日</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《证券时报》及巨潮资</w:t>
            </w:r>
            <w:r>
              <w:rPr>
                <w:rFonts w:ascii="宋体" w:hAnsi="宋体" w:cs="宋体" w:eastAsia="宋体" w:hint="default"/>
                <w:spacing w:val="2"/>
                <w:sz w:val="18"/>
                <w:szCs w:val="18"/>
              </w:rPr>
              <w:t>讯</w:t>
            </w:r>
            <w:r>
              <w:rPr>
                <w:rFonts w:ascii="宋体" w:hAnsi="宋体" w:cs="宋体" w:eastAsia="宋体" w:hint="default"/>
                <w:sz w:val="18"/>
                <w:szCs w:val="18"/>
              </w:rPr>
              <w:t>网</w:t>
            </w:r>
          </w:p>
        </w:tc>
      </w:tr>
      <w:tr>
        <w:trPr>
          <w:trHeight w:val="629"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 东大会</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62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www.cninfo.com.cn)</w:t>
            </w:r>
            <w:r>
              <w:rPr>
                <w:rFonts w:ascii="宋体" w:hAnsi="宋体" w:cs="宋体" w:eastAsia="宋体" w:hint="default"/>
                <w:spacing w:val="-2"/>
                <w:sz w:val="18"/>
                <w:szCs w:val="18"/>
              </w:rPr>
              <w:t>上的《东华</w:t>
            </w:r>
            <w:r>
              <w:rPr>
                <w:rFonts w:ascii="宋体" w:hAnsi="宋体" w:cs="宋体" w:eastAsia="宋体" w:hint="default"/>
                <w:sz w:val="18"/>
                <w:szCs w:val="18"/>
              </w:rPr>
              <w:t> 软件股份公司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w:t>
            </w: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26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2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2019-056</w:t>
            </w:r>
            <w:r>
              <w:rPr>
                <w:rFonts w:ascii="宋体" w:hAnsi="宋体" w:cs="宋体" w:eastAsia="宋体" w:hint="default"/>
                <w:sz w:val="18"/>
                <w:szCs w:val="18"/>
              </w:rPr>
              <w:t>）</w:t>
            </w:r>
          </w:p>
        </w:tc>
      </w:tr>
    </w:tbl>
    <w:p>
      <w:pPr>
        <w:spacing w:line="240" w:lineRule="auto" w:before="5"/>
        <w:rPr>
          <w:rFonts w:ascii="宋体" w:hAnsi="宋体" w:cs="宋体" w:eastAsia="宋体" w:hint="default"/>
          <w:b/>
          <w:bCs/>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王以朋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b/>
          <w:bCs/>
          <w:sz w:val="25"/>
          <w:szCs w:val="25"/>
        </w:rPr>
      </w:pPr>
    </w:p>
    <w:p>
      <w:pPr>
        <w:pStyle w:val="BodyText"/>
        <w:spacing w:line="362" w:lineRule="auto" w:before="44"/>
        <w:ind w:right="8054"/>
        <w:jc w:val="left"/>
      </w:pPr>
      <w:r>
        <w:rPr/>
        <w:t>连续两次未亲自出席董事会的说明 不适用</w:t>
      </w:r>
    </w:p>
    <w:p>
      <w:pPr>
        <w:spacing w:line="240" w:lineRule="auto" w:before="13"/>
        <w:rPr>
          <w:rFonts w:ascii="宋体" w:hAnsi="宋体" w:cs="宋体" w:eastAsia="宋体" w:hint="default"/>
          <w:sz w:val="19"/>
          <w:szCs w:val="19"/>
        </w:rPr>
      </w:pPr>
    </w:p>
    <w:p>
      <w:pPr>
        <w:pStyle w:val="Heading4"/>
        <w:spacing w:line="240" w:lineRule="auto"/>
        <w:ind w:right="98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独立董事对公司有关事项是否提出异议</w:t>
      </w:r>
    </w:p>
    <w:p>
      <w:pPr>
        <w:pStyle w:val="BodyText"/>
        <w:spacing w:line="300" w:lineRule="auto" w:before="76"/>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t>独立董事对公司有关建议是否被采纳</w:t>
      </w:r>
    </w:p>
    <w:p>
      <w:pPr>
        <w:pStyle w:val="BodyText"/>
        <w:spacing w:line="300" w:lineRule="auto" w:before="76"/>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spacing w:line="240" w:lineRule="auto" w:before="4"/>
        <w:rPr>
          <w:rFonts w:ascii="宋体" w:hAnsi="宋体" w:cs="宋体" w:eastAsia="宋体" w:hint="default"/>
          <w:sz w:val="14"/>
          <w:szCs w:val="14"/>
        </w:rPr>
      </w:pPr>
    </w:p>
    <w:p>
      <w:pPr>
        <w:pStyle w:val="BodyText"/>
        <w:spacing w:line="316" w:lineRule="auto"/>
        <w:ind w:right="1131" w:firstLine="360"/>
        <w:jc w:val="both"/>
      </w:pPr>
      <w:r>
        <w:rPr>
          <w:spacing w:val="-2"/>
        </w:rPr>
        <w:t>报告期内，公司独立董事勤勉尽责、有效地履行独立董事职务，对公司进行了多次实地现场考察，详细了解公司日常经</w:t>
      </w:r>
      <w:r>
        <w:rPr/>
        <w:t> </w:t>
      </w:r>
      <w:r>
        <w:rPr>
          <w:spacing w:val="-2"/>
        </w:rPr>
        <w:t>营和公司财务状况。报告期内，公司五名独立董事全部出席公司历次董事会，并在会议中提出对公司发展的建议与意见。在</w:t>
      </w:r>
      <w:r>
        <w:rPr>
          <w:spacing w:val="-64"/>
        </w:rPr>
        <w:t> </w:t>
      </w:r>
      <w:r>
        <w:rPr>
          <w:spacing w:val="-64"/>
        </w:rPr>
      </w:r>
      <w:r>
        <w:rPr>
          <w:spacing w:val="-2"/>
        </w:rPr>
        <w:t>公司定期报告前后，独立董事与公司董事、高级管理人员、内审部门及会计师进行沟通，对公司内部控制、公司治理、经营</w:t>
      </w:r>
      <w:r>
        <w:rPr>
          <w:spacing w:val="-68"/>
        </w:rPr>
        <w:t> </w:t>
      </w:r>
      <w:r>
        <w:rPr>
          <w:spacing w:val="-68"/>
        </w:rPr>
      </w:r>
      <w:r>
        <w:rPr>
          <w:spacing w:val="-2"/>
        </w:rPr>
        <w:t>策略、发展方向、公司战略等诸多方面提出指导性意见；同时，及时获悉公司各大重大事项的进展情况，并对公司重大事项</w:t>
      </w:r>
      <w:r>
        <w:rPr>
          <w:spacing w:val="-66"/>
        </w:rPr>
        <w:t> </w:t>
      </w:r>
      <w:r>
        <w:rPr>
          <w:spacing w:val="-66"/>
        </w:rPr>
      </w:r>
      <w:r>
        <w:rPr/>
        <w:t>发表独立意见，为公司董事会各项议案的审议表决提供了有力的支持，保护了公司和广大投资者的利益。</w:t>
      </w:r>
    </w:p>
    <w:p>
      <w:pPr>
        <w:spacing w:line="240" w:lineRule="auto" w:before="11"/>
        <w:rPr>
          <w:rFonts w:ascii="宋体" w:hAnsi="宋体" w:cs="宋体" w:eastAsia="宋体" w:hint="default"/>
          <w:sz w:val="20"/>
          <w:szCs w:val="20"/>
        </w:rPr>
      </w:pPr>
    </w:p>
    <w:p>
      <w:pPr>
        <w:pStyle w:val="Heading3"/>
        <w:spacing w:line="240" w:lineRule="auto"/>
        <w:ind w:right="986"/>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spacing w:val="-2"/>
        </w:rPr>
        <w:t>公司董事会下设四个专门委员会，分别为审计委员会、提名委员会、薪酬与考核委员会、战略委员会。</w:t>
      </w:r>
      <w:r>
        <w:rPr>
          <w:rFonts w:ascii="Times New Roman" w:hAnsi="Times New Roman" w:cs="Times New Roman" w:eastAsia="Times New Roman" w:hint="default"/>
          <w:spacing w:val="-2"/>
        </w:rPr>
        <w:t>2019</w:t>
      </w:r>
      <w:r>
        <w:rPr>
          <w:spacing w:val="-2"/>
        </w:rPr>
        <w:t>年各专门委</w:t>
      </w:r>
      <w:r>
        <w:rPr/>
        <w:t> </w:t>
      </w:r>
      <w:r>
        <w:rPr>
          <w:spacing w:val="-2"/>
        </w:rPr>
        <w:t>员会本着勤勉尽责的原则，按照有关法律法规、规范性文件及公司各专门委员会工作细则的有关规定开展相关工作，报告期</w:t>
      </w:r>
      <w:r>
        <w:rPr>
          <w:spacing w:val="-63"/>
        </w:rPr>
        <w:t> </w:t>
      </w:r>
      <w:r>
        <w:rPr>
          <w:spacing w:val="-63"/>
        </w:rPr>
      </w:r>
      <w:r>
        <w:rPr/>
        <w:t>内，各专门委员会履职情况如下：</w:t>
      </w:r>
    </w:p>
    <w:p>
      <w:pPr>
        <w:spacing w:line="468" w:lineRule="exact" w:before="16"/>
        <w:ind w:left="57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、审计委员会的履行职责情况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报告期内，公司董事会审计委员会认真履行职责，听取了审计公司年度工作总结和工作计划安排，与公司内部审计部</w:t>
      </w:r>
    </w:p>
    <w:p>
      <w:pPr>
        <w:pStyle w:val="BodyText"/>
        <w:spacing w:line="316" w:lineRule="auto" w:before="8"/>
        <w:ind w:right="1034"/>
        <w:jc w:val="left"/>
      </w:pPr>
      <w:r>
        <w:rPr/>
        <w:t>门积极沟通配合，指导审计部门开展各项相关工作；提议续聘外部审计机构；积极监督公司的内部审计制度及其实施情况， </w:t>
      </w:r>
      <w:r>
        <w:rPr>
          <w:spacing w:val="-2"/>
        </w:rPr>
        <w:t>对公司的内控制度的健全和完善提出意见和建议；对公司定期财务报告等需要披露的重要财务信息进行严格审核，与审计会</w:t>
      </w:r>
      <w:r>
        <w:rPr>
          <w:spacing w:val="-64"/>
        </w:rPr>
        <w:t> </w:t>
      </w:r>
      <w:r>
        <w:rPr>
          <w:spacing w:val="-64"/>
        </w:rPr>
      </w:r>
      <w:r>
        <w:rPr/>
        <w:t>计师及时、有效沟通，并对重要事项进行充分讨论。</w:t>
      </w:r>
    </w:p>
    <w:p>
      <w:pPr>
        <w:spacing w:line="468" w:lineRule="exact" w:before="11"/>
        <w:ind w:left="57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、提名委员会的履行职责情况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报告期内，提名委员会严格按照公司《提名委员会议事规则》执行职责，认真研究董事、高级管理人员的选择标准和</w:t>
      </w:r>
    </w:p>
    <w:p>
      <w:pPr>
        <w:pStyle w:val="BodyText"/>
        <w:spacing w:line="240" w:lineRule="auto" w:before="8"/>
        <w:ind w:right="986"/>
        <w:jc w:val="left"/>
      </w:pPr>
      <w:r>
        <w:rPr/>
        <w:t>聘任程序。</w:t>
      </w:r>
    </w:p>
    <w:p>
      <w:pPr>
        <w:spacing w:line="450" w:lineRule="atLeast" w:before="31"/>
        <w:ind w:left="57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、薪酬与考核委员会的履行职责情况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报告期内，公司董事会薪酬与考核委员会认真履行职责，依据公司《高级管理人员薪酬及考核制度》对公司高级管理</w:t>
      </w:r>
    </w:p>
    <w:p>
      <w:pPr>
        <w:pStyle w:val="BodyText"/>
        <w:spacing w:line="240" w:lineRule="auto" w:before="76"/>
        <w:ind w:right="986"/>
        <w:jc w:val="left"/>
      </w:pPr>
      <w:r>
        <w:rPr/>
        <w:t>人员进行考核，确认薪酬。</w:t>
      </w:r>
    </w:p>
    <w:p>
      <w:pPr>
        <w:spacing w:line="450" w:lineRule="atLeast" w:before="31"/>
        <w:ind w:left="57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、战略委员会的履行职责情况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报告期内，公司董事会战略委员会认真履行职责，对公司对外投资成立东华合创信通软件股份有限公司、东华医为大</w:t>
      </w:r>
    </w:p>
    <w:p>
      <w:pPr>
        <w:pStyle w:val="BodyText"/>
        <w:spacing w:line="316" w:lineRule="auto" w:before="77"/>
        <w:ind w:right="986"/>
        <w:jc w:val="left"/>
      </w:pPr>
      <w:r>
        <w:rPr>
          <w:spacing w:val="-2"/>
        </w:rPr>
        <w:t>数据有限公司、东华软件（长沙）有限公司、东华指尖科技有限公司、东华慧湾数字科技有限公司、东华软件（扬州）有限</w:t>
      </w:r>
      <w:r>
        <w:rPr>
          <w:spacing w:val="-65"/>
        </w:rPr>
        <w:t> </w:t>
      </w:r>
      <w:r>
        <w:rPr>
          <w:spacing w:val="-65"/>
        </w:rPr>
      </w:r>
      <w:r>
        <w:rPr>
          <w:spacing w:val="-2"/>
        </w:rPr>
        <w:t>公司、东华智金科技有限公司、静海东华智慧产业技术有限公司、东华电子信息产业（宁波）有限公司、曹州云都技术有限</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6"/>
        <w:jc w:val="left"/>
      </w:pPr>
      <w:r>
        <w:rPr>
          <w:spacing w:val="-2"/>
        </w:rPr>
        <w:t>公司、对公司全资子公司东华医为科技有限公司进行增资、与日照市人民政府签署合作框架协议、与扬州经济技术开发区签</w:t>
      </w:r>
      <w:r>
        <w:rPr>
          <w:spacing w:val="-61"/>
        </w:rPr>
        <w:t> </w:t>
      </w:r>
      <w:r>
        <w:rPr>
          <w:spacing w:val="-61"/>
        </w:rPr>
      </w:r>
      <w:r>
        <w:rPr/>
        <w:t>署合作协议、以自有资金认购北京和隆优化科技股份有限公司非公开发行股份等事宜进行了讨论和审议。</w:t>
      </w:r>
    </w:p>
    <w:p>
      <w:pPr>
        <w:spacing w:line="240" w:lineRule="auto" w:before="11"/>
        <w:rPr>
          <w:rFonts w:ascii="宋体" w:hAnsi="宋体" w:cs="宋体" w:eastAsia="宋体" w:hint="default"/>
          <w:sz w:val="20"/>
          <w:szCs w:val="20"/>
        </w:rPr>
      </w:pPr>
    </w:p>
    <w:p>
      <w:pPr>
        <w:pStyle w:val="Heading3"/>
        <w:spacing w:line="240" w:lineRule="auto"/>
        <w:ind w:right="986"/>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986"/>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根据公司《高级管理人员薪酬及考核制度》等相关制度的规定，公司高管人员的薪酬分配与考核以公司经济效益为出发</w:t>
      </w:r>
      <w:r>
        <w:rPr/>
        <w:t> </w:t>
      </w:r>
      <w:r>
        <w:rPr>
          <w:spacing w:val="-2"/>
        </w:rPr>
        <w:t>点，主要由基本薪酬、绩效薪酬和奖励三部分组成，根据考核结果确定高管人员的年度薪酬分配。公司现行考评与激励机制</w:t>
      </w:r>
      <w:r>
        <w:rPr>
          <w:spacing w:val="-64"/>
        </w:rPr>
        <w:t> </w:t>
      </w:r>
      <w:r>
        <w:rPr>
          <w:spacing w:val="-64"/>
        </w:rPr>
      </w:r>
      <w:r>
        <w:rPr/>
        <w:t>运行良好，符合公司现状及相关法律、法规及《公司章程》的规定。</w:t>
      </w:r>
    </w:p>
    <w:p>
      <w:pPr>
        <w:spacing w:line="240" w:lineRule="auto" w:before="11"/>
        <w:rPr>
          <w:rFonts w:ascii="宋体" w:hAnsi="宋体" w:cs="宋体" w:eastAsia="宋体" w:hint="default"/>
          <w:sz w:val="20"/>
          <w:szCs w:val="20"/>
        </w:rPr>
      </w:pPr>
    </w:p>
    <w:p>
      <w:pPr>
        <w:pStyle w:val="Heading3"/>
        <w:spacing w:line="240" w:lineRule="auto"/>
        <w:ind w:right="986"/>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240" w:lineRule="auto" w:before="44"/>
        <w:ind w:left="0" w:right="1141"/>
        <w:jc w:val="right"/>
      </w:pPr>
      <w:r>
        <w:rPr/>
        <w:pict>
          <v:shape style="position:absolute;margin-left:56.400002pt;margin-top:-36.4883pt;width:479.3pt;height:136.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1908"/>
                    <w:gridCol w:w="1414"/>
                    <w:gridCol w:w="3053"/>
                  </w:tblGrid>
                  <w:tr>
                    <w:trPr>
                      <w:trHeight w:val="403" w:hRule="exact"/>
                    </w:trPr>
                    <w:tc>
                      <w:tcPr>
                        <w:tcW w:w="5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5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详见刊登在巨潮资讯网（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内部控制自我评价报告</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03" w:hRule="exact"/>
                    </w:trPr>
                    <w:tc>
                      <w:tcPr>
                        <w:tcW w:w="5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5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p>
              </w:txbxContent>
            </v:textbox>
            <w10:wrap type="none"/>
          </v:shape>
        </w:pict>
      </w:r>
      <w:r>
        <w:rPr/>
        <w:t>。</w:t>
      </w:r>
    </w:p>
    <w:p>
      <w:pPr>
        <w:spacing w:after="0" w:line="240" w:lineRule="auto"/>
        <w:jc w:val="right"/>
        <w:sectPr>
          <w:pgSz w:w="11910" w:h="16840"/>
          <w:pgMar w:header="748"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44"/>
        <w:ind w:left="0" w:right="1163"/>
        <w:jc w:val="right"/>
      </w:pPr>
      <w:r>
        <w:rPr/>
        <w:pict>
          <v:shape style="position:absolute;margin-left:56.400002pt;margin-top:-.868254pt;width:479.3pt;height:433.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358" w:hRule="exact"/>
                    </w:trPr>
                    <w:tc>
                      <w:tcPr>
                        <w:tcW w:w="3195" w:type="dxa"/>
                        <w:tcBorders>
                          <w:top w:val="single" w:sz="4" w:space="0" w:color="000000"/>
                          <w:left w:val="single" w:sz="4" w:space="0" w:color="000000"/>
                          <w:bottom w:val="nil" w:sz="6" w:space="0" w:color="auto"/>
                          <w:right w:val="single" w:sz="4" w:space="0" w:color="000000"/>
                        </w:tcBorders>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属于财务报告重大缺陷的情形：①公司董</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非财务报告重大缺陷的存在迹象包括</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事、监事及高级管理人员的舞弊行为；②</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①严重违反国家法律、法规，并造成重</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公司更正已发布的财务报告；③注册会计</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大损失；②缺乏民主决策程序，决策程</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师发现的却未被公司内部控制识别的当期</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序不科学或出现重大失误，给公司造成</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财务报告中的重大错报；④审计委员会和</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重大财产损失；③重要业务制度性缺失</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审计内控部门对公司的对外财务报告和财</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或制度运行系统性失效；④严重违规并</w:t>
                        </w:r>
                      </w:p>
                    </w:tc>
                  </w:tr>
                  <w:tr>
                    <w:trPr>
                      <w:trHeight w:val="624" w:hRule="exact"/>
                    </w:trPr>
                    <w:tc>
                      <w:tcPr>
                        <w:tcW w:w="31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6"/>
                          <w:jc w:val="left"/>
                          <w:rPr>
                            <w:rFonts w:ascii="宋体" w:hAnsi="宋体" w:cs="宋体" w:eastAsia="宋体" w:hint="default"/>
                            <w:sz w:val="18"/>
                            <w:szCs w:val="18"/>
                          </w:rPr>
                        </w:pPr>
                        <w:r>
                          <w:rPr>
                            <w:rFonts w:ascii="宋体" w:hAnsi="宋体" w:cs="宋体" w:eastAsia="宋体" w:hint="default"/>
                            <w:sz w:val="18"/>
                            <w:szCs w:val="18"/>
                          </w:rPr>
                          <w:t>务报告内部控制监督无效。属于财务报告 重要缺陷的情形：①按照公认会计准则选</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
                          <w:jc w:val="left"/>
                          <w:rPr>
                            <w:rFonts w:ascii="宋体" w:hAnsi="宋体" w:cs="宋体" w:eastAsia="宋体" w:hint="default"/>
                            <w:sz w:val="18"/>
                            <w:szCs w:val="18"/>
                          </w:rPr>
                        </w:pPr>
                        <w:r>
                          <w:rPr>
                            <w:rFonts w:ascii="宋体" w:hAnsi="宋体" w:cs="宋体" w:eastAsia="宋体" w:hint="default"/>
                            <w:spacing w:val="-4"/>
                            <w:sz w:val="18"/>
                            <w:szCs w:val="18"/>
                          </w:rPr>
                          <w:t>处以重罚或承担刑事责任。非财务报告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重要缺陷的存在迹象包括：①决策程序</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择和应用会计政策；②公司内控系统未建</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存在缺陷，可能导致一般失误；②违反</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立反舞弊程序和控制措施；③重要的业务</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企业内部规章，形成损失；③关键岗位</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流程或系统存在缺陷；④当期财务报告出</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业务人员流失严重；④内部控制重要或</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现重要错报。属于财务报告一般缺陷的情</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一般缺陷未得到整改；非财务报告一般</w:t>
                        </w:r>
                      </w:p>
                    </w:tc>
                  </w:tr>
                  <w:tr>
                    <w:trPr>
                      <w:trHeight w:val="312" w:hRule="exact"/>
                    </w:trPr>
                    <w:tc>
                      <w:tcPr>
                        <w:tcW w:w="3195" w:type="dxa"/>
                        <w:tcBorders>
                          <w:top w:val="nil" w:sz="6" w:space="0" w:color="auto"/>
                          <w:left w:val="single" w:sz="4" w:space="0" w:color="000000"/>
                          <w:bottom w:val="nil" w:sz="6" w:space="0" w:color="auto"/>
                          <w:right w:val="single" w:sz="4" w:space="0" w:color="000000"/>
                        </w:tcBorders>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形：未构成重大缺陷、重要缺陷标准的其</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缺陷的存在迹象包括：除上述重大缺</w:t>
                        </w:r>
                      </w:p>
                    </w:tc>
                  </w:tr>
                  <w:tr>
                    <w:trPr>
                      <w:trHeight w:val="355" w:hRule="exact"/>
                    </w:trPr>
                    <w:tc>
                      <w:tcPr>
                        <w:tcW w:w="3195" w:type="dxa"/>
                        <w:tcBorders>
                          <w:top w:val="nil" w:sz="6" w:space="0" w:color="auto"/>
                          <w:left w:val="single" w:sz="4" w:space="0" w:color="000000"/>
                          <w:bottom w:val="single" w:sz="4" w:space="0" w:color="000000"/>
                          <w:right w:val="single" w:sz="4" w:space="0" w:color="000000"/>
                        </w:tcBorders>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他内部控制缺陷。</w:t>
                        </w:r>
                      </w:p>
                    </w:tc>
                    <w:tc>
                      <w:tcPr>
                        <w:tcW w:w="30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陷、重要缺陷之外的其他缺陷。</w:t>
                        </w:r>
                      </w:p>
                    </w:tc>
                  </w:tr>
                  <w:tr>
                    <w:trPr>
                      <w:trHeight w:val="258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2" w:lineRule="auto"/>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定量标准指标 重大缺陷 重要缺陷 一 般缺陷利润总额潜在错报 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利润总额的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 潜在错报 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43"/>
                          <w:jc w:val="both"/>
                          <w:rPr>
                            <w:rFonts w:ascii="宋体" w:hAnsi="宋体" w:cs="宋体" w:eastAsia="宋体" w:hint="default"/>
                            <w:sz w:val="18"/>
                            <w:szCs w:val="18"/>
                          </w:rPr>
                        </w:pPr>
                        <w:r>
                          <w:rPr>
                            <w:rFonts w:ascii="宋体" w:hAnsi="宋体" w:cs="宋体" w:eastAsia="宋体" w:hint="default"/>
                            <w:sz w:val="18"/>
                            <w:szCs w:val="18"/>
                          </w:rPr>
                          <w:t>定量标准指标 重大缺陷 重要缺陷 一般缺陷利润总额潜在错报</w:t>
                        </w:r>
                        <w:r>
                          <w:rPr>
                            <w:rFonts w:ascii="宋体" w:hAnsi="宋体" w:cs="宋体" w:eastAsia="宋体" w:hint="default"/>
                            <w:spacing w:val="1"/>
                            <w:sz w:val="18"/>
                            <w:szCs w:val="18"/>
                          </w:rPr>
                          <w:t> </w:t>
                        </w:r>
                        <w:r>
                          <w:rPr>
                            <w:rFonts w:ascii="宋体" w:hAnsi="宋体" w:cs="宋体" w:eastAsia="宋体" w:hint="default"/>
                            <w:sz w:val="18"/>
                            <w:szCs w:val="18"/>
                          </w:rPr>
                          <w:t>直接损失</w:t>
                        </w:r>
                      </w:p>
                      <w:p>
                        <w:pPr>
                          <w:pStyle w:val="TableParagraph"/>
                          <w:spacing w:line="240" w:lineRule="auto" w:before="20"/>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利润总额的</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300" w:lineRule="auto" w:before="63"/>
                          <w:ind w:left="26" w:right="19"/>
                          <w:jc w:val="both"/>
                          <w:rPr>
                            <w:rFonts w:ascii="宋体" w:hAnsi="宋体" w:cs="宋体" w:eastAsia="宋体" w:hint="default"/>
                            <w:sz w:val="18"/>
                            <w:szCs w:val="18"/>
                          </w:rPr>
                        </w:pP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资产总额潜在错报</w:t>
                        </w:r>
                        <w:r>
                          <w:rPr>
                            <w:rFonts w:ascii="宋体" w:hAnsi="宋体" w:cs="宋体" w:eastAsia="宋体" w:hint="default"/>
                            <w:spacing w:val="-1"/>
                            <w:sz w:val="18"/>
                            <w:szCs w:val="18"/>
                          </w:rPr>
                          <w:t> </w:t>
                        </w:r>
                        <w:r>
                          <w:rPr>
                            <w:rFonts w:ascii="宋体" w:hAnsi="宋体" w:cs="宋体" w:eastAsia="宋体" w:hint="default"/>
                            <w:sz w:val="18"/>
                            <w:szCs w:val="18"/>
                          </w:rPr>
                          <w:t>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资产总额的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错报＜ 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错报＜资产总额的</w:t>
                        </w:r>
                      </w:p>
                      <w:p>
                        <w:pPr>
                          <w:pStyle w:val="TableParagraph"/>
                          <w:spacing w:line="240" w:lineRule="auto" w:before="55"/>
                          <w:ind w:left="26" w:right="0"/>
                          <w:jc w:val="both"/>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before="26"/>
        <w:ind w:right="986"/>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大华会计师事务所（特殊普通合伙）对公司内部控制的有效性进行了评价，出具了《内部控制鉴证报告》大华核字 </w:t>
            </w:r>
            <w:r>
              <w:rPr>
                <w:rFonts w:ascii="Times New Roman" w:hAnsi="Times New Roman" w:cs="Times New Roman" w:eastAsia="Times New Roman" w:hint="default"/>
                <w:sz w:val="18"/>
                <w:szCs w:val="18"/>
              </w:rPr>
              <w:t>[2020]004610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号，认为：东华软件股份公司按照《企业内部控制基本规范》和相关规定于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 方面保持了与财务报表相关的有效的内部控制。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刊登在巨潮资讯网上</w:t>
            </w:r>
            <w:hyperlink r:id="rId17">
              <w:r>
                <w:rPr>
                  <w:rFonts w:ascii="Times New Roman" w:hAnsi="Times New Roman" w:cs="Times New Roman" w:eastAsia="Times New Roman" w:hint="default"/>
                  <w:spacing w:val="-2"/>
                  <w:sz w:val="18"/>
                  <w:szCs w:val="18"/>
                </w:rPr>
                <w:t>(htt</w:t>
              </w:r>
            </w:hyperlink>
            <w:r>
              <w:rPr>
                <w:rFonts w:ascii="Times New Roman" w:hAnsi="Times New Roman" w:cs="Times New Roman" w:eastAsia="Times New Roman" w:hint="default"/>
                <w:spacing w:val="-2"/>
                <w:sz w:val="18"/>
                <w:szCs w:val="18"/>
              </w:rPr>
              <w:t>p</w:t>
            </w:r>
            <w:hyperlink r:id="rId17">
              <w:r>
                <w:rPr>
                  <w:rFonts w:ascii="Times New Roman" w:hAnsi="Times New Roman" w:cs="Times New Roman" w:eastAsia="Times New Roman" w:hint="default"/>
                  <w:spacing w:val="-2"/>
                  <w:sz w:val="18"/>
                  <w:szCs w:val="18"/>
                </w:rPr>
                <w:t>://www.cninfo.com.cn/)</w:t>
              </w:r>
              <w:r>
                <w:rPr>
                  <w:rFonts w:ascii="宋体" w:hAnsi="宋体" w:cs="宋体" w:eastAsia="宋体" w:hint="default"/>
                  <w:spacing w:val="-2"/>
                  <w:sz w:val="18"/>
                  <w:szCs w:val="18"/>
                </w:rPr>
                <w:t>上的</w:t>
              </w:r>
            </w:hyperlink>
            <w:r>
              <w:rPr>
                <w:rFonts w:ascii="宋体" w:hAnsi="宋体" w:cs="宋体" w:eastAsia="宋体" w:hint="default"/>
                <w:spacing w:val="-2"/>
                <w:sz w:val="18"/>
                <w:szCs w:val="18"/>
              </w:rPr>
              <w:t>《东华软件股份公司内部控制鉴证报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东华软件股份公司管理层按照《企业内部控制基本规范》及相关规定对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日与财务报表相关的内部控制有效性作出的认定。</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2"/>
        <w:rPr>
          <w:rFonts w:ascii="宋体" w:hAnsi="宋体" w:cs="宋体" w:eastAsia="宋体" w:hint="default"/>
          <w:sz w:val="27"/>
          <w:szCs w:val="2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0;top:10;width:2653;height:2" coordorigin="10,10" coordsize="2653,2">
              <v:shape style="position:absolute;left:10;top:10;width:2653;height:2" coordorigin="10,10" coordsize="2653,0" path="m10,10l2663,10e" filled="false" stroked="true" strokeweight=".48pt" strokecolor="#000000">
                <v:path arrowok="t"/>
              </v:shape>
            </v:group>
            <v:group style="position:absolute;left:2672;top:10;width:6899;height:2" coordorigin="2672,10" coordsize="6899,2">
              <v:shape style="position:absolute;left:2672;top:10;width:6899;height:2" coordorigin="2672,10" coordsize="6899,0" path="m2672,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2653;height:2" coordorigin="10,413" coordsize="2653,2">
              <v:shape style="position:absolute;left:10;top:413;width:2653;height:2" coordorigin="10,413" coordsize="2653,0" path="m10,413l2663,413e" filled="false" stroked="true" strokeweight=".48pt" strokecolor="#000000">
                <v:path arrowok="t"/>
              </v:shape>
            </v:group>
            <v:group style="position:absolute;left:2667;top:5;width:2;height:414" coordorigin="2667,5" coordsize="2,414">
              <v:shape style="position:absolute;left:2667;top:5;width:2;height:414" coordorigin="2667,5" coordsize="0,414" path="m2667,5l2667,418e" filled="false" stroked="true" strokeweight=".48pt" strokecolor="#000000">
                <v:path arrowok="t"/>
              </v:shape>
            </v:group>
            <v:group style="position:absolute;left:2672;top:413;width:6899;height:2" coordorigin="2672,413" coordsize="6899,2">
              <v:shape style="position:absolute;left:2672;top:413;width:6899;height:2" coordorigin="2672,413" coordsize="6899,0" path="m2672,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5;top:10;width:2663;height:404"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xbxContent>
                </v:textbox>
                <w10:wrap type="none"/>
              </v:shape>
              <v:shape style="position:absolute;left:9367;top:11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986"/>
        <w:jc w:val="left"/>
      </w:pPr>
      <w:r>
        <w:rPr/>
        <w:t>会计师事务所是否出具非标准意见的内部控制鉴证报告</w:t>
      </w:r>
    </w:p>
    <w:p>
      <w:pPr>
        <w:pStyle w:val="BodyText"/>
        <w:spacing w:line="340"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986"/>
        <w:jc w:val="left"/>
        <w:rPr>
          <w:b w:val="0"/>
          <w:bCs w:val="0"/>
        </w:rPr>
      </w:pPr>
      <w:bookmarkStart w:name="_TOC_250002" w:id="11"/>
      <w:r>
        <w:rPr/>
        <w:t>第十一节公司债券相关情况</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986"/>
        <w:jc w:val="left"/>
        <w:rPr>
          <w:b w:val="0"/>
          <w:bCs w:val="0"/>
        </w:rPr>
      </w:pPr>
      <w:bookmarkStart w:name="_TOC_250001" w:id="12"/>
      <w:r>
        <w:rPr/>
        <w:t>第十二节</w:t>
      </w:r>
      <w:r>
        <w:rPr>
          <w:spacing w:val="-6"/>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6"/>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[2020]008139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轩菲、史继欣</w:t>
            </w:r>
          </w:p>
        </w:tc>
      </w:tr>
    </w:tbl>
    <w:p>
      <w:pPr>
        <w:spacing w:line="240" w:lineRule="auto" w:before="13"/>
        <w:rPr>
          <w:rFonts w:ascii="宋体" w:hAnsi="宋体" w:cs="宋体" w:eastAsia="宋体" w:hint="default"/>
          <w:b/>
          <w:bCs/>
          <w:sz w:val="23"/>
          <w:szCs w:val="23"/>
        </w:rPr>
      </w:pPr>
    </w:p>
    <w:p>
      <w:pPr>
        <w:pStyle w:val="Heading2"/>
        <w:spacing w:line="240" w:lineRule="auto" w:before="14"/>
        <w:ind w:left="333" w:right="1313"/>
        <w:jc w:val="center"/>
        <w:rPr>
          <w:b w:val="0"/>
          <w:bCs w:val="0"/>
        </w:rPr>
      </w:pPr>
      <w:r>
        <w:rPr/>
        <w:t>审计报告正文</w:t>
      </w:r>
      <w:r>
        <w:rPr>
          <w:b w:val="0"/>
          <w:bCs w:val="0"/>
        </w:rPr>
      </w:r>
    </w:p>
    <w:p>
      <w:pPr>
        <w:spacing w:line="240" w:lineRule="auto" w:before="7"/>
        <w:rPr>
          <w:rFonts w:ascii="宋体" w:hAnsi="宋体" w:cs="宋体" w:eastAsia="宋体" w:hint="default"/>
          <w:b/>
          <w:bCs/>
          <w:sz w:val="27"/>
          <w:szCs w:val="27"/>
        </w:rPr>
      </w:pPr>
    </w:p>
    <w:p>
      <w:pPr>
        <w:pStyle w:val="Heading4"/>
        <w:spacing w:line="240" w:lineRule="auto" w:before="36"/>
        <w:ind w:right="986"/>
        <w:jc w:val="left"/>
        <w:rPr>
          <w:b w:val="0"/>
          <w:bCs w:val="0"/>
        </w:rPr>
      </w:pPr>
      <w:r>
        <w:rPr/>
        <w:t>东华软件股份公司全体股东：</w:t>
      </w:r>
      <w:r>
        <w:rPr>
          <w:b w:val="0"/>
          <w:bCs w:val="0"/>
        </w:rPr>
      </w:r>
    </w:p>
    <w:p>
      <w:pPr>
        <w:pStyle w:val="BodyText"/>
        <w:spacing w:line="480" w:lineRule="atLeast" w:before="55"/>
        <w:ind w:left="513" w:right="986"/>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我们审计了东华软件股份公司</w:t>
      </w:r>
      <w:r>
        <w:rPr>
          <w:rFonts w:ascii="Times New Roman" w:hAnsi="Times New Roman" w:cs="Times New Roman" w:eastAsia="Times New Roman" w:hint="default"/>
          <w:spacing w:val="2"/>
        </w:rPr>
        <w:t>(</w:t>
      </w:r>
      <w:r>
        <w:rPr>
          <w:spacing w:val="2"/>
        </w:rPr>
        <w:t>以下简称东华软件公司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p>
    <w:p>
      <w:pPr>
        <w:pStyle w:val="BodyText"/>
        <w:spacing w:line="240" w:lineRule="auto" w:before="63"/>
        <w:ind w:right="986"/>
        <w:jc w:val="left"/>
      </w:pP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spacing w:line="240" w:lineRule="auto" w:before="9"/>
        <w:rPr>
          <w:rFonts w:ascii="宋体" w:hAnsi="宋体" w:cs="宋体" w:eastAsia="宋体" w:hint="default"/>
          <w:sz w:val="16"/>
          <w:szCs w:val="16"/>
        </w:rPr>
      </w:pPr>
    </w:p>
    <w:p>
      <w:pPr>
        <w:pStyle w:val="BodyText"/>
        <w:spacing w:line="300" w:lineRule="auto"/>
        <w:ind w:right="986" w:firstLine="360"/>
        <w:jc w:val="left"/>
      </w:pPr>
      <w:r>
        <w:rPr>
          <w:spacing w:val="-2"/>
        </w:rPr>
        <w:t>我们认为，后附的财务报表在所有重大方面按照企业会计准则的规定编制，公允反映了东华软件公司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468" w:lineRule="exact" w:before="5"/>
        <w:ind w:left="513" w:right="986"/>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8"/>
        <w:ind w:right="986"/>
        <w:jc w:val="left"/>
      </w:pPr>
      <w:r>
        <w:rPr>
          <w:spacing w:val="-2"/>
        </w:rPr>
        <w:t>阐述了我们在这些准则下的责任。按照中国注册会计师职业道德守则，我们独立于东华软件公司，并履行了职业道德方面的</w:t>
      </w:r>
      <w:r>
        <w:rPr>
          <w:spacing w:val="-62"/>
        </w:rPr>
        <w:t> </w:t>
      </w:r>
      <w:r>
        <w:rPr>
          <w:spacing w:val="-62"/>
        </w:rPr>
      </w:r>
      <w:r>
        <w:rPr/>
        <w:t>其他责任。我们相信，我们获取的审计证据是充分、适当的，为发表审计意见提供了基础。</w:t>
      </w:r>
    </w:p>
    <w:p>
      <w:pPr>
        <w:pStyle w:val="BodyText"/>
        <w:spacing w:line="428" w:lineRule="exact" w:before="42"/>
        <w:ind w:left="513" w:right="986"/>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173" w:lineRule="exact"/>
        <w:ind w:right="986"/>
        <w:jc w:val="left"/>
      </w:pPr>
      <w:r>
        <w:rPr/>
        <w:t>审计并形成审计意见为背景，我们不对这些事项单独发表意见。</w:t>
      </w:r>
    </w:p>
    <w:p>
      <w:pPr>
        <w:pStyle w:val="BodyText"/>
        <w:spacing w:line="240" w:lineRule="auto" w:before="47"/>
        <w:ind w:left="513" w:right="986"/>
        <w:jc w:val="left"/>
      </w:pPr>
      <w:r>
        <w:rPr/>
        <w:t>我们确定下列事项是需要在审计报告中沟通的关键审计事项。</w:t>
      </w:r>
    </w:p>
    <w:p>
      <w:pPr>
        <w:spacing w:line="240" w:lineRule="auto" w:before="11"/>
        <w:rPr>
          <w:rFonts w:ascii="宋体" w:hAnsi="宋体" w:cs="宋体" w:eastAsia="宋体" w:hint="default"/>
          <w:sz w:val="14"/>
          <w:szCs w:val="14"/>
        </w:rPr>
      </w:pPr>
    </w:p>
    <w:p>
      <w:pPr>
        <w:pStyle w:val="BodyText"/>
        <w:spacing w:line="240" w:lineRule="auto"/>
        <w:ind w:left="513" w:right="986"/>
        <w:jc w:val="left"/>
      </w:pPr>
      <w:r>
        <w:rPr>
          <w:rFonts w:ascii="Times New Roman" w:hAnsi="Times New Roman" w:cs="Times New Roman" w:eastAsia="Times New Roman" w:hint="default"/>
        </w:rPr>
        <w:t>1</w:t>
      </w:r>
      <w:r>
        <w:rPr/>
        <w:t>、营业收入的确认</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2</w:t>
      </w:r>
      <w:r>
        <w:rPr/>
        <w:t>、商誉减值</w:t>
      </w:r>
    </w:p>
    <w:p>
      <w:pPr>
        <w:spacing w:line="240" w:lineRule="auto" w:before="9"/>
        <w:rPr>
          <w:rFonts w:ascii="宋体" w:hAnsi="宋体" w:cs="宋体" w:eastAsia="宋体" w:hint="default"/>
          <w:sz w:val="16"/>
          <w:szCs w:val="16"/>
        </w:rPr>
      </w:pPr>
    </w:p>
    <w:p>
      <w:pPr>
        <w:pStyle w:val="Heading5"/>
        <w:spacing w:line="240" w:lineRule="auto"/>
        <w:ind w:right="986"/>
        <w:jc w:val="left"/>
        <w:rPr>
          <w:b w:val="0"/>
          <w:bCs w:val="0"/>
        </w:rPr>
      </w:pPr>
      <w:r>
        <w:rPr/>
        <w:t>（一）营业收入的确认</w:t>
      </w:r>
      <w:r>
        <w:rPr>
          <w:b w:val="0"/>
          <w:bCs w:val="0"/>
        </w:rPr>
      </w:r>
    </w:p>
    <w:p>
      <w:pPr>
        <w:spacing w:line="240" w:lineRule="auto" w:before="10"/>
        <w:rPr>
          <w:rFonts w:ascii="宋体" w:hAnsi="宋体" w:cs="宋体" w:eastAsia="宋体" w:hint="default"/>
          <w:b/>
          <w:bCs/>
          <w:sz w:val="17"/>
          <w:szCs w:val="17"/>
        </w:rPr>
      </w:pPr>
    </w:p>
    <w:p>
      <w:pPr>
        <w:pStyle w:val="Heading5"/>
        <w:spacing w:line="240" w:lineRule="auto"/>
        <w:ind w:right="986"/>
        <w:jc w:val="left"/>
        <w:rPr>
          <w:b w:val="0"/>
          <w:bCs w:val="0"/>
        </w:rPr>
      </w:pPr>
      <w:r>
        <w:rPr>
          <w:rFonts w:ascii="Times New Roman" w:hAnsi="Times New Roman" w:cs="Times New Roman" w:eastAsia="Times New Roman" w:hint="default"/>
        </w:rPr>
        <w:t>1</w:t>
      </w:r>
      <w:r>
        <w:rPr/>
        <w:t>、事项描述</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1118" w:firstLine="360"/>
        <w:jc w:val="left"/>
      </w:pPr>
      <w:r>
        <w:rPr/>
        <w:t>关于营业收入披露请参见附注四、重要会计政策和会计估计</w:t>
      </w:r>
      <w:r>
        <w:rPr>
          <w:spacing w:val="6"/>
        </w:rPr>
        <w:t> </w:t>
      </w:r>
      <w:r>
        <w:rPr/>
        <w:t>（三十）收入及附注六、合并财务报表主要项目注释</w:t>
      </w:r>
      <w:r>
        <w:rPr>
          <w:rFonts w:ascii="Times New Roman" w:hAnsi="Times New Roman" w:cs="Times New Roman" w:eastAsia="Times New Roman" w:hint="default"/>
        </w:rPr>
        <w:t>35</w:t>
      </w:r>
      <w:r>
        <w:rPr/>
        <w:t>营 业收入和营业成本。</w:t>
      </w:r>
    </w:p>
    <w:p>
      <w:pPr>
        <w:spacing w:line="240" w:lineRule="auto" w:before="5"/>
        <w:rPr>
          <w:rFonts w:ascii="宋体" w:hAnsi="宋体" w:cs="宋体" w:eastAsia="宋体" w:hint="default"/>
          <w:sz w:val="14"/>
          <w:szCs w:val="14"/>
        </w:rPr>
      </w:pPr>
    </w:p>
    <w:p>
      <w:pPr>
        <w:pStyle w:val="BodyText"/>
        <w:spacing w:line="300" w:lineRule="auto"/>
        <w:ind w:right="1034" w:firstLine="360"/>
        <w:jc w:val="left"/>
      </w:pPr>
      <w:r>
        <w:rPr>
          <w:spacing w:val="-2"/>
        </w:rPr>
        <w:t>东华软件公司的主营业务收入主要包括系统集成、软件销售、技术服务等收入。</w:t>
      </w:r>
      <w:r>
        <w:rPr>
          <w:rFonts w:ascii="Times New Roman" w:hAnsi="Times New Roman" w:cs="Times New Roman" w:eastAsia="Times New Roman" w:hint="default"/>
          <w:spacing w:val="-2"/>
        </w:rPr>
        <w:t>2019</w:t>
      </w:r>
      <w:r>
        <w:rPr>
          <w:spacing w:val="-2"/>
        </w:rPr>
        <w:t>年度实现营业收入</w:t>
      </w:r>
      <w:r>
        <w:rPr>
          <w:rFonts w:ascii="Times New Roman" w:hAnsi="Times New Roman" w:cs="Times New Roman" w:eastAsia="Times New Roman" w:hint="default"/>
          <w:spacing w:val="-2"/>
        </w:rPr>
        <w:t>886,103.67</w:t>
      </w:r>
      <w:r>
        <w:rPr>
          <w:spacing w:val="-2"/>
        </w:rPr>
        <w:t>万元。</w:t>
      </w:r>
      <w:r>
        <w:rPr/>
        <w:t> 由于收入是东华软件公司的关键业绩指标之一，从而存在管理层为了达到特定目标或期望而操纵收入确认时点的固有风险，</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因此我们将收入确认识别为关键审计事项。</w:t>
      </w:r>
    </w:p>
    <w:p>
      <w:pPr>
        <w:spacing w:line="240" w:lineRule="auto" w:before="8"/>
        <w:rPr>
          <w:rFonts w:ascii="宋体" w:hAnsi="宋体" w:cs="宋体" w:eastAsia="宋体" w:hint="default"/>
          <w:sz w:val="14"/>
          <w:szCs w:val="14"/>
        </w:rPr>
      </w:pPr>
    </w:p>
    <w:p>
      <w:pPr>
        <w:spacing w:line="374" w:lineRule="auto" w:before="0"/>
        <w:ind w:left="513" w:right="60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我们对于营业收入的确认所实施的重要审计程序包括：</w:t>
      </w:r>
    </w:p>
    <w:p>
      <w:pPr>
        <w:pStyle w:val="BodyText"/>
        <w:spacing w:line="240" w:lineRule="auto" w:before="55"/>
        <w:ind w:left="513" w:right="986"/>
        <w:jc w:val="left"/>
      </w:pPr>
      <w:r>
        <w:rPr/>
        <w:t>（</w:t>
      </w:r>
      <w:r>
        <w:rPr>
          <w:rFonts w:ascii="Times New Roman" w:hAnsi="Times New Roman" w:cs="Times New Roman" w:eastAsia="Times New Roman" w:hint="default"/>
        </w:rPr>
        <w:t>1</w:t>
      </w:r>
      <w:r>
        <w:rPr/>
        <w:t>）了解、评价东华软件公司销售业务内部控制的设计，并测试关键控制执行的有效性。</w:t>
      </w:r>
    </w:p>
    <w:p>
      <w:pPr>
        <w:pStyle w:val="BodyText"/>
        <w:spacing w:line="240" w:lineRule="auto" w:before="139"/>
        <w:ind w:left="513" w:right="986"/>
        <w:jc w:val="left"/>
      </w:pPr>
      <w:r>
        <w:rPr/>
        <w:t>（</w:t>
      </w:r>
      <w:r>
        <w:rPr>
          <w:rFonts w:ascii="Times New Roman" w:hAnsi="Times New Roman" w:cs="Times New Roman" w:eastAsia="Times New Roman" w:hint="default"/>
        </w:rPr>
        <w:t>2</w:t>
      </w:r>
      <w:r>
        <w:rPr/>
        <w:t>）对销售收入执行实质性分析程序，包括对收入执行月度波动分析和毛利率分析，并与上年进行对比分析。</w:t>
      </w:r>
    </w:p>
    <w:p>
      <w:pPr>
        <w:pStyle w:val="BodyText"/>
        <w:spacing w:line="232" w:lineRule="auto" w:before="146"/>
        <w:ind w:right="1133" w:firstLine="360"/>
        <w:jc w:val="both"/>
      </w:pPr>
      <w:r>
        <w:rPr/>
        <w:t>（</w:t>
      </w:r>
      <w:r>
        <w:rPr>
          <w:rFonts w:ascii="Times New Roman" w:hAnsi="Times New Roman" w:cs="Times New Roman" w:eastAsia="Times New Roman" w:hint="default"/>
        </w:rPr>
        <w:t>3</w:t>
      </w:r>
      <w:r>
        <w:rPr/>
        <w:t>）选取样本检查与营业收入确认相关的支持性文件：对于系统集成收入和软件销售收入检查销售合同、验收报告、 </w:t>
      </w:r>
      <w:r>
        <w:rPr>
          <w:spacing w:val="-2"/>
        </w:rPr>
        <w:t>销售发票、账面记录、银行回款等，以检查收入的确认是否准确。对于技术服务收入，如果一次性提供服务，检查客户的验</w:t>
      </w:r>
      <w:r>
        <w:rPr>
          <w:spacing w:val="-68"/>
        </w:rPr>
        <w:t> </w:t>
      </w:r>
      <w:r>
        <w:rPr>
          <w:spacing w:val="-68"/>
        </w:rPr>
      </w:r>
      <w:r>
        <w:rPr/>
        <w:t>收报告，如果在一定期限内提供服务，根据已签订的合同金额及服务时间测算确认收入的准确性。</w:t>
      </w:r>
    </w:p>
    <w:p>
      <w:pPr>
        <w:pStyle w:val="BodyText"/>
        <w:spacing w:line="240" w:lineRule="auto" w:before="154"/>
        <w:ind w:left="513" w:right="986"/>
        <w:jc w:val="left"/>
      </w:pPr>
      <w:r>
        <w:rPr/>
        <w:t>（</w:t>
      </w:r>
      <w:r>
        <w:rPr>
          <w:rFonts w:ascii="Times New Roman" w:hAnsi="Times New Roman" w:cs="Times New Roman" w:eastAsia="Times New Roman" w:hint="default"/>
        </w:rPr>
        <w:t>4</w:t>
      </w:r>
      <w:r>
        <w:rPr/>
        <w:t>）选取样本检查资产负债表日前后确认收入的支持性文件，评估收入是否在恰当的期间确认。</w:t>
      </w:r>
    </w:p>
    <w:p>
      <w:pPr>
        <w:pStyle w:val="BodyText"/>
        <w:spacing w:line="240" w:lineRule="auto" w:before="140"/>
        <w:ind w:left="513" w:right="986"/>
        <w:jc w:val="left"/>
      </w:pPr>
      <w:r>
        <w:rPr/>
        <w:t>（</w:t>
      </w:r>
      <w:r>
        <w:rPr>
          <w:rFonts w:ascii="Times New Roman" w:hAnsi="Times New Roman" w:cs="Times New Roman" w:eastAsia="Times New Roman" w:hint="default"/>
        </w:rPr>
        <w:t>5</w:t>
      </w:r>
      <w:r>
        <w:rPr/>
        <w:t>）结合应收账款审计，抽样选取主要客户实施函证以确认应收账款余额和销售收入金额。</w:t>
      </w:r>
    </w:p>
    <w:p>
      <w:pPr>
        <w:pStyle w:val="Heading5"/>
        <w:spacing w:line="240" w:lineRule="auto" w:before="139"/>
        <w:ind w:right="986"/>
        <w:jc w:val="left"/>
        <w:rPr>
          <w:b w:val="0"/>
          <w:bCs w:val="0"/>
        </w:rPr>
      </w:pPr>
      <w:r>
        <w:rPr/>
        <w:t>（二）商誉减值</w:t>
      </w:r>
      <w:r>
        <w:rPr>
          <w:b w:val="0"/>
          <w:bCs w:val="0"/>
        </w:rPr>
      </w:r>
    </w:p>
    <w:p>
      <w:pPr>
        <w:pStyle w:val="BodyText"/>
        <w:spacing w:line="370" w:lineRule="atLeast" w:before="35"/>
        <w:ind w:left="513" w:right="986"/>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关于商誉减值披露请参见附注四、重要会计政策和会计估计（十一）金融工具、（二十五）长期资产减值及附注六、合</w:t>
      </w:r>
    </w:p>
    <w:p>
      <w:pPr>
        <w:pStyle w:val="BodyText"/>
        <w:spacing w:line="246" w:lineRule="exact"/>
        <w:ind w:right="986"/>
        <w:jc w:val="left"/>
      </w:pPr>
      <w:r>
        <w:rPr/>
        <w:t>并财务报表主要项目注释</w:t>
      </w:r>
      <w:r>
        <w:rPr>
          <w:spacing w:val="-45"/>
        </w:rPr>
        <w:t> </w:t>
      </w:r>
      <w:r>
        <w:rPr>
          <w:rFonts w:ascii="Times New Roman" w:hAnsi="Times New Roman" w:cs="Times New Roman" w:eastAsia="Times New Roman" w:hint="default"/>
        </w:rPr>
        <w:t>16 </w:t>
      </w:r>
      <w:r>
        <w:rPr/>
        <w:t>商誉和注释</w:t>
      </w:r>
      <w:r>
        <w:rPr>
          <w:spacing w:val="-45"/>
        </w:rPr>
        <w:t> </w:t>
      </w:r>
      <w:r>
        <w:rPr>
          <w:rFonts w:ascii="Times New Roman" w:hAnsi="Times New Roman" w:cs="Times New Roman" w:eastAsia="Times New Roman" w:hint="default"/>
        </w:rPr>
        <w:t>45 </w:t>
      </w:r>
      <w:r>
        <w:rPr/>
        <w:t>资产减值损失。</w:t>
      </w:r>
    </w:p>
    <w:p>
      <w:pPr>
        <w:pStyle w:val="BodyText"/>
        <w:spacing w:line="232" w:lineRule="auto" w:before="146"/>
        <w:ind w:right="1128" w:firstLine="360"/>
        <w:jc w:val="both"/>
      </w:pPr>
      <w:r>
        <w:rPr/>
        <w:t>截至</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日，东华软件公司商誉的账面价值为</w:t>
      </w:r>
      <w:r>
        <w:rPr>
          <w:spacing w:val="-1"/>
        </w:rPr>
        <w:t> </w:t>
      </w:r>
      <w:r>
        <w:rPr>
          <w:rFonts w:ascii="Times New Roman" w:hAnsi="Times New Roman" w:cs="Times New Roman" w:eastAsia="Times New Roman" w:hint="default"/>
        </w:rPr>
        <w:t>67,166.36</w:t>
      </w:r>
      <w:r>
        <w:rPr>
          <w:rFonts w:ascii="Times New Roman" w:hAnsi="Times New Roman" w:cs="Times New Roman" w:eastAsia="Times New Roman" w:hint="default"/>
          <w:spacing w:val="10"/>
        </w:rPr>
        <w:t> </w:t>
      </w:r>
      <w:r>
        <w:rPr/>
        <w:t>万元，其中</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年计提商誉减值准备</w:t>
      </w:r>
      <w:r>
        <w:rPr>
          <w:spacing w:val="-37"/>
        </w:rPr>
        <w:t> </w:t>
      </w:r>
      <w:r>
        <w:rPr>
          <w:rFonts w:ascii="Times New Roman" w:hAnsi="Times New Roman" w:cs="Times New Roman" w:eastAsia="Times New Roman" w:hint="default"/>
        </w:rPr>
        <w:t>16,542.22 </w:t>
      </w:r>
      <w:r>
        <w:rPr>
          <w:spacing w:val="-2"/>
        </w:rPr>
        <w:t>万元。由于商誉金额较大，且对其计提减值损失还涉及管理层运用重大会计估计和判断，因此我们将商誉减值识别为关键审</w:t>
      </w:r>
      <w:r>
        <w:rPr>
          <w:spacing w:val="-64"/>
        </w:rPr>
        <w:t> </w:t>
      </w:r>
      <w:r>
        <w:rPr>
          <w:spacing w:val="-64"/>
        </w:rPr>
      </w:r>
      <w:r>
        <w:rPr/>
        <w:t>计事项。</w:t>
      </w:r>
    </w:p>
    <w:p>
      <w:pPr>
        <w:spacing w:line="376" w:lineRule="auto" w:before="154"/>
        <w:ind w:left="513" w:right="66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我们对于商誉减值所实施的重要审计程序包括：</w:t>
      </w:r>
    </w:p>
    <w:p>
      <w:pPr>
        <w:pStyle w:val="BodyText"/>
        <w:spacing w:line="240" w:lineRule="auto" w:before="51"/>
        <w:ind w:left="513" w:right="986"/>
        <w:jc w:val="left"/>
      </w:pPr>
      <w:r>
        <w:rPr/>
        <w:t>（</w:t>
      </w:r>
      <w:r>
        <w:rPr>
          <w:rFonts w:ascii="Times New Roman" w:hAnsi="Times New Roman" w:cs="Times New Roman" w:eastAsia="Times New Roman" w:hint="default"/>
        </w:rPr>
        <w:t>1</w:t>
      </w:r>
      <w:r>
        <w:rPr/>
        <w:t>）评估并测试与商誉减值测试相关的内部控制，包括关键假设及减值计提金额的复核和审批。</w:t>
      </w:r>
    </w:p>
    <w:p>
      <w:pPr>
        <w:pStyle w:val="BodyText"/>
        <w:spacing w:line="240" w:lineRule="auto" w:before="139"/>
        <w:ind w:left="513" w:right="986"/>
        <w:jc w:val="left"/>
      </w:pPr>
      <w:r>
        <w:rPr/>
        <w:t>（</w:t>
      </w:r>
      <w:r>
        <w:rPr>
          <w:rFonts w:ascii="Times New Roman" w:hAnsi="Times New Roman" w:cs="Times New Roman" w:eastAsia="Times New Roman" w:hint="default"/>
          <w:spacing w:val="1"/>
        </w:rPr>
        <w:t>2</w:t>
      </w:r>
      <w:r>
        <w:rPr>
          <w:spacing w:val="-82"/>
        </w:rPr>
        <w:t>）</w:t>
      </w:r>
      <w:r>
        <w:rPr/>
        <w:t>分析管理层对非同一控</w:t>
      </w:r>
      <w:r>
        <w:rPr>
          <w:spacing w:val="-3"/>
        </w:rPr>
        <w:t>制</w:t>
      </w:r>
      <w:r>
        <w:rPr/>
        <w:t>下企业合并产生的商誉所属资产组的认定和进行商誉减值测试时采用的关键假设和方法。</w:t>
      </w:r>
    </w:p>
    <w:p>
      <w:pPr>
        <w:pStyle w:val="BodyText"/>
        <w:spacing w:line="242" w:lineRule="exact" w:before="139"/>
        <w:ind w:left="513" w:right="986"/>
        <w:jc w:val="left"/>
      </w:pPr>
      <w:r>
        <w:rPr/>
        <w:t>（</w:t>
      </w:r>
      <w:r>
        <w:rPr>
          <w:rFonts w:ascii="Times New Roman" w:hAnsi="Times New Roman" w:cs="Times New Roman" w:eastAsia="Times New Roman" w:hint="default"/>
        </w:rPr>
        <w:t>3</w:t>
      </w:r>
      <w:r>
        <w:rPr/>
        <w:t>）获取管理层聘请的外部评估师出具的商誉减值测试报告，并对外部评估师的胜任能力、专业素质和客观性进行评</w:t>
      </w:r>
    </w:p>
    <w:p>
      <w:pPr>
        <w:pStyle w:val="BodyText"/>
        <w:spacing w:line="229" w:lineRule="exact"/>
        <w:ind w:right="986"/>
        <w:jc w:val="left"/>
      </w:pPr>
      <w:r>
        <w:rPr/>
        <w:t>估。</w:t>
      </w:r>
    </w:p>
    <w:p>
      <w:pPr>
        <w:spacing w:line="240" w:lineRule="auto" w:before="4"/>
        <w:rPr>
          <w:rFonts w:ascii="宋体" w:hAnsi="宋体" w:cs="宋体" w:eastAsia="宋体" w:hint="default"/>
          <w:sz w:val="8"/>
          <w:szCs w:val="8"/>
        </w:rPr>
      </w:pPr>
    </w:p>
    <w:p>
      <w:pPr>
        <w:pStyle w:val="BodyText"/>
        <w:spacing w:line="240" w:lineRule="auto" w:before="44"/>
        <w:ind w:left="513" w:right="986"/>
        <w:jc w:val="left"/>
      </w:pPr>
      <w:r>
        <w:rPr/>
        <w:t>（</w:t>
      </w:r>
      <w:r>
        <w:rPr>
          <w:rFonts w:ascii="Times New Roman" w:hAnsi="Times New Roman" w:cs="Times New Roman" w:eastAsia="Times New Roman" w:hint="default"/>
        </w:rPr>
        <w:t>4</w:t>
      </w:r>
      <w:r>
        <w:rPr/>
        <w:t>）复核外部估值专家对资产组的估值方法及出具的评估报告、采用的关键假设和参数、预测数据的合理性。</w:t>
      </w:r>
    </w:p>
    <w:p>
      <w:pPr>
        <w:spacing w:line="240" w:lineRule="auto" w:before="7"/>
        <w:rPr>
          <w:rFonts w:ascii="宋体" w:hAnsi="宋体" w:cs="宋体" w:eastAsia="宋体" w:hint="default"/>
          <w:sz w:val="12"/>
          <w:szCs w:val="12"/>
        </w:rPr>
      </w:pPr>
    </w:p>
    <w:p>
      <w:pPr>
        <w:pStyle w:val="BodyText"/>
        <w:spacing w:line="232" w:lineRule="exact"/>
        <w:ind w:right="1124" w:firstLine="360"/>
        <w:jc w:val="left"/>
      </w:pPr>
      <w:r>
        <w:rPr/>
        <w:t>（</w:t>
      </w:r>
      <w:r>
        <w:rPr>
          <w:rFonts w:ascii="Times New Roman" w:hAnsi="Times New Roman" w:cs="Times New Roman" w:eastAsia="Times New Roman" w:hint="default"/>
        </w:rPr>
        <w:t>5</w:t>
      </w:r>
      <w:r>
        <w:rPr/>
        <w:t>）获取并复核管理层编制的商誉所属资产组可收回金额的计算表，比较商誉所属资产组的账面价值与其可收回金额 的差异，确认是否存在商誉减值情况。</w:t>
      </w:r>
    </w:p>
    <w:p>
      <w:pPr>
        <w:pStyle w:val="BodyText"/>
        <w:spacing w:line="374" w:lineRule="auto" w:before="134"/>
        <w:ind w:left="513" w:right="4183"/>
        <w:jc w:val="left"/>
        <w:rPr>
          <w:rFonts w:ascii="宋体" w:hAnsi="宋体" w:cs="宋体" w:eastAsia="宋体" w:hint="default"/>
        </w:rPr>
      </w:pPr>
      <w:r>
        <w:rPr/>
        <w:t>（</w:t>
      </w:r>
      <w:r>
        <w:rPr>
          <w:rFonts w:ascii="Times New Roman" w:hAnsi="Times New Roman" w:cs="Times New Roman" w:eastAsia="Times New Roman" w:hint="default"/>
        </w:rPr>
        <w:t>6</w:t>
      </w:r>
      <w:r>
        <w:rPr/>
        <w:t>）根据商誉减值测试结果，检查和评价商誉的列报和披露是否准确和恰当。 </w:t>
      </w:r>
      <w:r>
        <w:rPr>
          <w:rFonts w:ascii="宋体" w:hAnsi="宋体" w:cs="宋体" w:eastAsia="宋体" w:hint="default"/>
          <w:b/>
          <w:bCs/>
        </w:rPr>
        <w:t>四、其他信息</w:t>
      </w:r>
      <w:r>
        <w:rPr>
          <w:rFonts w:ascii="宋体" w:hAnsi="宋体" w:cs="宋体" w:eastAsia="宋体" w:hint="default"/>
        </w:rPr>
      </w:r>
    </w:p>
    <w:p>
      <w:pPr>
        <w:pStyle w:val="BodyText"/>
        <w:spacing w:line="374" w:lineRule="auto" w:before="53"/>
        <w:ind w:left="513" w:right="1030"/>
        <w:jc w:val="left"/>
      </w:pPr>
      <w:r>
        <w:rPr>
          <w:spacing w:val="-2"/>
        </w:rPr>
        <w:t>东华软件公司管理层对其他信息负责。其他信息包括</w:t>
      </w:r>
      <w:r>
        <w:rPr>
          <w:spacing w:val="-37"/>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9"/>
        </w:rPr>
        <w:t> </w:t>
      </w:r>
      <w:r>
        <w:rPr>
          <w:spacing w:val="-2"/>
        </w:rPr>
        <w:t>年报告中涵盖的信息，但不包括财务报表和我们的审计报告。</w:t>
      </w:r>
      <w:r>
        <w:rPr/>
        <w:t> 我们对财务报表发表的审计意见不涵盖其他信息，我们也不对其他信息发表任何形式的鉴证结论。</w:t>
      </w:r>
    </w:p>
    <w:p>
      <w:pPr>
        <w:pStyle w:val="BodyText"/>
        <w:spacing w:line="232" w:lineRule="exact" w:before="79"/>
        <w:ind w:right="986" w:firstLine="360"/>
        <w:jc w:val="left"/>
      </w:pPr>
      <w:r>
        <w:rPr>
          <w:spacing w:val="-2"/>
        </w:rPr>
        <w:t>结合我们对财务报表的审计，我们的责任是阅读其他信息，在此过程中，考虑其他信息是否与财务报表或我们在审计过</w:t>
      </w:r>
      <w:r>
        <w:rPr/>
        <w:t> 程中了解的情况存在重大不一致或者似乎存在重大错报。</w:t>
      </w:r>
    </w:p>
    <w:p>
      <w:pPr>
        <w:pStyle w:val="BodyText"/>
        <w:spacing w:line="240" w:lineRule="auto" w:before="132"/>
        <w:ind w:right="986" w:firstLine="360"/>
        <w:jc w:val="left"/>
      </w:pPr>
      <w:r>
        <w:rPr>
          <w:spacing w:val="-2"/>
        </w:rPr>
        <w:t>基于我们已执行的工作，如果我们确定其他信息存在重大错报，我们应当报告该事实。在这方面，我们无任何事项需要</w:t>
      </w:r>
      <w:r>
        <w:rPr/>
        <w:t> 报告。</w:t>
      </w:r>
    </w:p>
    <w:p>
      <w:pPr>
        <w:spacing w:line="390" w:lineRule="atLeast" w:before="0"/>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东华软件公司管理层负责按照企业会计准则的规定编制财务报表，使其实现公允反映，并设计、执行和维护必要的内部</w:t>
      </w:r>
    </w:p>
    <w:p>
      <w:pPr>
        <w:pStyle w:val="BodyText"/>
        <w:spacing w:line="233" w:lineRule="exact"/>
        <w:ind w:right="986"/>
        <w:jc w:val="left"/>
      </w:pPr>
      <w:r>
        <w:rPr/>
        <w:t>控制，以使财务报表不存在由于舞弊或错误导致的重大错报。</w:t>
      </w:r>
    </w:p>
    <w:p>
      <w:pPr>
        <w:spacing w:line="240" w:lineRule="auto" w:before="9"/>
        <w:rPr>
          <w:rFonts w:ascii="宋体" w:hAnsi="宋体" w:cs="宋体" w:eastAsia="宋体" w:hint="default"/>
          <w:sz w:val="13"/>
          <w:szCs w:val="13"/>
        </w:rPr>
      </w:pPr>
    </w:p>
    <w:p>
      <w:pPr>
        <w:pStyle w:val="BodyText"/>
        <w:spacing w:line="234" w:lineRule="exact"/>
        <w:ind w:right="986" w:firstLine="360"/>
        <w:jc w:val="left"/>
      </w:pPr>
      <w:r>
        <w:rPr>
          <w:spacing w:val="-7"/>
        </w:rPr>
        <w:t>在编制财务报表时，东华软件公司管理层负责评估东华软件公司的持续经营能力，披露与持续经营相关的事项（如适用），</w:t>
      </w:r>
      <w:r>
        <w:rPr/>
        <w:t> 并运用持续经营假设，除非管理层计划清算东华软件公司</w:t>
      </w:r>
      <w:r>
        <w:rPr>
          <w:rFonts w:ascii="宋体" w:hAnsi="宋体" w:cs="宋体" w:eastAsia="宋体" w:hint="default"/>
          <w:b/>
          <w:bCs/>
        </w:rPr>
        <w:t>。</w:t>
      </w:r>
      <w:r>
        <w:rPr/>
        <w:t>、终止运营或别无其他现实的选择。</w:t>
      </w:r>
    </w:p>
    <w:p>
      <w:pPr>
        <w:pStyle w:val="BodyText"/>
        <w:spacing w:line="240" w:lineRule="auto" w:before="131"/>
        <w:ind w:left="513" w:right="986"/>
        <w:jc w:val="left"/>
      </w:pPr>
      <w:r>
        <w:rPr/>
        <w:t>治理层负责监督东华软件公司的财务报告过程。</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Heading5"/>
        <w:spacing w:line="240" w:lineRule="auto" w:before="44"/>
        <w:ind w:right="986"/>
        <w:jc w:val="left"/>
        <w:rPr>
          <w:b w:val="0"/>
          <w:bCs w:val="0"/>
        </w:rPr>
      </w:pPr>
      <w:r>
        <w:rPr/>
        <w:t>六、注册会计师对财务报表审计的责任</w:t>
      </w:r>
      <w:r>
        <w:rPr>
          <w:b w:val="0"/>
          <w:bCs w:val="0"/>
        </w:rPr>
      </w:r>
    </w:p>
    <w:p>
      <w:pPr>
        <w:pStyle w:val="BodyText"/>
        <w:spacing w:line="237" w:lineRule="auto" w:before="155"/>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p>
    <w:p>
      <w:pPr>
        <w:pStyle w:val="BodyText"/>
        <w:spacing w:line="240" w:lineRule="auto" w:before="153"/>
        <w:ind w:left="513" w:right="986"/>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3"/>
          <w:szCs w:val="13"/>
        </w:rPr>
      </w:pPr>
    </w:p>
    <w:p>
      <w:pPr>
        <w:pStyle w:val="BodyText"/>
        <w:spacing w:line="232" w:lineRule="exact"/>
        <w:ind w:right="1133"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132"/>
        <w:ind w:left="513" w:right="986"/>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42"/>
        <w:ind w:left="513" w:right="986"/>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2" w:lineRule="auto" w:before="146"/>
        <w:ind w:right="1131"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、对管理层使用持续经营假设的恰当性得出结论。同时，根据获取的审计证据，就可能导致对东华软件公司持续经营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我们在审计报告中提请报告使用者注意财务报表中的相关披露；如果披露不充分，我们应当发表非无保留意见。我们的结论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基于截至审计报告日可获得的信息。然而，未来的事项或情况可能导致东华软件公司不能持续经营。</w:t>
      </w:r>
    </w:p>
    <w:p>
      <w:pPr>
        <w:pStyle w:val="BodyText"/>
        <w:spacing w:line="240" w:lineRule="auto" w:before="154"/>
        <w:ind w:left="513" w:right="986"/>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232" w:lineRule="exact" w:before="58"/>
        <w:ind w:right="1041" w:firstLine="360"/>
        <w:jc w:val="both"/>
      </w:pPr>
      <w:r>
        <w:rPr>
          <w:rFonts w:ascii="Times New Roman" w:hAnsi="Times New Roman" w:cs="Times New Roman" w:eastAsia="Times New Roman" w:hint="default"/>
          <w:spacing w:val="-2"/>
        </w:rPr>
        <w:t>6</w:t>
      </w:r>
      <w:r>
        <w:rPr>
          <w:spacing w:val="-2"/>
        </w:rPr>
        <w:t>、就东华软件公司中实体或业务活动的财务信息获取充分、适当的审计证据，以对财务报表发表意见。我们负责指导、</w:t>
      </w:r>
      <w:r>
        <w:rPr/>
        <w:t> 监督和执行集团审计。我们对审计意见承担全部责任。</w:t>
      </w:r>
    </w:p>
    <w:p>
      <w:pPr>
        <w:pStyle w:val="BodyText"/>
        <w:spacing w:line="240" w:lineRule="auto" w:before="26"/>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232" w:lineRule="exact" w:before="72"/>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237" w:lineRule="auto" w:before="28"/>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5346" w:right="4099"/>
        <w:jc w:val="center"/>
      </w:pPr>
      <w:r>
        <w:rPr/>
        <w:t>中国注册会计师：</w:t>
      </w:r>
    </w:p>
    <w:p>
      <w:pPr>
        <w:spacing w:line="240" w:lineRule="auto" w:before="5"/>
        <w:rPr>
          <w:rFonts w:ascii="宋体" w:hAnsi="宋体" w:cs="宋体" w:eastAsia="宋体" w:hint="default"/>
          <w:sz w:val="10"/>
          <w:szCs w:val="10"/>
        </w:rPr>
      </w:pPr>
    </w:p>
    <w:p>
      <w:pPr>
        <w:spacing w:line="20" w:lineRule="exact"/>
        <w:ind w:left="7291" w:right="0" w:firstLine="0"/>
        <w:rPr>
          <w:rFonts w:ascii="宋体" w:hAnsi="宋体" w:cs="宋体" w:eastAsia="宋体" w:hint="default"/>
          <w:sz w:val="2"/>
          <w:szCs w:val="2"/>
        </w:rPr>
      </w:pPr>
      <w:r>
        <w:rPr>
          <w:rFonts w:ascii="宋体" w:hAnsi="宋体" w:cs="宋体" w:eastAsia="宋体" w:hint="default"/>
          <w:sz w:val="2"/>
          <w:szCs w:val="2"/>
        </w:rPr>
        <w:pict>
          <v:group style="width:63.15pt;height:.5pt;mso-position-horizontal-relative:char;mso-position-vertical-relative:line" coordorigin="0,0" coordsize="1263,10">
            <v:group style="position:absolute;left:5;top:5;width:1254;height:2" coordorigin="5,5" coordsize="1254,2">
              <v:shape style="position:absolute;left:5;top:5;width:1254;height:2" coordorigin="5,5" coordsize="1254,0" path="m5,5l1258,5e" filled="false" stroked="true" strokeweight=".48004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7"/>
          <w:szCs w:val="7"/>
        </w:rPr>
      </w:pPr>
    </w:p>
    <w:p>
      <w:pPr>
        <w:pStyle w:val="BodyText"/>
        <w:tabs>
          <w:tab w:pos="7745" w:val="left" w:leader="none"/>
        </w:tabs>
        <w:spacing w:line="240" w:lineRule="auto" w:before="44"/>
        <w:ind w:left="5458" w:right="986"/>
        <w:jc w:val="left"/>
      </w:pPr>
      <w:r>
        <w:rPr/>
        <w:t>（项目合伙人）</w:t>
        <w:tab/>
        <w:t>轩菲</w:t>
      </w: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8" w:footer="979" w:top="1060" w:bottom="1160" w:left="980" w:right="0"/>
        </w:sectPr>
      </w:pPr>
    </w:p>
    <w:p>
      <w:pPr>
        <w:pStyle w:val="BodyText"/>
        <w:spacing w:line="240" w:lineRule="auto" w:before="44"/>
        <w:ind w:left="0" w:right="0"/>
        <w:jc w:val="right"/>
      </w:pPr>
      <w:r>
        <w:rPr>
          <w:spacing w:val="-1"/>
        </w:rPr>
        <w:t>中国</w:t>
      </w:r>
      <w:r>
        <w:rPr>
          <w:rFonts w:ascii="Times New Roman" w:hAnsi="Times New Roman" w:cs="Times New Roman" w:eastAsia="Times New Roman" w:hint="default"/>
          <w:spacing w:val="-1"/>
        </w:rPr>
        <w:t>·</w:t>
      </w:r>
      <w:r>
        <w:rPr>
          <w:spacing w:val="-1"/>
        </w:rPr>
        <w:t>北京</w:t>
      </w:r>
    </w:p>
    <w:p>
      <w:pPr>
        <w:pStyle w:val="BodyText"/>
        <w:spacing w:line="240" w:lineRule="auto" w:before="99"/>
        <w:ind w:left="1902" w:right="0"/>
        <w:jc w:val="left"/>
      </w:pPr>
      <w:r>
        <w:rPr/>
        <w:br w:type="column"/>
      </w:r>
      <w:r>
        <w:rPr/>
        <w:t>中国注册会计师：</w:t>
      </w:r>
    </w:p>
    <w:p>
      <w:pPr>
        <w:spacing w:after="0" w:line="240" w:lineRule="auto"/>
        <w:jc w:val="left"/>
        <w:sectPr>
          <w:type w:val="continuous"/>
          <w:pgSz w:w="11910" w:h="16840"/>
          <w:pgMar w:top="1060" w:bottom="1160" w:left="980" w:right="0"/>
          <w:cols w:num="2" w:equalWidth="0">
            <w:col w:w="2683" w:space="781"/>
            <w:col w:w="7466"/>
          </w:cols>
        </w:sectPr>
      </w:pPr>
    </w:p>
    <w:p>
      <w:pPr>
        <w:spacing w:line="240" w:lineRule="auto" w:before="7"/>
        <w:rPr>
          <w:rFonts w:ascii="宋体" w:hAnsi="宋体" w:cs="宋体" w:eastAsia="宋体" w:hint="default"/>
          <w:sz w:val="10"/>
          <w:szCs w:val="10"/>
        </w:rPr>
      </w:pPr>
    </w:p>
    <w:p>
      <w:pPr>
        <w:spacing w:line="20" w:lineRule="exact"/>
        <w:ind w:left="7291" w:right="0" w:firstLine="0"/>
        <w:rPr>
          <w:rFonts w:ascii="宋体" w:hAnsi="宋体" w:cs="宋体" w:eastAsia="宋体" w:hint="default"/>
          <w:sz w:val="2"/>
          <w:szCs w:val="2"/>
        </w:rPr>
      </w:pPr>
      <w:r>
        <w:rPr>
          <w:rFonts w:ascii="宋体" w:hAnsi="宋体" w:cs="宋体" w:eastAsia="宋体" w:hint="default"/>
          <w:sz w:val="2"/>
          <w:szCs w:val="2"/>
        </w:rPr>
        <w:pict>
          <v:group style="width:63.15pt;height:.5pt;mso-position-horizontal-relative:char;mso-position-vertical-relative:line" coordorigin="0,0" coordsize="1263,10">
            <v:group style="position:absolute;left:5;top:5;width:1254;height:2" coordorigin="5,5" coordsize="1254,2">
              <v:shape style="position:absolute;left:5;top:5;width:1254;height:2" coordorigin="5,5" coordsize="1254,0" path="m5,5l1258,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81"/>
        <w:ind w:left="0" w:right="2730"/>
        <w:jc w:val="right"/>
      </w:pPr>
      <w:r>
        <w:rPr/>
        <w:t>史继欣</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44"/>
        <w:ind w:left="5724" w:right="986"/>
        <w:jc w:val="left"/>
      </w:pPr>
      <w:r>
        <w:rPr/>
        <w:t>二〇二〇年四月二十八日</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6"/>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240" w:lineRule="auto" w:before="44"/>
        <w:ind w:right="-19"/>
        <w:jc w:val="left"/>
      </w:pPr>
      <w:r>
        <w:rPr/>
        <w:t>编制单位：东华软件股份公司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494" w:space="1582"/>
            <w:col w:w="1642" w:space="3202"/>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1,980,680,688.09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2,086,641,271.60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43,954,476.70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53,165,741.89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5,939,629,519.53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5,560,938,612.15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650,824,378.07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732,496,302.70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509,786,585.74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549,284,862.70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5,297,891,129.14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4,636,520,569.72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22,293,725.24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131,495,232.37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142,981,032.43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14,576,555,734.88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13,762,028,393.19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651,564,110.01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178,791,172.85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78,720,446.17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150,117,383.43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220,607,273.97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776,140,866.20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25,557,826.31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5,757,183.93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233,127,521.55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277,851,299.56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59,109,719.70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25,799,394.13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91,021,803.02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132,152,912.00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671,663,556.37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781,400,416.80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4,653,930.36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3,671,997.77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68,163,108.53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65,997,709.57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2,258,446,688.32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2,243,622,543.91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16,835,002,423.20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16,005,650,937.10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2,072,520,701.00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1,845,260,277.48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267,809,118.19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130,450,667.50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1,232,678,206.69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1,259,030,712.02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1,547,862,165.19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1,226,465,240.61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10,487,155.44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8,300,124.07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75,255,340.02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103,458,810.22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1,871,817,256.35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2,095,499,728.18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566,250,618.97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438,934,312.27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26,865,522.07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7,105,295,464.95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6,672,465,560.08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62,335,769.89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55,839,596.60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60,461,757.35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12,560,434.83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1,948,885.01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130,735,801.32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62,410,642.36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7,236,031,266.27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6,734,876,202.44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3,115,482,375.00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3,115,482,375.00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2,157,920,171.54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2,154,182,656.86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846,157.63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367,438.39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685,340,108.37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622,573,289.39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3,564,262,389.26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3,282,424,450.60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9,523,851,201.80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9,175,030,210.24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75,119,955.13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95,744,524.42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9,598,971,156.93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9,270,774,734.66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16,835,002,423.20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16,005,650,937.10</w:t>
            </w:r>
          </w:p>
        </w:tc>
      </w:tr>
    </w:tbl>
    <w:p>
      <w:pPr>
        <w:spacing w:line="240" w:lineRule="auto" w:before="2"/>
        <w:rPr>
          <w:rFonts w:ascii="Times New Roman" w:hAnsi="Times New Roman" w:cs="Times New Roman" w:eastAsia="Times New Roman" w:hint="default"/>
          <w:sz w:val="23"/>
          <w:szCs w:val="23"/>
        </w:rPr>
      </w:pPr>
    </w:p>
    <w:p>
      <w:pPr>
        <w:pStyle w:val="BodyText"/>
        <w:tabs>
          <w:tab w:pos="3514" w:val="left" w:leader="none"/>
          <w:tab w:pos="7566" w:val="left" w:leader="none"/>
        </w:tabs>
        <w:spacing w:line="240" w:lineRule="auto" w:before="44"/>
        <w:ind w:left="0" w:right="1225"/>
        <w:jc w:val="right"/>
      </w:pPr>
      <w:r>
        <w:rPr/>
        <w:t>法定代表人：薛向东</w:t>
        <w:tab/>
      </w:r>
      <w:r>
        <w:rPr>
          <w:spacing w:val="-1"/>
        </w:rPr>
        <w:t>主管会计工作负责人：叶莉</w:t>
        <w:tab/>
      </w:r>
      <w:r>
        <w:rPr/>
        <w:t>会计机构负责人：初美伶</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904,985,447.47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1,284,074,301.69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11,915,497.34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15,394,152.26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4,100,704,760.16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3,577,115,134.27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272,922,809.47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187,586,703.67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1,549,167,225.64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1,267,434,141.69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31"/>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1"/>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3,056,186,219.61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2,598,978,884.01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28,331,920.80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18,154,567.18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47,682,378.38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9,942,368,447.67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8,978,265,695.97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501,544,976.10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143,748,456.91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78,720,446.17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3,252,238,914.41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3,251,349,620.97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502,676,397.05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8,250,418.98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9,190,315.98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100,281,159.08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137,521,750.55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15,693,242.78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28,821,472.95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1,582,766.61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2,025,791.25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54,603,471.41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44,513,597.30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4,079,174,627.23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4,053,787,771.27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14,021,543,074.90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13,032,053,467.24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1,507,152,560.72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1,235,254,985.60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195,897,353.96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120,694,887.50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554,276,229.71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442,264,747.12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541,508,015.08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436,362,222.86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1,538,286.99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775,382.73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40,285,171.85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32,863,239.42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2,909,795,840.61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2,786,483,940.87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5,750,453,458.92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5,054,699,406.10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37,299,596.60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40,681,757.35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37,299,596.60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40,681,757.35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5,787,753,055.52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5,095,381,163.45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3,115,482,375.00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3,115,482,375.00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2,168,185,235.20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2,157,604,807.17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683,962,165.86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621,195,346.88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2,266,160,243.32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2,042,389,774.74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8,233,790,019.38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7,936,672,303.79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14,021,543,074.90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13,032,053,467.24</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8,849,012,664.06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8,470,591,084.10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8,849,012,664.06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8,470,591,084.10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7,956,597,471.39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7,629,760,355.37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6,395,395,189.64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6,203,435,633.63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24,575,639.80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17,325,473.28</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343,855,697.89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293,566,960.81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520,270,526.23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599,530,467.67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596,502,193.18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416,928,963.49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75,998,224.65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98,972,856.49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104,876,443.81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81,462,744.63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36,443,849.88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23,070,281.90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64,982,959.72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82,981,519.19</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9,997,203.66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-15,499,661.72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-26,834,128.69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-21,705,793.05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67.129974pt;width:193.15pt;height:19.6pt;mso-position-horizontal-relative:page;mso-position-vertical-relative:page;z-index:-107944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108.259979pt;width:160pt;height:19.6pt;mso-position-horizontal-relative:page;mso-position-vertical-relative:page;z-index:-1079416" coordorigin="4220,2165" coordsize="3200,392">
            <v:group style="position:absolute;left:7398;top:2165;width:22;height:392" coordorigin="7398,2165" coordsize="22,392">
              <v:shape style="position:absolute;left:7398;top:2165;width:22;height:392" coordorigin="7398,2165" coordsize="22,392" path="m7398,2556l7420,2556,7420,2165,7398,2165,7398,2556xe" filled="true" fillcolor="#ffffff" stroked="false">
                <v:path arrowok="t"/>
                <v:fill type="solid"/>
              </v:shape>
            </v:group>
            <v:group style="position:absolute;left:4220;top:2165;width:22;height:392" coordorigin="4220,2165" coordsize="22,392">
              <v:shape style="position:absolute;left:4220;top:2165;width:22;height:392" coordorigin="4220,2165" coordsize="22,392" path="m4220,2556l4242,2556,4242,2165,4220,2165,4220,2556xe" filled="true" fillcolor="#ffffff" stroked="false">
                <v:path arrowok="t"/>
                <v:fill type="solid"/>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18,681,234.46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-166,659,151.91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-205,210,694.11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-387,109,583.17</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93,449.58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-417,255.11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614,300,194.07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520,785,747.92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31,474,222.60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308,095,676.47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7,656,967.89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2,781,928.70</w:t>
            </w:r>
          </w:p>
        </w:tc>
      </w:tr>
      <w:tr>
        <w:trPr>
          <w:trHeight w:val="401"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2"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638,117,448.78</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826,099,495.69</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60,374,986.11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28,290,830.97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577,742,462.67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797,808,664.72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577,742,462.67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797,808,664.72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583,701,772.02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806,409,576.38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-5,959,309.35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-8,600,911.66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478,719.24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370,036.78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478,719.24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370,036.78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478,719.24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370,036.78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478,719.24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371,414.80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578,221,181.91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798,178,701.50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584,180,491.26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806,779,613.16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-5,959,309.35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-8,600,911.66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0.2575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0.1874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0.2575</w:t>
            </w:r>
          </w:p>
        </w:tc>
      </w:tr>
    </w:tbl>
    <w:p>
      <w:pPr>
        <w:pStyle w:val="BodyText"/>
        <w:tabs>
          <w:tab w:pos="3667" w:val="left" w:leader="none"/>
          <w:tab w:pos="7718" w:val="left" w:leader="none"/>
        </w:tabs>
        <w:spacing w:line="595" w:lineRule="auto" w:before="49"/>
        <w:ind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法定代表人：薛向东</w:t>
        <w:tab/>
      </w:r>
      <w:r>
        <w:rPr>
          <w:spacing w:val="-1"/>
        </w:rPr>
        <w:t>主管会计工作负责人：叶莉</w:t>
        <w:tab/>
      </w:r>
      <w:r>
        <w:rPr/>
        <w:t>会计机构负责人：初美伶</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after="0" w:line="240" w:lineRule="auto"/>
        <w:jc w:val="right"/>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4,520,534,897.12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4,046,015,274.97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3,097,200,614.57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2,857,580,921.62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11,020,850.80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6,945,352.11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107,117,354.94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99,256,516.00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118,883,427.07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246,143,583.96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220,771,772.63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112,416,942.83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41,989,643.27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47,088,593.92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68,811,317.35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47,023,760.07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32,935,473.89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20,598,120.03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31,312,950.66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37,020,832.51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58,275,525.54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64,181,753.71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-28,244,181.25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-23,990,918.89</w:t>
            </w: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10,606,885.71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-78,130,161.96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-308,286,231.67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-461,971,650.29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-526,025.65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637,330,202.12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315,288,274.81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30,561,005.59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304,660,123.87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6,069,286.60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1,509,898.71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661,821,921.11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618,438,499.97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34,153,731.33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17,745,830.95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627,668,189.78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600,692,669.02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627,668,189.78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600,692,669.02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-1,378.02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-1,378.02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627,668,189.78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600,691,291.00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0.1918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4"/>
        <w:spacing w:line="240" w:lineRule="auto" w:before="36"/>
        <w:ind w:right="98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9,617,725,720.75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9,070,870,277.90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42,458,077.43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51,187,085.15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294,715,226.55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300,089,323.58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9,954,899,024.73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9,422,146,686.63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7,370,879,076.08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7,110,083,654.88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1,344,139,188.95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1,085,440,285.87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245,557,152.25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243,208,036.70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691,919,251.76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631,953,901.54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9,652,494,669.04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9,070,685,878.99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302,404,355.69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351,460,807.64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1,871.28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63,332.48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93,537,785.00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503,677.39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93,669,656.28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93,619,793.02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116,395,517.11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32,310,368.00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72,794,432.00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9,923,159.21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125,930,161.02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199,113,108.32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-125,426,483.63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-105,443,452.04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3,319,740.00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3,319,740.00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1,865,116,413.86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1,679,182,948.86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823,585,906.92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1,632,783,394.78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2,689,342,320.78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3,315,286,083.64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1,817,239,327.70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1,445,892,837.53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253,310,279.80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321,280,753.32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638,040,800.92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1,630,440,194.78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2,708,590,408.42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3,397,613,785.63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-19,248,087.64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-82,327,701.99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843,809.11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917,961.81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158,573,593.53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164,607,615.42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1,763,956,347.68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1,599,348,732.26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1,922,529,941.21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1,763,956,347.68</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98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4,476,931,117.59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4,302,485,146.88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20,601,189.91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25,047,921.96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880,403,144.38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228,009,937.08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5,377,935,451.88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4,555,543,005.92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3,413,891,475.23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2,988,884,298.75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484,222,768.69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396,258,416.58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105,243,877.22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144,729,083.66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1,186,772,749.26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638,892,602.21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5,190,130,870.40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4,168,764,401.20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187,804,581.48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386,778,604.72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1,871.28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69,265,600.00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81,153,200.00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93,480,713.45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69,565,600.00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174,635,784.73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15,796,333.00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42,213,416.81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436,876,951.24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274,147,072.28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359,117,071.05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452,673,284.24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675,477,560.14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-383,107,684.24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-500,841,775.41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1,254,554,941.24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1,202,614,980.00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693,998,220.01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1,622,360,000.00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1,948,553,161.25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2,824,974,980.00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1,075,107,480.00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632,937,474.44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227,847,787.12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286,320,351.77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570,265,920.01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1,622,560,000.00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1,873,221,187.13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2,541,817,826.21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75,331,974.12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283,157,153.79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-119,971,128.64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169,093,983.10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979,469,282.27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810,375,299.17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859,498,153.63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979,469,282.27</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6"/>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3,115</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182,65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367,43</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622,57</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3,289.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3,282,</w:t>
            </w:r>
          </w:p>
          <w:p>
            <w:pPr>
              <w:pStyle w:val="TableParagraph"/>
              <w:spacing w:line="240" w:lineRule="auto" w:before="103"/>
              <w:ind w:left="39" w:right="0"/>
              <w:jc w:val="center"/>
              <w:rPr>
                <w:rFonts w:ascii="Times New Roman" w:hAnsi="Times New Roman" w:cs="Times New Roman" w:eastAsia="Times New Roman" w:hint="default"/>
                <w:sz w:val="18"/>
                <w:szCs w:val="18"/>
              </w:rPr>
            </w:pPr>
            <w:r>
              <w:rPr>
                <w:rFonts w:ascii="Times New Roman"/>
                <w:sz w:val="18"/>
              </w:rPr>
              <w:t>424,45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9,175,</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030,21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0.24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95,744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9,270,</w:t>
            </w:r>
          </w:p>
          <w:p>
            <w:pPr>
              <w:pStyle w:val="TableParagraph"/>
              <w:spacing w:line="240" w:lineRule="auto" w:before="103"/>
              <w:ind w:left="31" w:right="0"/>
              <w:jc w:val="center"/>
              <w:rPr>
                <w:rFonts w:ascii="Times New Roman" w:hAnsi="Times New Roman" w:cs="Times New Roman" w:eastAsia="Times New Roman" w:hint="default"/>
                <w:sz w:val="18"/>
                <w:szCs w:val="18"/>
              </w:rPr>
            </w:pPr>
            <w:r>
              <w:rPr>
                <w:rFonts w:ascii="Times New Roman"/>
                <w:sz w:val="18"/>
              </w:rPr>
              <w:t>774,73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4.66</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3,115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182,65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367,43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622,57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3,289.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3,354,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420,42</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9,247,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026,17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9.80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95,744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9,342,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770,70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4.22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514.68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478,71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9.24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left"/>
              <w:rPr>
                <w:rFonts w:ascii="Times New Roman" w:hAnsi="Times New Roman" w:cs="Times New Roman" w:eastAsia="Times New Roman" w:hint="default"/>
                <w:sz w:val="18"/>
                <w:szCs w:val="18"/>
              </w:rPr>
            </w:pPr>
            <w:r>
              <w:rPr>
                <w:rFonts w:ascii="Times New Roman"/>
                <w:sz w:val="18"/>
              </w:rPr>
              <w:t>209,84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1,969.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276,82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5,022.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-20,62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4,569.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256,20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0,452.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478,71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583,70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1,772.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584,18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0,491.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-5,959,</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309.35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578,22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1,181.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514.68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514.68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5,259.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514.68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3,737,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514.68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-15,30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5,259.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62,766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-373,8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59,802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92,983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92,983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.94</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62,766</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-62,76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6,818.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92,983</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92,983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92,983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.94</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6"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7"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6"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8"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63"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7"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5"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3,115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2,157,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920,17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1.54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846,15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685,34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0,108.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3,564,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262,38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9,523,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851,20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75,119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9,598,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971,15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6.93</w:t>
            </w:r>
          </w:p>
        </w:tc>
      </w:tr>
    </w:tbl>
    <w:p>
      <w:pPr>
        <w:pStyle w:val="BodyText"/>
        <w:spacing w:line="240" w:lineRule="auto" w:before="49"/>
        <w:ind w:right="986"/>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7"/>
        <w:gridCol w:w="569"/>
        <w:gridCol w:w="641"/>
        <w:gridCol w:w="653"/>
      </w:tblGrid>
      <w:tr>
        <w:trPr>
          <w:trHeight w:val="401"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5"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590,89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7.89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-2,598.</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562,50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4,022.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2,849,</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927,26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1.22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8,894,</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807,14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126,059</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,786.83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590,89</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7.89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-2,598.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562,50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4,022.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2,849,</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927,26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1.22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8,894,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807,14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126,059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,786.83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3"/>
              <w:ind w:left="52" w:right="0"/>
              <w:jc w:val="left"/>
              <w:rPr>
                <w:rFonts w:ascii="Times New Roman" w:hAnsi="Times New Roman" w:cs="Times New Roman" w:eastAsia="Times New Roman" w:hint="default"/>
                <w:sz w:val="18"/>
                <w:szCs w:val="18"/>
              </w:rPr>
            </w:pPr>
            <w:r>
              <w:rPr>
                <w:rFonts w:ascii="Times New Roman"/>
                <w:sz w:val="18"/>
              </w:rPr>
              <w:t>05,18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-188,4</w:t>
            </w:r>
          </w:p>
          <w:p>
            <w:pPr>
              <w:pStyle w:val="TableParagraph"/>
              <w:spacing w:line="240" w:lineRule="auto" w:before="103"/>
              <w:ind w:left="50" w:right="0"/>
              <w:jc w:val="left"/>
              <w:rPr>
                <w:rFonts w:ascii="Times New Roman" w:hAnsi="Times New Roman" w:cs="Times New Roman" w:eastAsia="Times New Roman" w:hint="default"/>
                <w:sz w:val="18"/>
                <w:szCs w:val="18"/>
              </w:rPr>
            </w:pPr>
            <w:r>
              <w:rPr>
                <w:rFonts w:ascii="Times New Roman"/>
                <w:sz w:val="18"/>
              </w:rPr>
              <w:t>08,241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370,03</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6.78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60,069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432,49</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7,189.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280,22</w:t>
            </w:r>
          </w:p>
          <w:p>
            <w:pPr>
              <w:pStyle w:val="TableParagraph"/>
              <w:spacing w:line="240" w:lineRule="auto" w:before="103"/>
              <w:ind w:left="84" w:right="0"/>
              <w:jc w:val="left"/>
              <w:rPr>
                <w:rFonts w:ascii="Times New Roman" w:hAnsi="Times New Roman" w:cs="Times New Roman" w:eastAsia="Times New Roman" w:hint="default"/>
                <w:sz w:val="18"/>
                <w:szCs w:val="18"/>
              </w:rPr>
            </w:pPr>
            <w:r>
              <w:rPr>
                <w:rFonts w:ascii="Times New Roman"/>
                <w:sz w:val="18"/>
              </w:rPr>
              <w:t>3,067.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-30,315</w:t>
            </w:r>
          </w:p>
          <w:p>
            <w:pPr>
              <w:pStyle w:val="TableParagraph"/>
              <w:spacing w:line="240" w:lineRule="auto" w:before="103"/>
              <w:ind w:left="72" w:right="0"/>
              <w:jc w:val="left"/>
              <w:rPr>
                <w:rFonts w:ascii="Times New Roman" w:hAnsi="Times New Roman" w:cs="Times New Roman" w:eastAsia="Times New Roman" w:hint="default"/>
                <w:sz w:val="18"/>
                <w:szCs w:val="18"/>
              </w:rPr>
            </w:pPr>
            <w:r>
              <w:rPr>
                <w:rFonts w:ascii="Times New Roman"/>
                <w:sz w:val="18"/>
              </w:rPr>
              <w:t>,262.41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249,907</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,804.62</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370,03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6.78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806,40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9,576.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806,77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9,613.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911.66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798,178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,701.50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left"/>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05,18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-188,4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08,241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-212,7</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13,426</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-21,714</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,350.75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-234,42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7,776.7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05,18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63,820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-210,9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69,005</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3,319,7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64"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6"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7"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3"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7"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5"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-1,744,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420.23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-1,744,</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420.23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,090.75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-26,778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,510.98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-373,9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12,387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-313,8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43,120</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.10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3,120.1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-60,06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9,266.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-313,8</w:t>
            </w:r>
          </w:p>
        </w:tc>
        <w:tc>
          <w:tcPr>
            <w:tcW w:w="567"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-313,8</w:t>
            </w:r>
          </w:p>
        </w:tc>
        <w:tc>
          <w:tcPr>
            <w:tcW w:w="641" w:type="dxa"/>
            <w:vMerge w:val="restart"/>
            <w:tcBorders>
              <w:top w:val="single" w:sz="4" w:space="0" w:color="000000"/>
              <w:left w:val="single" w:sz="4" w:space="0" w:color="000000"/>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-313,84</w:t>
            </w:r>
          </w:p>
        </w:tc>
      </w:tr>
      <w:tr>
        <w:trPr>
          <w:trHeight w:val="311"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（或股东）的</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43,120</w:t>
            </w:r>
          </w:p>
        </w:tc>
        <w:tc>
          <w:tcPr>
            <w:tcW w:w="567"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43,120</w:t>
            </w:r>
          </w:p>
        </w:tc>
        <w:tc>
          <w:tcPr>
            <w:tcW w:w="641" w:type="dxa"/>
            <w:vMerge/>
            <w:tcBorders>
              <w:left w:val="single" w:sz="4" w:space="0" w:color="000000"/>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3,120.1</w:t>
            </w:r>
          </w:p>
        </w:tc>
      </w:tr>
      <w:tr>
        <w:trPr>
          <w:trHeight w:val="353"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w:t>
            </w:r>
          </w:p>
        </w:tc>
        <w:tc>
          <w:tcPr>
            <w:tcW w:w="567"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.10</w:t>
            </w:r>
          </w:p>
        </w:tc>
        <w:tc>
          <w:tcPr>
            <w:tcW w:w="641" w:type="dxa"/>
            <w:vMerge/>
            <w:tcBorders>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3,115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182,65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6.86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367,43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622,57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3,289.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3,282,</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424,45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0.60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9,175,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030,21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0.24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95,744,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524.42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74,734.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986"/>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6"/>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3,115,4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2,157,60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4,807.17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621,195,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346.88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89,774.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7,936,672,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303.79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-30,037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,918.28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-30,037,91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8.28</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3,115,4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2,157,60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4,807.17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621,195,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346.88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2,012,3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7,906,634,</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385.51</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10,580,4</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28.03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62,766,8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18.98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8,386.8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327,155,6</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33.87</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627,66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8,189.7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627,668,1</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89.78</w:t>
            </w:r>
          </w:p>
        </w:tc>
      </w:tr>
      <w:tr>
        <w:trPr>
          <w:trHeight w:val="363"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10,580,4</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10,580,42</w:t>
            </w:r>
          </w:p>
        </w:tc>
      </w:tr>
      <w:tr>
        <w:trPr>
          <w:trHeight w:val="350"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28.03</w:t>
            </w: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8.03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7"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5"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364"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6"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7"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10,580,4</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28.03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10,580,42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8.03</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62,766,8</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18.98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9,802.9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-311,092,9</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83.94</w:t>
            </w:r>
          </w:p>
        </w:tc>
      </w:tr>
      <w:tr>
        <w:trPr>
          <w:trHeight w:val="363"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62,766,8</w:t>
            </w: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-62,766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50"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18.98</w:t>
            </w: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,818.98</w:t>
            </w: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-311,09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2,983.9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-311,092,9</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83.94</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6"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7"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6"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8"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363"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7"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5" w:hRule="exact"/>
        </w:trPr>
        <w:tc>
          <w:tcPr>
            <w:tcW w:w="13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3,115,4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2,168,18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5,235.20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683,962,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165.86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60,243.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8,233,790,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019.38</w:t>
            </w:r>
          </w:p>
        </w:tc>
      </w:tr>
    </w:tbl>
    <w:p>
      <w:pPr>
        <w:pStyle w:val="BodyText"/>
        <w:spacing w:line="240" w:lineRule="auto" w:before="49"/>
        <w:ind w:right="986"/>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787,56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561,126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,079.98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1,815,609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,492.72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7,860,793,1</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38.69</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9" w:right="0"/>
              <w:jc w:val="center"/>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787,56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561,126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,079.98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1,815,609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,492.72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7,860,793,1</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38.69</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3,820.8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60,069,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266.90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226,780,2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75,879,165.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r>
      <w:tr>
        <w:trPr>
          <w:trHeight w:val="3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综合收益</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600,692,6</w:t>
            </w:r>
          </w:p>
        </w:tc>
        <w:tc>
          <w:tcPr>
            <w:tcW w:w="797" w:type="dxa"/>
            <w:vMerge w:val="restart"/>
            <w:tcBorders>
              <w:top w:val="single" w:sz="4" w:space="0" w:color="000000"/>
              <w:left w:val="single" w:sz="4" w:space="0" w:color="000000"/>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600,691,29</w:t>
            </w:r>
          </w:p>
        </w:tc>
      </w:tr>
      <w:tr>
        <w:trPr>
          <w:trHeight w:val="350"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w:t>
            </w: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69.02</w:t>
            </w:r>
          </w:p>
        </w:tc>
        <w:tc>
          <w:tcPr>
            <w:tcW w:w="797" w:type="dxa"/>
            <w:vMerge/>
            <w:tcBorders>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3,820.8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-210,969,00</w:t>
            </w:r>
          </w:p>
          <w:p>
            <w:pPr>
              <w:pStyle w:val="TableParagraph"/>
              <w:spacing w:line="240" w:lineRule="auto" w:before="103"/>
              <w:ind w:left="583" w:right="0"/>
              <w:jc w:val="left"/>
              <w:rPr>
                <w:rFonts w:ascii="Times New Roman" w:hAnsi="Times New Roman" w:cs="Times New Roman" w:eastAsia="Times New Roman" w:hint="default"/>
                <w:sz w:val="18"/>
                <w:szCs w:val="18"/>
              </w:rPr>
            </w:pPr>
            <w:r>
              <w:rPr>
                <w:rFonts w:ascii="Times New Roman"/>
                <w:sz w:val="18"/>
              </w:rPr>
              <w:t>5.80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-24,30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5,185.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3,820.8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-210,969,00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5.80</w:t>
            </w:r>
          </w:p>
        </w:tc>
      </w:tr>
      <w:tr>
        <w:trPr>
          <w:trHeight w:val="364"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7"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7"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5"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60,069,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266.90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-373,912,</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387.00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-313,843,12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0.10</w:t>
            </w:r>
          </w:p>
        </w:tc>
      </w:tr>
      <w:tr>
        <w:trPr>
          <w:trHeight w:val="364"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60,069,</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-60,069,2</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5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266.90</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66.90</w:t>
            </w: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-313,843,</w:t>
            </w:r>
          </w:p>
        </w:tc>
        <w:tc>
          <w:tcPr>
            <w:tcW w:w="797" w:type="dxa"/>
            <w:vMerge w:val="restart"/>
            <w:tcBorders>
              <w:top w:val="single" w:sz="4" w:space="0" w:color="000000"/>
              <w:left w:val="single" w:sz="4" w:space="0" w:color="000000"/>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-313,843,12</w:t>
            </w:r>
          </w:p>
        </w:tc>
      </w:tr>
      <w:tr>
        <w:trPr>
          <w:trHeight w:val="350"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120.10</w:t>
            </w:r>
          </w:p>
        </w:tc>
        <w:tc>
          <w:tcPr>
            <w:tcW w:w="797" w:type="dxa"/>
            <w:vMerge/>
            <w:tcBorders>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0.10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7"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7"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5"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3,115,4</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82,375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621,195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,346.88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2,042,389</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,774.74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7,936,672,3</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03.79</w:t>
            </w:r>
          </w:p>
        </w:tc>
      </w:tr>
    </w:tbl>
    <w:p>
      <w:pPr>
        <w:spacing w:line="240" w:lineRule="auto" w:before="9"/>
        <w:rPr>
          <w:rFonts w:ascii="Times New Roman" w:hAnsi="Times New Roman" w:cs="Times New Roman" w:eastAsia="Times New Roman" w:hint="default"/>
          <w:sz w:val="20"/>
          <w:szCs w:val="20"/>
        </w:rPr>
      </w:pPr>
    </w:p>
    <w:p>
      <w:pPr>
        <w:pStyle w:val="Heading3"/>
        <w:spacing w:line="240" w:lineRule="auto" w:before="26"/>
        <w:ind w:right="0"/>
        <w:jc w:val="both"/>
        <w:rPr>
          <w:b w:val="0"/>
          <w:bCs w:val="0"/>
        </w:rPr>
      </w:pPr>
      <w:r>
        <w:rPr/>
        <w:t>三、公司基本情况</w:t>
      </w:r>
      <w:r>
        <w:rPr>
          <w:b w:val="0"/>
          <w:bCs w:val="0"/>
        </w:rPr>
      </w:r>
    </w:p>
    <w:p>
      <w:pPr>
        <w:spacing w:line="470" w:lineRule="atLeast" w:before="125"/>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pacing w:val="-1"/>
          <w:sz w:val="18"/>
          <w:szCs w:val="18"/>
        </w:rPr>
        <w:t>东华软件股份公司（原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北京东华合创数码科技股份有限公司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）是由北京东华诚信电脑科</w:t>
      </w:r>
    </w:p>
    <w:p>
      <w:pPr>
        <w:pStyle w:val="BodyText"/>
        <w:spacing w:line="304" w:lineRule="auto" w:before="63"/>
        <w:ind w:right="1129"/>
        <w:jc w:val="both"/>
      </w:pPr>
      <w:r>
        <w:rPr>
          <w:spacing w:val="-2"/>
        </w:rPr>
        <w:t>技发展有限公司（原北京东华诚信电脑科技发展公司）、北京东华诚信投资管理中心（有限合伙）（原北京东华诚信工业设</w:t>
      </w:r>
      <w:r>
        <w:rPr>
          <w:spacing w:val="-66"/>
        </w:rPr>
        <w:t> </w:t>
      </w:r>
      <w:r>
        <w:rPr>
          <w:spacing w:val="-66"/>
        </w:rPr>
      </w:r>
      <w:r>
        <w:rPr/>
        <w:t>备有限公司）</w:t>
      </w:r>
      <w:r>
        <w:rPr>
          <w:spacing w:val="7"/>
        </w:rPr>
        <w:t> </w:t>
      </w:r>
      <w:r>
        <w:rPr>
          <w:spacing w:val="-2"/>
        </w:rPr>
        <w:t>、北京合创电商投资顾问中心（有限合伙））（原北京合创电商投资顾问有限公司）等</w:t>
      </w:r>
      <w:r>
        <w:rPr>
          <w:rFonts w:ascii="Times New Roman" w:hAnsi="Times New Roman" w:cs="Times New Roman" w:eastAsia="Times New Roman" w:hint="default"/>
          <w:spacing w:val="-2"/>
        </w:rPr>
        <w:t>3</w:t>
      </w:r>
      <w:r>
        <w:rPr>
          <w:spacing w:val="-2"/>
        </w:rPr>
        <w:t>家法人企业及薛向东</w:t>
      </w:r>
      <w:r>
        <w:rPr>
          <w:spacing w:val="-87"/>
        </w:rPr>
        <w:t> </w:t>
      </w:r>
      <w:r>
        <w:rPr/>
        <w:t>等</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个自然人共同发起，在原北京东华合创数码科技有限公司的基础上，依法改制设立的股份有限公司。公司的注册资本 为人民币</w:t>
      </w:r>
      <w:r>
        <w:rPr>
          <w:rFonts w:ascii="Times New Roman" w:hAnsi="Times New Roman" w:cs="Times New Roman" w:eastAsia="Times New Roman" w:hint="default"/>
        </w:rPr>
        <w:t>3,115,482,375.00</w:t>
      </w:r>
      <w:r>
        <w:rPr/>
        <w:t>元，注册地址位于北京市海淀区紫金数码园</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15</w:t>
      </w:r>
      <w:r>
        <w:rPr/>
        <w:t>层</w:t>
      </w:r>
      <w:r>
        <w:rPr>
          <w:rFonts w:ascii="Times New Roman" w:hAnsi="Times New Roman" w:cs="Times New Roman" w:eastAsia="Times New Roman" w:hint="default"/>
        </w:rPr>
        <w:t>1501</w:t>
      </w:r>
      <w:r>
        <w:rPr/>
        <w:t>室，法定代表人：薛向东，企业统一社 会信用代码为</w:t>
      </w:r>
      <w:r>
        <w:rPr>
          <w:rFonts w:ascii="Times New Roman" w:hAnsi="Times New Roman" w:cs="Times New Roman" w:eastAsia="Times New Roman" w:hint="default"/>
        </w:rPr>
        <w:t>“</w:t>
      </w:r>
      <w:r>
        <w:rPr/>
        <w:t>第</w:t>
      </w:r>
      <w:r>
        <w:rPr>
          <w:rFonts w:ascii="Times New Roman" w:hAnsi="Times New Roman" w:cs="Times New Roman" w:eastAsia="Times New Roman" w:hint="default"/>
        </w:rPr>
        <w:t>911100007226188818</w:t>
      </w:r>
      <w:r>
        <w:rPr/>
        <w:t>号</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2"/>
          <w:szCs w:val="12"/>
        </w:rPr>
      </w:pPr>
    </w:p>
    <w:p>
      <w:pPr>
        <w:pStyle w:val="BodyText"/>
        <w:spacing w:line="307" w:lineRule="auto"/>
        <w:ind w:right="1128" w:firstLine="360"/>
        <w:jc w:val="both"/>
      </w:pPr>
      <w:r>
        <w:rPr>
          <w:spacing w:val="-1"/>
        </w:rPr>
        <w:t>公司的前身北京东华合创数码科技有限公司，成立于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月，注册资本为人民币</w:t>
      </w:r>
      <w:r>
        <w:rPr>
          <w:rFonts w:ascii="Times New Roman" w:hAnsi="Times New Roman" w:cs="Times New Roman" w:eastAsia="Times New Roman" w:hint="default"/>
          <w:spacing w:val="-1"/>
        </w:rPr>
        <w:t>3,700</w:t>
      </w:r>
      <w:r>
        <w:rPr>
          <w:spacing w:val="-1"/>
        </w:rPr>
        <w:t>万元。</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日，经北</w:t>
      </w:r>
      <w:r>
        <w:rPr/>
        <w:t> 京市人民政府经济体制改革办公室以</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[2001]69</w:t>
      </w:r>
      <w:r>
        <w:rPr/>
        <w:t>号</w:t>
      </w:r>
      <w:r>
        <w:rPr>
          <w:rFonts w:ascii="Times New Roman" w:hAnsi="Times New Roman" w:cs="Times New Roman" w:eastAsia="Times New Roman" w:hint="default"/>
        </w:rPr>
        <w:t>”</w:t>
      </w:r>
      <w:r>
        <w:rPr/>
        <w:t>文《关于同意北京东华合创数码科技有限公司变更为北京东 </w:t>
      </w:r>
      <w:r>
        <w:rPr>
          <w:spacing w:val="-2"/>
        </w:rPr>
        <w:t>华合创数码科技股份有限公司的通知》批复，北京东华合创数码科技有限公司依法改制设立为股份有限公司，注册资本为人</w:t>
      </w:r>
      <w:r>
        <w:rPr>
          <w:spacing w:val="-66"/>
        </w:rPr>
        <w:t> </w:t>
      </w:r>
      <w:r>
        <w:rPr>
          <w:spacing w:val="-66"/>
        </w:rPr>
      </w:r>
      <w:r>
        <w:rPr/>
        <w:t>民币</w:t>
      </w:r>
      <w:r>
        <w:rPr>
          <w:rFonts w:ascii="Times New Roman" w:hAnsi="Times New Roman" w:cs="Times New Roman" w:eastAsia="Times New Roman" w:hint="default"/>
        </w:rPr>
        <w:t>4,856.25</w:t>
      </w:r>
      <w:r>
        <w:rPr/>
        <w:t>万元。</w:t>
      </w:r>
    </w:p>
    <w:p>
      <w:pPr>
        <w:spacing w:line="240" w:lineRule="auto" w:before="7"/>
        <w:rPr>
          <w:rFonts w:ascii="宋体" w:hAnsi="宋体" w:cs="宋体" w:eastAsia="宋体" w:hint="default"/>
          <w:sz w:val="12"/>
          <w:szCs w:val="12"/>
        </w:rPr>
      </w:pPr>
    </w:p>
    <w:p>
      <w:pPr>
        <w:pStyle w:val="BodyText"/>
        <w:spacing w:line="300" w:lineRule="auto"/>
        <w:ind w:right="1128" w:firstLine="360"/>
        <w:jc w:val="both"/>
      </w:pPr>
      <w:r>
        <w:rPr>
          <w:spacing w:val="-2"/>
        </w:rPr>
        <w:t>经公司于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月召开的</w:t>
      </w:r>
      <w:r>
        <w:rPr>
          <w:rFonts w:ascii="Times New Roman" w:hAnsi="Times New Roman" w:cs="Times New Roman" w:eastAsia="Times New Roman" w:hint="default"/>
          <w:spacing w:val="-2"/>
        </w:rPr>
        <w:t>2002</w:t>
      </w:r>
      <w:r>
        <w:rPr>
          <w:spacing w:val="-2"/>
        </w:rPr>
        <w:t>年度股东大会表决通过，公司按照</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4,856.25</w:t>
      </w:r>
      <w:r>
        <w:rPr>
          <w:spacing w:val="-2"/>
        </w:rPr>
        <w:t>万元为基数，按</w:t>
      </w:r>
      <w:r>
        <w:rPr>
          <w:rFonts w:ascii="Times New Roman" w:hAnsi="Times New Roman" w:cs="Times New Roman" w:eastAsia="Times New Roman" w:hint="default"/>
          <w:spacing w:val="-2"/>
        </w:rPr>
        <w:t>10 </w:t>
      </w:r>
      <w:r>
        <w:rPr>
          <w:spacing w:val="-1"/>
        </w:rPr>
        <w:t>比</w:t>
      </w:r>
      <w:r>
        <w:rPr>
          <w:rFonts w:ascii="Times New Roman" w:hAnsi="Times New Roman" w:cs="Times New Roman" w:eastAsia="Times New Roman" w:hint="default"/>
          <w:spacing w:val="-1"/>
        </w:rPr>
        <w:t>1</w:t>
      </w:r>
      <w:r>
        <w:rPr>
          <w:spacing w:val="-1"/>
        </w:rPr>
        <w:t>的比例向公司的全体股东派送红股，共增加股本</w:t>
      </w:r>
      <w:r>
        <w:rPr>
          <w:rFonts w:ascii="Times New Roman" w:hAnsi="Times New Roman" w:cs="Times New Roman" w:eastAsia="Times New Roman" w:hint="default"/>
          <w:spacing w:val="-1"/>
        </w:rPr>
        <w:t>485.625</w:t>
      </w:r>
      <w:r>
        <w:rPr>
          <w:spacing w:val="-1"/>
        </w:rPr>
        <w:t>万元。该增资事项完成后，公司的股本增加为人民币</w:t>
      </w:r>
      <w:r>
        <w:rPr>
          <w:rFonts w:ascii="Times New Roman" w:hAnsi="Times New Roman" w:cs="Times New Roman" w:eastAsia="Times New Roman" w:hint="default"/>
          <w:spacing w:val="-1"/>
        </w:rPr>
        <w:t>5,341.875</w:t>
      </w:r>
      <w:r>
        <w:rPr>
          <w:spacing w:val="-1"/>
        </w:rPr>
        <w:t>万</w:t>
      </w:r>
      <w:r>
        <w:rPr>
          <w:spacing w:val="-71"/>
        </w:rPr>
        <w:t> </w:t>
      </w:r>
      <w:r>
        <w:rPr/>
        <w:t>元。</w:t>
      </w:r>
    </w:p>
    <w:p>
      <w:pPr>
        <w:spacing w:line="240" w:lineRule="auto" w:before="4"/>
        <w:rPr>
          <w:rFonts w:ascii="宋体" w:hAnsi="宋体" w:cs="宋体" w:eastAsia="宋体" w:hint="default"/>
          <w:sz w:val="14"/>
          <w:szCs w:val="14"/>
        </w:rPr>
      </w:pPr>
    </w:p>
    <w:p>
      <w:pPr>
        <w:pStyle w:val="BodyText"/>
        <w:spacing w:line="300" w:lineRule="auto"/>
        <w:ind w:right="1128" w:firstLine="360"/>
        <w:jc w:val="both"/>
      </w:pPr>
      <w:r>
        <w:rPr/>
        <w:t>经公司于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月召开的</w:t>
      </w:r>
      <w:r>
        <w:rPr>
          <w:rFonts w:ascii="Times New Roman" w:hAnsi="Times New Roman" w:cs="Times New Roman" w:eastAsia="Times New Roman" w:hint="default"/>
        </w:rPr>
        <w:t>2004</w:t>
      </w:r>
      <w:r>
        <w:rPr/>
        <w:t>年度股东大会表决通过，公司按照</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5,341.875</w:t>
      </w:r>
      <w:r>
        <w:rPr/>
        <w:t>万元为基数，按 </w:t>
      </w:r>
      <w:r>
        <w:rPr>
          <w:rFonts w:ascii="Times New Roman" w:hAnsi="Times New Roman" w:cs="Times New Roman" w:eastAsia="Times New Roman" w:hint="default"/>
          <w:spacing w:val="-4"/>
        </w:rPr>
        <w:t>10</w:t>
      </w:r>
      <w:r>
        <w:rPr>
          <w:spacing w:val="-4"/>
        </w:rPr>
        <w:t>比</w:t>
      </w:r>
      <w:r>
        <w:rPr>
          <w:rFonts w:ascii="Times New Roman" w:hAnsi="Times New Roman" w:cs="Times New Roman" w:eastAsia="Times New Roman" w:hint="default"/>
          <w:spacing w:val="-4"/>
        </w:rPr>
        <w:t>1</w:t>
      </w:r>
      <w:r>
        <w:rPr>
          <w:spacing w:val="-4"/>
        </w:rPr>
        <w:t>的比例向公司的全体股东派送红股，共增加股本</w:t>
      </w:r>
      <w:r>
        <w:rPr>
          <w:rFonts w:ascii="Times New Roman" w:hAnsi="Times New Roman" w:cs="Times New Roman" w:eastAsia="Times New Roman" w:hint="default"/>
          <w:spacing w:val="-4"/>
        </w:rPr>
        <w:t>534.1875</w:t>
      </w:r>
      <w:r>
        <w:rPr>
          <w:spacing w:val="-4"/>
        </w:rPr>
        <w:t>万元。该增资事项完成后，公司的股本增加为人民币</w:t>
      </w:r>
      <w:r>
        <w:rPr>
          <w:rFonts w:ascii="Times New Roman" w:hAnsi="Times New Roman" w:cs="Times New Roman" w:eastAsia="Times New Roman" w:hint="default"/>
          <w:spacing w:val="-4"/>
        </w:rPr>
        <w:t>5,876.0625</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万元。</w:t>
      </w:r>
    </w:p>
    <w:p>
      <w:pPr>
        <w:spacing w:line="240" w:lineRule="auto" w:before="4"/>
        <w:rPr>
          <w:rFonts w:ascii="宋体" w:hAnsi="宋体" w:cs="宋体" w:eastAsia="宋体" w:hint="default"/>
          <w:sz w:val="14"/>
          <w:szCs w:val="14"/>
        </w:rPr>
      </w:pPr>
    </w:p>
    <w:p>
      <w:pPr>
        <w:pStyle w:val="BodyText"/>
        <w:spacing w:line="300" w:lineRule="auto"/>
        <w:ind w:right="1128" w:firstLine="360"/>
        <w:jc w:val="both"/>
      </w:pPr>
      <w:r>
        <w:rPr>
          <w:spacing w:val="-2"/>
        </w:rPr>
        <w:t>经公司于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月召开的</w:t>
      </w:r>
      <w:r>
        <w:rPr>
          <w:rFonts w:ascii="Times New Roman" w:hAnsi="Times New Roman" w:cs="Times New Roman" w:eastAsia="Times New Roman" w:hint="default"/>
          <w:spacing w:val="-2"/>
        </w:rPr>
        <w:t>2005</w:t>
      </w:r>
      <w:r>
        <w:rPr>
          <w:spacing w:val="-2"/>
        </w:rPr>
        <w:t>年度股东大会表决通过，公司按照</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5,876.0625</w:t>
      </w:r>
      <w:r>
        <w:rPr>
          <w:spacing w:val="-2"/>
        </w:rPr>
        <w:t>万元为基数，按</w:t>
      </w:r>
      <w:r>
        <w:rPr/>
        <w:t> </w:t>
      </w:r>
      <w:r>
        <w:rPr>
          <w:rFonts w:ascii="Times New Roman" w:hAnsi="Times New Roman" w:cs="Times New Roman" w:eastAsia="Times New Roman" w:hint="default"/>
          <w:spacing w:val="-4"/>
        </w:rPr>
        <w:t>10</w:t>
      </w:r>
      <w:r>
        <w:rPr>
          <w:spacing w:val="-4"/>
        </w:rPr>
        <w:t>比</w:t>
      </w:r>
      <w:r>
        <w:rPr>
          <w:rFonts w:ascii="Times New Roman" w:hAnsi="Times New Roman" w:cs="Times New Roman" w:eastAsia="Times New Roman" w:hint="default"/>
          <w:spacing w:val="-4"/>
        </w:rPr>
        <w:t>1</w:t>
      </w:r>
      <w:r>
        <w:rPr>
          <w:spacing w:val="-4"/>
        </w:rPr>
        <w:t>的比例向公司的全体股东派送红股，共增加股本</w:t>
      </w:r>
      <w:r>
        <w:rPr>
          <w:rFonts w:ascii="Times New Roman" w:hAnsi="Times New Roman" w:cs="Times New Roman" w:eastAsia="Times New Roman" w:hint="default"/>
          <w:spacing w:val="-4"/>
        </w:rPr>
        <w:t>587.6062</w:t>
      </w:r>
      <w:r>
        <w:rPr>
          <w:spacing w:val="-4"/>
        </w:rPr>
        <w:t>万元。该增资事项完成后，公司的股本增加为人民币</w:t>
      </w:r>
      <w:r>
        <w:rPr>
          <w:rFonts w:ascii="Times New Roman" w:hAnsi="Times New Roman" w:cs="Times New Roman" w:eastAsia="Times New Roman" w:hint="default"/>
          <w:spacing w:val="-4"/>
        </w:rPr>
        <w:t>6,463.6687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w:t>
      </w:r>
    </w:p>
    <w:p>
      <w:pPr>
        <w:spacing w:line="240" w:lineRule="auto" w:before="5"/>
        <w:rPr>
          <w:rFonts w:ascii="宋体" w:hAnsi="宋体" w:cs="宋体" w:eastAsia="宋体" w:hint="default"/>
          <w:sz w:val="14"/>
          <w:szCs w:val="14"/>
        </w:rPr>
      </w:pPr>
    </w:p>
    <w:p>
      <w:pPr>
        <w:pStyle w:val="BodyText"/>
        <w:spacing w:line="300" w:lineRule="auto"/>
        <w:ind w:right="1131" w:firstLine="360"/>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月，根据中国证券监督管理委员会于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日下发的《关于核准北京东华合创数码科技股份有限公司首次</w:t>
      </w:r>
      <w:r>
        <w:rPr/>
        <w:t> 公开发行股票的通知》（文号为</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[2006]55</w:t>
      </w:r>
      <w:r>
        <w:rPr/>
        <w:t>号</w:t>
      </w:r>
      <w:r>
        <w:rPr>
          <w:rFonts w:ascii="Times New Roman" w:hAnsi="Times New Roman" w:cs="Times New Roman" w:eastAsia="Times New Roman" w:hint="default"/>
        </w:rPr>
        <w:t>”</w:t>
      </w:r>
      <w:r>
        <w:rPr/>
        <w:t>）的规定，公司于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日前完成了向境内投资者首次公开</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spacing w:val="2"/>
        </w:rPr>
        <w:t>发行</w:t>
      </w:r>
      <w:r>
        <w:rPr>
          <w:rFonts w:ascii="Times New Roman" w:hAnsi="Times New Roman" w:cs="Times New Roman" w:eastAsia="Times New Roman" w:hint="default"/>
          <w:spacing w:val="2"/>
        </w:rPr>
        <w:t>21,600,000</w:t>
      </w:r>
      <w:r>
        <w:rPr>
          <w:spacing w:val="2"/>
        </w:rPr>
        <w:t>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spacing w:val="2"/>
        </w:rPr>
        <w:t>股票的工作（发行价格为</w:t>
      </w:r>
      <w:r>
        <w:rPr>
          <w:rFonts w:ascii="Times New Roman" w:hAnsi="Times New Roman" w:cs="Times New Roman" w:eastAsia="Times New Roman" w:hint="default"/>
          <w:spacing w:val="2"/>
        </w:rPr>
        <w:t>14.50</w:t>
      </w:r>
      <w:r>
        <w:rPr>
          <w:spacing w:val="2"/>
        </w:rPr>
        <w:t>元</w:t>
      </w:r>
      <w:r>
        <w:rPr>
          <w:rFonts w:ascii="Times New Roman" w:hAnsi="Times New Roman" w:cs="Times New Roman" w:eastAsia="Times New Roman" w:hint="default"/>
          <w:spacing w:val="2"/>
        </w:rPr>
        <w:t>/</w:t>
      </w:r>
      <w:r>
        <w:rPr>
          <w:spacing w:val="2"/>
        </w:rPr>
        <w:t>股）。经过上述股份变更事项后，公司股本为人民币</w:t>
      </w:r>
    </w:p>
    <w:p>
      <w:pPr>
        <w:pStyle w:val="BodyText"/>
        <w:spacing w:line="240" w:lineRule="auto" w:before="63"/>
        <w:ind w:right="986"/>
        <w:jc w:val="left"/>
      </w:pPr>
      <w:r>
        <w:rPr>
          <w:rFonts w:ascii="Times New Roman" w:hAnsi="Times New Roman" w:cs="Times New Roman" w:eastAsia="Times New Roman" w:hint="default"/>
        </w:rPr>
        <w:t>8,623.6687</w:t>
      </w:r>
      <w:r>
        <w:rPr/>
        <w:t>万元。</w:t>
      </w:r>
    </w:p>
    <w:p>
      <w:pPr>
        <w:spacing w:line="240" w:lineRule="auto" w:before="9"/>
        <w:rPr>
          <w:rFonts w:ascii="宋体" w:hAnsi="宋体" w:cs="宋体" w:eastAsia="宋体" w:hint="default"/>
          <w:sz w:val="16"/>
          <w:szCs w:val="16"/>
        </w:rPr>
      </w:pPr>
    </w:p>
    <w:p>
      <w:pPr>
        <w:pStyle w:val="BodyText"/>
        <w:spacing w:line="300" w:lineRule="auto"/>
        <w:ind w:right="1128" w:firstLine="360"/>
        <w:jc w:val="both"/>
      </w:pPr>
      <w:r>
        <w:rPr>
          <w:spacing w:val="-2"/>
        </w:rPr>
        <w:t>经公司于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月召开的</w:t>
      </w:r>
      <w:r>
        <w:rPr>
          <w:rFonts w:ascii="Times New Roman" w:hAnsi="Times New Roman" w:cs="Times New Roman" w:eastAsia="Times New Roman" w:hint="default"/>
          <w:spacing w:val="-2"/>
        </w:rPr>
        <w:t>2006</w:t>
      </w:r>
      <w:r>
        <w:rPr>
          <w:spacing w:val="-2"/>
        </w:rPr>
        <w:t>年度股东大会表决通过，公司按照</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8,623.6687</w:t>
      </w:r>
      <w:r>
        <w:rPr>
          <w:spacing w:val="-2"/>
        </w:rPr>
        <w:t>万元为基数，按</w:t>
      </w:r>
      <w:r>
        <w:rPr/>
        <w:t> </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5</w:t>
      </w:r>
      <w:r>
        <w:rPr/>
        <w:t>的比例以资本公积转增股本，共增加股本</w:t>
      </w:r>
      <w:r>
        <w:rPr>
          <w:rFonts w:ascii="Times New Roman" w:hAnsi="Times New Roman" w:cs="Times New Roman" w:eastAsia="Times New Roman" w:hint="default"/>
        </w:rPr>
        <w:t>4,311.8343</w:t>
      </w:r>
      <w:r>
        <w:rPr/>
        <w:t>万元。该增资事项完成后，公司的股本增加为人民币</w:t>
      </w:r>
      <w:r>
        <w:rPr>
          <w:rFonts w:ascii="Times New Roman" w:hAnsi="Times New Roman" w:cs="Times New Roman" w:eastAsia="Times New Roman" w:hint="default"/>
        </w:rPr>
        <w:t>12,935.503</w:t>
      </w:r>
      <w:r>
        <w:rPr/>
        <w:t>万</w:t>
      </w:r>
      <w:r>
        <w:rPr>
          <w:spacing w:val="-86"/>
        </w:rPr>
        <w:t> </w:t>
      </w:r>
      <w:r>
        <w:rPr/>
        <w:t>元。</w:t>
      </w:r>
    </w:p>
    <w:p>
      <w:pPr>
        <w:spacing w:line="240" w:lineRule="auto" w:before="4"/>
        <w:rPr>
          <w:rFonts w:ascii="宋体" w:hAnsi="宋体" w:cs="宋体" w:eastAsia="宋体" w:hint="default"/>
          <w:sz w:val="14"/>
          <w:szCs w:val="14"/>
        </w:rPr>
      </w:pPr>
    </w:p>
    <w:p>
      <w:pPr>
        <w:pStyle w:val="BodyText"/>
        <w:spacing w:line="300" w:lineRule="auto"/>
        <w:ind w:right="1128"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月，根据公司</w:t>
      </w:r>
      <w:r>
        <w:rPr>
          <w:rFonts w:ascii="Times New Roman" w:hAnsi="Times New Roman" w:cs="Times New Roman" w:eastAsia="Times New Roman" w:hint="default"/>
          <w:spacing w:val="-2"/>
        </w:rPr>
        <w:t>2007</w:t>
      </w:r>
      <w:r>
        <w:rPr>
          <w:spacing w:val="-2"/>
        </w:rPr>
        <w:t>年第一次临时股东大会决议和修改后章程以及中国证券监督管理委员会于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日下发</w:t>
      </w:r>
      <w:r>
        <w:rPr/>
        <w:t> 的《关于核准北京东华合创数码科技股份有限公司向秦劳、翟曙春、柏红、胡明炜、谢坤等</w:t>
      </w:r>
      <w:r>
        <w:rPr>
          <w:rFonts w:ascii="Times New Roman" w:hAnsi="Times New Roman" w:cs="Times New Roman" w:eastAsia="Times New Roman" w:hint="default"/>
        </w:rPr>
        <w:t>5</w:t>
      </w:r>
      <w:r>
        <w:rPr/>
        <w:t>人发行新股购买资产的批复》</w:t>
      </w:r>
    </w:p>
    <w:p>
      <w:pPr>
        <w:pStyle w:val="BodyText"/>
        <w:spacing w:line="309" w:lineRule="auto" w:before="13"/>
        <w:ind w:right="1130"/>
        <w:jc w:val="both"/>
      </w:pPr>
      <w:r>
        <w:rPr/>
        <w:t>（文号为</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[2008]78</w:t>
      </w:r>
      <w:r>
        <w:rPr/>
        <w:t>号</w:t>
      </w:r>
      <w:r>
        <w:rPr>
          <w:rFonts w:ascii="Times New Roman" w:hAnsi="Times New Roman" w:cs="Times New Roman" w:eastAsia="Times New Roman" w:hint="default"/>
        </w:rPr>
        <w:t>”</w:t>
      </w:r>
      <w:r>
        <w:rPr/>
        <w:t>）的规定，公司申请增加注册资本人民币</w:t>
      </w:r>
      <w:r>
        <w:rPr>
          <w:spacing w:val="59"/>
        </w:rPr>
        <w:t> </w:t>
      </w:r>
      <w:r>
        <w:rPr>
          <w:rFonts w:ascii="Times New Roman" w:hAnsi="Times New Roman" w:cs="Times New Roman" w:eastAsia="Times New Roman" w:hint="default"/>
        </w:rPr>
        <w:t>1,264</w:t>
      </w:r>
      <w:r>
        <w:rPr/>
        <w:t>万元，划分为每股人民币</w:t>
      </w:r>
      <w:r>
        <w:rPr>
          <w:rFonts w:ascii="Times New Roman" w:hAnsi="Times New Roman" w:cs="Times New Roman" w:eastAsia="Times New Roman" w:hint="default"/>
        </w:rPr>
        <w:t>1</w:t>
      </w:r>
      <w:r>
        <w:rPr/>
        <w:t>元的普通股</w:t>
      </w:r>
      <w:r>
        <w:rPr>
          <w:rFonts w:ascii="Times New Roman" w:hAnsi="Times New Roman" w:cs="Times New Roman" w:eastAsia="Times New Roman" w:hint="default"/>
        </w:rPr>
        <w:t>1,264</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万股，由自然人秦劳、翟曙春、柏红、胡明炜、谢坤等五人以所持有的北京联银通科技有限公司的股权认购，变更后的注册</w:t>
      </w:r>
      <w:r>
        <w:rPr>
          <w:spacing w:val="-68"/>
        </w:rPr>
        <w:t> </w:t>
      </w:r>
      <w:r>
        <w:rPr>
          <w:spacing w:val="-68"/>
        </w:rPr>
      </w:r>
      <w:r>
        <w:rPr/>
        <w:t>资本为人民币</w:t>
      </w:r>
      <w:r>
        <w:rPr>
          <w:rFonts w:ascii="Times New Roman" w:hAnsi="Times New Roman" w:cs="Times New Roman" w:eastAsia="Times New Roman" w:hint="default"/>
        </w:rPr>
        <w:t>14,199.503</w:t>
      </w:r>
      <w:r>
        <w:rPr/>
        <w:t>万元。经过上述股份变更事项后，公司股本为人民币</w:t>
      </w:r>
      <w:r>
        <w:rPr>
          <w:rFonts w:ascii="Times New Roman" w:hAnsi="Times New Roman" w:cs="Times New Roman" w:eastAsia="Times New Roman" w:hint="default"/>
        </w:rPr>
        <w:t>14,199.503</w:t>
      </w:r>
      <w:r>
        <w:rPr/>
        <w:t>万元。</w:t>
      </w:r>
    </w:p>
    <w:p>
      <w:pPr>
        <w:pStyle w:val="BodyText"/>
        <w:spacing w:line="300" w:lineRule="auto" w:before="161"/>
        <w:ind w:right="1128" w:firstLine="360"/>
        <w:jc w:val="both"/>
      </w:pPr>
      <w:r>
        <w:rPr/>
        <w:t>经公司于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月召开的</w:t>
      </w:r>
      <w:r>
        <w:rPr>
          <w:rFonts w:ascii="Times New Roman" w:hAnsi="Times New Roman" w:cs="Times New Roman" w:eastAsia="Times New Roman" w:hint="default"/>
        </w:rPr>
        <w:t>2007</w:t>
      </w:r>
      <w:r>
        <w:rPr/>
        <w:t>年度股东大会表决通过，公司按照</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日的股份总额</w:t>
      </w:r>
      <w:r>
        <w:rPr>
          <w:spacing w:val="-3"/>
        </w:rPr>
        <w:t> </w:t>
      </w:r>
      <w:r>
        <w:rPr>
          <w:rFonts w:ascii="Times New Roman" w:hAnsi="Times New Roman" w:cs="Times New Roman" w:eastAsia="Times New Roman" w:hint="default"/>
        </w:rPr>
        <w:t>12,935.503</w:t>
      </w:r>
      <w:r>
        <w:rPr/>
        <w:t>万股及向自然 </w:t>
      </w:r>
      <w:r>
        <w:rPr>
          <w:spacing w:val="-2"/>
        </w:rPr>
        <w:t>人秦劳、翟曙春、柏红、胡明炜、谢坤等五人定向增发</w:t>
      </w:r>
      <w:r>
        <w:rPr>
          <w:rFonts w:ascii="Times New Roman" w:hAnsi="Times New Roman" w:cs="Times New Roman" w:eastAsia="Times New Roman" w:hint="default"/>
          <w:spacing w:val="-2"/>
        </w:rPr>
        <w:t>1,264</w:t>
      </w:r>
      <w:r>
        <w:rPr>
          <w:spacing w:val="-2"/>
        </w:rPr>
        <w:t>万股共计</w:t>
      </w:r>
      <w:r>
        <w:rPr>
          <w:rFonts w:ascii="Times New Roman" w:hAnsi="Times New Roman" w:cs="Times New Roman" w:eastAsia="Times New Roman" w:hint="default"/>
          <w:spacing w:val="-2"/>
        </w:rPr>
        <w:t>14,199.503</w:t>
      </w:r>
      <w:r>
        <w:rPr>
          <w:spacing w:val="-2"/>
        </w:rPr>
        <w:t>万股为基数，以资本公积按</w:t>
      </w:r>
      <w:r>
        <w:rPr>
          <w:rFonts w:ascii="Times New Roman" w:hAnsi="Times New Roman" w:cs="Times New Roman" w:eastAsia="Times New Roman" w:hint="default"/>
          <w:spacing w:val="-2"/>
        </w:rPr>
        <w:t>10:10</w:t>
      </w:r>
      <w:r>
        <w:rPr>
          <w:spacing w:val="-2"/>
        </w:rPr>
        <w:t>的比例向全</w:t>
      </w:r>
      <w:r>
        <w:rPr>
          <w:spacing w:val="-52"/>
        </w:rPr>
        <w:t> </w:t>
      </w:r>
      <w:r>
        <w:rPr>
          <w:spacing w:val="-52"/>
        </w:rPr>
      </w:r>
      <w:r>
        <w:rPr/>
        <w:t>体股东转增股本，共增加股本</w:t>
      </w:r>
      <w:r>
        <w:rPr>
          <w:rFonts w:ascii="Times New Roman" w:hAnsi="Times New Roman" w:cs="Times New Roman" w:eastAsia="Times New Roman" w:hint="default"/>
        </w:rPr>
        <w:t>14,199.503</w:t>
      </w:r>
      <w:r>
        <w:rPr/>
        <w:t>万元。该增资事项完成后，公司的股本增加为人民币</w:t>
      </w:r>
      <w:r>
        <w:rPr>
          <w:spacing w:val="-3"/>
        </w:rPr>
        <w:t> </w:t>
      </w:r>
      <w:r>
        <w:rPr>
          <w:rFonts w:ascii="Times New Roman" w:hAnsi="Times New Roman" w:cs="Times New Roman" w:eastAsia="Times New Roman" w:hint="default"/>
        </w:rPr>
        <w:t>28,399.006</w:t>
      </w:r>
      <w:r>
        <w:rPr/>
        <w:t>万元。</w:t>
      </w:r>
    </w:p>
    <w:p>
      <w:pPr>
        <w:spacing w:line="240" w:lineRule="auto" w:before="12"/>
        <w:rPr>
          <w:rFonts w:ascii="宋体" w:hAnsi="宋体" w:cs="宋体" w:eastAsia="宋体" w:hint="default"/>
          <w:sz w:val="12"/>
          <w:szCs w:val="12"/>
        </w:rPr>
      </w:pPr>
    </w:p>
    <w:p>
      <w:pPr>
        <w:pStyle w:val="BodyText"/>
        <w:spacing w:line="300" w:lineRule="auto"/>
        <w:ind w:right="1128" w:firstLine="360"/>
        <w:jc w:val="both"/>
      </w:pPr>
      <w:r>
        <w:rPr>
          <w:spacing w:val="-2"/>
        </w:rPr>
        <w:t>经公司于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月召开的</w:t>
      </w:r>
      <w:r>
        <w:rPr>
          <w:rFonts w:ascii="Times New Roman" w:hAnsi="Times New Roman" w:cs="Times New Roman" w:eastAsia="Times New Roman" w:hint="default"/>
          <w:spacing w:val="-2"/>
        </w:rPr>
        <w:t>2008</w:t>
      </w:r>
      <w:r>
        <w:rPr>
          <w:spacing w:val="-2"/>
        </w:rPr>
        <w:t>年度股东大会表决通过，公司按照</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日的股本总额</w:t>
      </w:r>
      <w:r>
        <w:rPr>
          <w:rFonts w:ascii="Times New Roman" w:hAnsi="Times New Roman" w:cs="Times New Roman" w:eastAsia="Times New Roman" w:hint="default"/>
          <w:spacing w:val="-2"/>
        </w:rPr>
        <w:t>28,399.006</w:t>
      </w:r>
      <w:r>
        <w:rPr>
          <w:spacing w:val="-2"/>
        </w:rPr>
        <w:t>万元为基数，按</w:t>
      </w:r>
      <w:r>
        <w:rPr/>
        <w:t> </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3</w:t>
      </w:r>
      <w:r>
        <w:rPr/>
        <w:t>的比例以资本公积转增股本，按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2</w:t>
      </w:r>
      <w:r>
        <w:rPr/>
        <w:t>的比例向公司的全体股东派送红股，共增加股本</w:t>
      </w:r>
      <w:r>
        <w:rPr>
          <w:rFonts w:ascii="Times New Roman" w:hAnsi="Times New Roman" w:cs="Times New Roman" w:eastAsia="Times New Roman" w:hint="default"/>
        </w:rPr>
        <w:t>14,199.503</w:t>
      </w:r>
      <w:r>
        <w:rPr/>
        <w:t>万元。该增资事项完</w:t>
      </w:r>
      <w:r>
        <w:rPr>
          <w:spacing w:val="-84"/>
        </w:rPr>
        <w:t> </w:t>
      </w:r>
      <w:r>
        <w:rPr/>
        <w:t>成后，公司的股本增加为人民币</w:t>
      </w:r>
      <w:r>
        <w:rPr>
          <w:rFonts w:ascii="Times New Roman" w:hAnsi="Times New Roman" w:cs="Times New Roman" w:eastAsia="Times New Roman" w:hint="default"/>
        </w:rPr>
        <w:t>42,598.509</w:t>
      </w:r>
      <w:r>
        <w:rPr/>
        <w:t>万元。</w:t>
      </w:r>
    </w:p>
    <w:p>
      <w:pPr>
        <w:spacing w:line="240" w:lineRule="auto" w:before="12"/>
        <w:rPr>
          <w:rFonts w:ascii="宋体" w:hAnsi="宋体" w:cs="宋体" w:eastAsia="宋体" w:hint="default"/>
          <w:sz w:val="12"/>
          <w:szCs w:val="12"/>
        </w:rPr>
      </w:pPr>
    </w:p>
    <w:p>
      <w:pPr>
        <w:pStyle w:val="BodyText"/>
        <w:spacing w:line="300" w:lineRule="auto"/>
        <w:ind w:right="1133" w:firstLine="36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日，经北京市工商行政管理局核准变更登记，公司名称由</w:t>
      </w:r>
      <w:r>
        <w:rPr>
          <w:rFonts w:ascii="Times New Roman" w:hAnsi="Times New Roman" w:cs="Times New Roman" w:eastAsia="Times New Roman" w:hint="default"/>
          <w:spacing w:val="-2"/>
        </w:rPr>
        <w:t>“</w:t>
      </w:r>
      <w:r>
        <w:rPr>
          <w:spacing w:val="-2"/>
        </w:rPr>
        <w:t>北京东华合创数码科技股份有限公司</w:t>
      </w:r>
      <w:r>
        <w:rPr>
          <w:rFonts w:ascii="Times New Roman" w:hAnsi="Times New Roman" w:cs="Times New Roman" w:eastAsia="Times New Roman" w:hint="default"/>
          <w:spacing w:val="-2"/>
        </w:rPr>
        <w:t>”</w:t>
      </w:r>
      <w:r>
        <w:rPr>
          <w:spacing w:val="-2"/>
        </w:rPr>
        <w:t>变更为</w:t>
      </w:r>
      <w:r>
        <w:rPr>
          <w:rFonts w:ascii="Times New Roman" w:hAnsi="Times New Roman" w:cs="Times New Roman" w:eastAsia="Times New Roman" w:hint="default"/>
          <w:spacing w:val="-2"/>
        </w:rPr>
        <w:t>“</w:t>
      </w:r>
      <w:r>
        <w:rPr>
          <w:spacing w:val="-2"/>
        </w:rPr>
        <w:t>东</w:t>
      </w:r>
      <w:r>
        <w:rPr/>
        <w:t> 华软件股份公司</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2"/>
          <w:szCs w:val="12"/>
        </w:rPr>
      </w:pPr>
    </w:p>
    <w:p>
      <w:pPr>
        <w:pStyle w:val="BodyText"/>
        <w:spacing w:line="300" w:lineRule="auto"/>
        <w:ind w:right="986" w:firstLine="360"/>
        <w:jc w:val="left"/>
      </w:pPr>
      <w:r>
        <w:rPr>
          <w:spacing w:val="-2"/>
        </w:rPr>
        <w:t>根据中国证券监督管理委员会于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日下发的《关于核准东华软件股份公司发行股份购买资产的批复》（文号：</w:t>
      </w:r>
      <w:r>
        <w:rPr/>
        <w:t> </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[2011]96</w:t>
      </w:r>
      <w:r>
        <w:rPr/>
        <w:t>号</w:t>
      </w:r>
      <w:r>
        <w:rPr>
          <w:rFonts w:ascii="Times New Roman" w:hAnsi="Times New Roman" w:cs="Times New Roman" w:eastAsia="Times New Roman" w:hint="default"/>
        </w:rPr>
        <w:t>”</w:t>
      </w:r>
      <w:r>
        <w:rPr/>
        <w:t>）的规定，按照公司与北京神州新桥科技有限公司自然人股东张秀珍、张建华、江海标、王佺、吕兴 海五人确定的交易价格</w:t>
      </w:r>
      <w:r>
        <w:rPr>
          <w:rFonts w:ascii="Times New Roman" w:hAnsi="Times New Roman" w:cs="Times New Roman" w:eastAsia="Times New Roman" w:hint="default"/>
        </w:rPr>
        <w:t>32,000</w:t>
      </w:r>
      <w:r>
        <w:rPr/>
        <w:t>万元，公司以</w:t>
      </w:r>
      <w:r>
        <w:rPr>
          <w:rFonts w:ascii="Times New Roman" w:hAnsi="Times New Roman" w:cs="Times New Roman" w:eastAsia="Times New Roman" w:hint="default"/>
        </w:rPr>
        <w:t>19.63</w:t>
      </w:r>
      <w:r>
        <w:rPr/>
        <w:t>元</w:t>
      </w:r>
      <w:r>
        <w:rPr>
          <w:rFonts w:ascii="Times New Roman" w:hAnsi="Times New Roman" w:cs="Times New Roman" w:eastAsia="Times New Roman" w:hint="default"/>
        </w:rPr>
        <w:t>/</w:t>
      </w:r>
      <w:r>
        <w:rPr/>
        <w:t>股的价格向张秀珍、张建华、江海标、王佺、吕兴海五人合计发行股份</w:t>
      </w:r>
      <w:r>
        <w:rPr>
          <w:spacing w:val="-51"/>
        </w:rPr>
        <w:t> </w:t>
      </w:r>
      <w:r>
        <w:rPr>
          <w:spacing w:val="-51"/>
        </w:rPr>
      </w:r>
      <w:r>
        <w:rPr>
          <w:rFonts w:ascii="Times New Roman" w:hAnsi="Times New Roman" w:cs="Times New Roman" w:eastAsia="Times New Roman" w:hint="default"/>
        </w:rPr>
        <w:t>16,301,577</w:t>
      </w:r>
      <w:r>
        <w:rPr/>
        <w:t>股，作为公司收购北京神州新桥科技有限公司</w:t>
      </w:r>
      <w:r>
        <w:rPr>
          <w:rFonts w:ascii="Times New Roman" w:hAnsi="Times New Roman" w:cs="Times New Roman" w:eastAsia="Times New Roman" w:hint="default"/>
        </w:rPr>
        <w:t>100%</w:t>
      </w:r>
      <w:r>
        <w:rPr/>
        <w:t>股权的支付对价。根据中登深圳分公司出具的《证券登记确认 书》，公司于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日办理完毕本次发行股份的证券登记。经过上述股份变更事项后，公司股本为人民币</w:t>
      </w:r>
      <w:r>
        <w:rPr>
          <w:rFonts w:ascii="Times New Roman" w:hAnsi="Times New Roman" w:cs="Times New Roman" w:eastAsia="Times New Roman" w:hint="default"/>
        </w:rPr>
        <w:t>44,228.6667 </w:t>
      </w:r>
      <w:r>
        <w:rPr/>
        <w:t>万元。</w:t>
      </w:r>
    </w:p>
    <w:p>
      <w:pPr>
        <w:spacing w:line="240" w:lineRule="auto" w:before="4"/>
        <w:rPr>
          <w:rFonts w:ascii="宋体" w:hAnsi="宋体" w:cs="宋体" w:eastAsia="宋体" w:hint="default"/>
          <w:sz w:val="14"/>
          <w:szCs w:val="14"/>
        </w:rPr>
      </w:pPr>
    </w:p>
    <w:p>
      <w:pPr>
        <w:pStyle w:val="BodyText"/>
        <w:spacing w:line="300" w:lineRule="auto"/>
        <w:ind w:right="1133" w:firstLine="360"/>
        <w:jc w:val="both"/>
      </w:pPr>
      <w:r>
        <w:rPr>
          <w:spacing w:val="-2"/>
        </w:rPr>
        <w:t>经公司于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05</w:t>
      </w:r>
      <w:r>
        <w:rPr>
          <w:spacing w:val="-2"/>
        </w:rPr>
        <w:t>月</w:t>
      </w:r>
      <w:r>
        <w:rPr>
          <w:rFonts w:ascii="Times New Roman" w:hAnsi="Times New Roman" w:cs="Times New Roman" w:eastAsia="Times New Roman" w:hint="default"/>
          <w:spacing w:val="-2"/>
        </w:rPr>
        <w:t>18</w:t>
      </w:r>
      <w:r>
        <w:rPr>
          <w:spacing w:val="-2"/>
        </w:rPr>
        <w:t>日召开的公司</w:t>
      </w:r>
      <w:r>
        <w:rPr>
          <w:rFonts w:ascii="Times New Roman" w:hAnsi="Times New Roman" w:cs="Times New Roman" w:eastAsia="Times New Roman" w:hint="default"/>
          <w:spacing w:val="-2"/>
        </w:rPr>
        <w:t>2010</w:t>
      </w:r>
      <w:r>
        <w:rPr>
          <w:spacing w:val="-2"/>
        </w:rPr>
        <w:t>年度股东大会表决通过，以公司总股本</w:t>
      </w:r>
      <w:r>
        <w:rPr>
          <w:rFonts w:ascii="Times New Roman" w:hAnsi="Times New Roman" w:cs="Times New Roman" w:eastAsia="Times New Roman" w:hint="default"/>
          <w:spacing w:val="-2"/>
        </w:rPr>
        <w:t>442,286,667</w:t>
      </w:r>
      <w:r>
        <w:rPr>
          <w:spacing w:val="-2"/>
        </w:rPr>
        <w:t>股为基数，向全体股东每</w:t>
      </w:r>
      <w:r>
        <w:rPr>
          <w:rFonts w:ascii="Times New Roman" w:hAnsi="Times New Roman" w:cs="Times New Roman" w:eastAsia="Times New Roman" w:hint="default"/>
          <w:spacing w:val="-2"/>
        </w:rPr>
        <w:t>10 </w:t>
      </w:r>
      <w:r>
        <w:rPr/>
        <w:t>股送</w:t>
      </w:r>
      <w:r>
        <w:rPr>
          <w:rFonts w:ascii="Times New Roman" w:hAnsi="Times New Roman" w:cs="Times New Roman" w:eastAsia="Times New Roman" w:hint="default"/>
        </w:rPr>
        <w:t>2</w:t>
      </w:r>
      <w:r>
        <w:rPr/>
        <w:t>股红股，共增加股本</w:t>
      </w:r>
      <w:r>
        <w:rPr>
          <w:rFonts w:ascii="Times New Roman" w:hAnsi="Times New Roman" w:cs="Times New Roman" w:eastAsia="Times New Roman" w:hint="default"/>
        </w:rPr>
        <w:t>8,845.7333</w:t>
      </w:r>
      <w:r>
        <w:rPr/>
        <w:t>万元，变更后公司股本为人民币</w:t>
      </w:r>
      <w:r>
        <w:rPr>
          <w:rFonts w:ascii="Times New Roman" w:hAnsi="Times New Roman" w:cs="Times New Roman" w:eastAsia="Times New Roman" w:hint="default"/>
        </w:rPr>
        <w:t>53,074.4</w:t>
      </w:r>
      <w:r>
        <w:rPr/>
        <w:t>万元。</w:t>
      </w:r>
    </w:p>
    <w:p>
      <w:pPr>
        <w:spacing w:line="240" w:lineRule="auto" w:before="12"/>
        <w:rPr>
          <w:rFonts w:ascii="宋体" w:hAnsi="宋体" w:cs="宋体" w:eastAsia="宋体" w:hint="default"/>
          <w:sz w:val="12"/>
          <w:szCs w:val="12"/>
        </w:rPr>
      </w:pPr>
    </w:p>
    <w:p>
      <w:pPr>
        <w:pStyle w:val="BodyText"/>
        <w:spacing w:line="300" w:lineRule="auto"/>
        <w:ind w:right="1128" w:firstLine="360"/>
        <w:jc w:val="both"/>
      </w:pPr>
      <w:r>
        <w:rPr/>
        <w:t>经公司于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日召开的公司</w:t>
      </w:r>
      <w:r>
        <w:rPr>
          <w:rFonts w:ascii="Times New Roman" w:hAnsi="Times New Roman" w:cs="Times New Roman" w:eastAsia="Times New Roman" w:hint="default"/>
        </w:rPr>
        <w:t>2011</w:t>
      </w:r>
      <w:r>
        <w:rPr/>
        <w:t>年度股东大会表决通过，以公司总股本</w:t>
      </w:r>
      <w:r>
        <w:rPr>
          <w:rFonts w:ascii="Times New Roman" w:hAnsi="Times New Roman" w:cs="Times New Roman" w:eastAsia="Times New Roman" w:hint="default"/>
        </w:rPr>
        <w:t>530,744,000</w:t>
      </w:r>
      <w:r>
        <w:rPr/>
        <w:t>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rFonts w:ascii="Times New Roman" w:hAnsi="Times New Roman" w:cs="Times New Roman" w:eastAsia="Times New Roman" w:hint="default"/>
        </w:rPr>
        <w:t>3</w:t>
      </w:r>
      <w:r>
        <w:rPr/>
        <w:t>股红股，共增加股本</w:t>
      </w:r>
      <w:r>
        <w:rPr>
          <w:rFonts w:ascii="Times New Roman" w:hAnsi="Times New Roman" w:cs="Times New Roman" w:eastAsia="Times New Roman" w:hint="default"/>
        </w:rPr>
        <w:t>15,922.32</w:t>
      </w:r>
      <w:r>
        <w:rPr/>
        <w:t>万元，变更后公司股本为人民币</w:t>
      </w:r>
      <w:r>
        <w:rPr>
          <w:rFonts w:ascii="Times New Roman" w:hAnsi="Times New Roman" w:cs="Times New Roman" w:eastAsia="Times New Roman" w:hint="default"/>
        </w:rPr>
        <w:t>68,996.72</w:t>
      </w:r>
      <w:r>
        <w:rPr/>
        <w:t>万元。</w:t>
      </w:r>
    </w:p>
    <w:p>
      <w:pPr>
        <w:spacing w:line="240" w:lineRule="auto" w:before="13"/>
        <w:rPr>
          <w:rFonts w:ascii="宋体" w:hAnsi="宋体" w:cs="宋体" w:eastAsia="宋体" w:hint="default"/>
          <w:sz w:val="12"/>
          <w:szCs w:val="12"/>
        </w:rPr>
      </w:pPr>
    </w:p>
    <w:p>
      <w:pPr>
        <w:pStyle w:val="BodyText"/>
        <w:spacing w:line="300" w:lineRule="auto"/>
        <w:ind w:right="1134" w:firstLine="360"/>
        <w:jc w:val="both"/>
      </w:pPr>
      <w:r>
        <w:rPr/>
        <w:t>根据公司股票期权激励计划的规定，</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月公司股票期权激励计划第一期行权的</w:t>
      </w:r>
      <w:r>
        <w:rPr>
          <w:rFonts w:ascii="Times New Roman" w:hAnsi="Times New Roman" w:cs="Times New Roman" w:eastAsia="Times New Roman" w:hint="default"/>
        </w:rPr>
        <w:t>432</w:t>
      </w:r>
      <w:r>
        <w:rPr/>
        <w:t>名激励对象缴纳出资增加注册 资本</w:t>
      </w:r>
      <w:r>
        <w:rPr>
          <w:rFonts w:ascii="Times New Roman" w:hAnsi="Times New Roman" w:cs="Times New Roman" w:eastAsia="Times New Roman" w:hint="default"/>
        </w:rPr>
        <w:t>4,336,410.00</w:t>
      </w:r>
      <w:r>
        <w:rPr/>
        <w:t>元，变更后公司股本为人民币</w:t>
      </w:r>
      <w:r>
        <w:rPr>
          <w:rFonts w:ascii="Times New Roman" w:hAnsi="Times New Roman" w:cs="Times New Roman" w:eastAsia="Times New Roman" w:hint="default"/>
        </w:rPr>
        <w:t>694,303,610</w:t>
      </w:r>
      <w:r>
        <w:rPr/>
        <w:t>元。</w:t>
      </w:r>
    </w:p>
    <w:p>
      <w:pPr>
        <w:spacing w:line="240" w:lineRule="auto" w:before="12"/>
        <w:rPr>
          <w:rFonts w:ascii="宋体" w:hAnsi="宋体" w:cs="宋体" w:eastAsia="宋体" w:hint="default"/>
          <w:sz w:val="12"/>
          <w:szCs w:val="12"/>
        </w:rPr>
      </w:pPr>
    </w:p>
    <w:p>
      <w:pPr>
        <w:pStyle w:val="BodyText"/>
        <w:spacing w:line="300" w:lineRule="auto"/>
        <w:ind w:right="1128" w:firstLine="360"/>
        <w:jc w:val="both"/>
      </w:pPr>
      <w:r>
        <w:rPr/>
        <w:t>根据公司股票期权激励计划的规定，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月股票期权激励计划第一期行权的</w:t>
      </w:r>
      <w:r>
        <w:rPr>
          <w:rFonts w:ascii="Times New Roman" w:hAnsi="Times New Roman" w:cs="Times New Roman" w:eastAsia="Times New Roman" w:hint="default"/>
        </w:rPr>
        <w:t>1</w:t>
      </w:r>
      <w:r>
        <w:rPr/>
        <w:t>名激励对象和第二期行权的</w:t>
      </w:r>
      <w:r>
        <w:rPr>
          <w:rFonts w:ascii="Times New Roman" w:hAnsi="Times New Roman" w:cs="Times New Roman" w:eastAsia="Times New Roman" w:hint="default"/>
        </w:rPr>
        <w:t>339</w:t>
      </w:r>
      <w:r>
        <w:rPr/>
        <w:t>名激励 对象出资增加注册资本</w:t>
      </w:r>
      <w:r>
        <w:rPr>
          <w:rFonts w:ascii="Times New Roman" w:hAnsi="Times New Roman" w:cs="Times New Roman" w:eastAsia="Times New Roman" w:hint="default"/>
        </w:rPr>
        <w:t>4,295,460.00</w:t>
      </w:r>
      <w:r>
        <w:rPr/>
        <w:t>元，变更后公司股本为人民币</w:t>
      </w:r>
      <w:r>
        <w:rPr>
          <w:rFonts w:ascii="Times New Roman" w:hAnsi="Times New Roman" w:cs="Times New Roman" w:eastAsia="Times New Roman" w:hint="default"/>
        </w:rPr>
        <w:t>698,599,070</w:t>
      </w:r>
      <w:r>
        <w:rPr/>
        <w:t>元。</w:t>
      </w:r>
    </w:p>
    <w:p>
      <w:pPr>
        <w:spacing w:line="240" w:lineRule="auto" w:before="12"/>
        <w:rPr>
          <w:rFonts w:ascii="宋体" w:hAnsi="宋体" w:cs="宋体" w:eastAsia="宋体" w:hint="default"/>
          <w:sz w:val="12"/>
          <w:szCs w:val="12"/>
        </w:rPr>
      </w:pPr>
    </w:p>
    <w:p>
      <w:pPr>
        <w:pStyle w:val="BodyText"/>
        <w:spacing w:line="240" w:lineRule="auto"/>
        <w:ind w:left="513" w:right="986"/>
        <w:jc w:val="left"/>
      </w:pPr>
      <w:r>
        <w:rPr>
          <w:spacing w:val="-3"/>
        </w:rPr>
        <w:t>经中国证券监督管理委员会证监许可</w:t>
      </w:r>
      <w:r>
        <w:rPr>
          <w:rFonts w:ascii="Times New Roman" w:hAnsi="Times New Roman" w:cs="Times New Roman" w:eastAsia="Times New Roman" w:hint="default"/>
          <w:spacing w:val="-3"/>
        </w:rPr>
        <w:t>[2013]845</w:t>
      </w:r>
      <w:r>
        <w:rPr>
          <w:spacing w:val="-3"/>
        </w:rPr>
        <w:t>号文核准，公司于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26  </w:t>
      </w:r>
      <w:r>
        <w:rPr/>
        <w:t>日公开发行了 </w:t>
      </w:r>
      <w:r>
        <w:rPr>
          <w:rFonts w:ascii="Times New Roman" w:hAnsi="Times New Roman" w:cs="Times New Roman" w:eastAsia="Times New Roman" w:hint="default"/>
        </w:rPr>
        <w:t>1,000 </w:t>
      </w:r>
      <w:r>
        <w:rPr>
          <w:rFonts w:ascii="Times New Roman" w:hAnsi="Times New Roman" w:cs="Times New Roman" w:eastAsia="Times New Roman" w:hint="default"/>
          <w:spacing w:val="29"/>
        </w:rPr>
        <w:t> </w:t>
      </w:r>
      <w:r>
        <w:rPr/>
        <w:t>万张可转换公</w:t>
      </w:r>
    </w:p>
    <w:p>
      <w:pPr>
        <w:pStyle w:val="BodyText"/>
        <w:spacing w:line="300" w:lineRule="auto" w:before="63"/>
        <w:ind w:right="986"/>
        <w:jc w:val="left"/>
      </w:pPr>
      <w:r>
        <w:rPr/>
        <w:t>司债券，每张面值 </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100,000</w:t>
      </w:r>
      <w:r>
        <w:rPr/>
        <w:t>万元。转股起止日：</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7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30</w:t>
      </w:r>
      <w:r>
        <w:rPr/>
        <w:t>日，可转换公司债券已转股</w:t>
      </w:r>
      <w:r>
        <w:rPr>
          <w:rFonts w:ascii="Times New Roman" w:hAnsi="Times New Roman" w:cs="Times New Roman" w:eastAsia="Times New Roman" w:hint="default"/>
        </w:rPr>
        <w:t>36,442,301</w:t>
      </w:r>
      <w:r>
        <w:rPr/>
        <w:t>股，转股后公司总股本为</w:t>
      </w:r>
      <w:r>
        <w:rPr>
          <w:rFonts w:ascii="Times New Roman" w:hAnsi="Times New Roman" w:cs="Times New Roman" w:eastAsia="Times New Roman" w:hint="default"/>
        </w:rPr>
        <w:t>735,041,371</w:t>
      </w:r>
      <w:r>
        <w:rPr/>
        <w:t>股。根据公司于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2013</w:t>
      </w:r>
      <w:r>
        <w:rPr/>
        <w:t>年 </w:t>
      </w:r>
      <w:r>
        <w:rPr>
          <w:spacing w:val="-4"/>
        </w:rPr>
        <w:t>度股东大会决议，截止股权登记日</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30</w:t>
      </w:r>
      <w:r>
        <w:rPr>
          <w:spacing w:val="-4"/>
        </w:rPr>
        <w:t>日，公司总股本 </w:t>
      </w:r>
      <w:r>
        <w:rPr>
          <w:rFonts w:ascii="Times New Roman" w:hAnsi="Times New Roman" w:cs="Times New Roman" w:eastAsia="Times New Roman" w:hint="default"/>
          <w:spacing w:val="-3"/>
        </w:rPr>
        <w:t>735,041,371</w:t>
      </w:r>
      <w:r>
        <w:rPr>
          <w:spacing w:val="-3"/>
        </w:rPr>
        <w:t>股，以资本公积金向全体股东每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股， 共计转增</w:t>
      </w:r>
      <w:r>
        <w:rPr>
          <w:rFonts w:ascii="Times New Roman" w:hAnsi="Times New Roman" w:cs="Times New Roman" w:eastAsia="Times New Roman" w:hint="default"/>
        </w:rPr>
        <w:t>735,041,371</w:t>
      </w:r>
      <w:r>
        <w:rPr>
          <w:rFonts w:ascii="Times New Roman" w:hAnsi="Times New Roman" w:cs="Times New Roman" w:eastAsia="Times New Roman" w:hint="default"/>
          <w:spacing w:val="37"/>
        </w:rPr>
        <w:t> </w:t>
      </w:r>
      <w:r>
        <w:rPr/>
        <w:t>股。变更后股本为人民币</w:t>
      </w:r>
      <w:r>
        <w:rPr>
          <w:rFonts w:ascii="Times New Roman" w:hAnsi="Times New Roman" w:cs="Times New Roman" w:eastAsia="Times New Roman" w:hint="default"/>
        </w:rPr>
        <w:t>1,470,082,742</w:t>
      </w:r>
      <w:r>
        <w:rPr/>
        <w:t>元。</w:t>
      </w:r>
    </w:p>
    <w:p>
      <w:pPr>
        <w:spacing w:line="240" w:lineRule="auto" w:before="12"/>
        <w:rPr>
          <w:rFonts w:ascii="宋体" w:hAnsi="宋体" w:cs="宋体" w:eastAsia="宋体" w:hint="default"/>
          <w:sz w:val="12"/>
          <w:szCs w:val="12"/>
        </w:rPr>
      </w:pPr>
    </w:p>
    <w:p>
      <w:pPr>
        <w:pStyle w:val="BodyText"/>
        <w:spacing w:line="240" w:lineRule="auto"/>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spacing w:val="-1"/>
        </w:rPr>
        <w:t>年</w:t>
      </w:r>
      <w:r>
        <w:rPr>
          <w:rFonts w:ascii="Times New Roman" w:hAnsi="Times New Roman" w:cs="Times New Roman" w:eastAsia="Times New Roman" w:hint="default"/>
          <w:spacing w:val="1"/>
        </w:rPr>
        <w:t>6</w:t>
      </w:r>
      <w:r>
        <w:rPr/>
        <w:t>月</w:t>
      </w:r>
      <w:r>
        <w:rPr>
          <w:spacing w:val="-72"/>
        </w:rPr>
        <w:t>，</w:t>
      </w:r>
      <w:r>
        <w:rPr/>
        <w:t>根据公</w:t>
      </w:r>
      <w:r>
        <w:rPr>
          <w:spacing w:val="-3"/>
        </w:rPr>
        <w:t>司</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13</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1"/>
        </w:rPr>
        <w:t>6</w:t>
      </w:r>
      <w:r>
        <w:rPr/>
        <w:t>日召开的</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13</w:t>
      </w:r>
      <w:r>
        <w:rPr/>
        <w:t>年第一次临</w:t>
      </w:r>
      <w:r>
        <w:rPr>
          <w:spacing w:val="-3"/>
        </w:rPr>
        <w:t>时</w:t>
      </w:r>
      <w:r>
        <w:rPr/>
        <w:t>股东大会决议</w:t>
      </w:r>
      <w:r>
        <w:rPr>
          <w:spacing w:val="-72"/>
        </w:rPr>
        <w:t>，</w:t>
      </w:r>
      <w:r>
        <w:rPr/>
        <w:t>经中国证券监</w:t>
      </w:r>
      <w:r>
        <w:rPr>
          <w:spacing w:val="2"/>
        </w:rPr>
        <w:t>督</w:t>
      </w:r>
      <w:r>
        <w:rPr/>
        <w:t>管理委员会证监许</w:t>
      </w:r>
      <w:r>
        <w:rPr>
          <w:spacing w:val="1"/>
        </w:rPr>
        <w:t>可</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14</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126"/>
        <w:jc w:val="both"/>
      </w:pPr>
      <w:r>
        <w:rPr>
          <w:rFonts w:ascii="Times New Roman" w:hAnsi="Times New Roman" w:cs="Times New Roman" w:eastAsia="Times New Roman" w:hint="default"/>
        </w:rPr>
        <w:t>343</w:t>
      </w:r>
      <w:r>
        <w:rPr/>
        <w:t>号《关于核准东华软件股份公司向黄麟雏等发行股份购买资产并募集配套资金的批复》核准，公司获准向北京威锐达测</w:t>
      </w:r>
      <w:r>
        <w:rPr>
          <w:spacing w:val="-85"/>
        </w:rPr>
        <w:t> </w:t>
      </w:r>
      <w:r>
        <w:rPr>
          <w:spacing w:val="-85"/>
        </w:rPr>
      </w:r>
      <w:r>
        <w:rPr/>
        <w:t>控系统有限公司股东黄麟雏等</w:t>
      </w:r>
      <w:r>
        <w:rPr>
          <w:rFonts w:ascii="Times New Roman" w:hAnsi="Times New Roman" w:cs="Times New Roman" w:eastAsia="Times New Roman" w:hint="default"/>
        </w:rPr>
        <w:t>18</w:t>
      </w:r>
      <w:r>
        <w:rPr/>
        <w:t>名自然人发行人民币普通股（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5"/>
        </w:rPr>
        <w:t> </w:t>
      </w:r>
      <w:r>
        <w:rPr/>
        <w:t>股）</w:t>
      </w:r>
      <w:r>
        <w:rPr>
          <w:rFonts w:ascii="Times New Roman" w:hAnsi="Times New Roman" w:cs="Times New Roman" w:eastAsia="Times New Roman" w:hint="default"/>
        </w:rPr>
        <w:t>29,212,592</w:t>
      </w:r>
      <w:r>
        <w:rPr/>
        <w:t>股，以及配融资支付现金，购买黄麟雏等</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名自然人持有的北京威锐达测控系统有限公司</w:t>
      </w:r>
      <w:r>
        <w:rPr>
          <w:rFonts w:ascii="Times New Roman" w:hAnsi="Times New Roman" w:cs="Times New Roman" w:eastAsia="Times New Roman" w:hint="default"/>
        </w:rPr>
        <w:t>100%</w:t>
      </w:r>
      <w:r>
        <w:rPr/>
        <w:t>的股权。公司募集配套资金增加注册资本人民币</w:t>
      </w:r>
      <w:r>
        <w:rPr>
          <w:rFonts w:ascii="Times New Roman" w:hAnsi="Times New Roman" w:cs="Times New Roman" w:eastAsia="Times New Roman" w:hint="default"/>
        </w:rPr>
        <w:t>10,712,789</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73"/>
        </w:rPr>
        <w:t> </w:t>
      </w:r>
      <w:r>
        <w:rPr>
          <w:rFonts w:ascii="Times New Roman" w:hAnsi="Times New Roman" w:cs="Times New Roman" w:eastAsia="Times New Roman" w:hint="default"/>
          <w:spacing w:val="10"/>
        </w:rPr>
        <w:t>1</w:t>
      </w:r>
      <w:r>
        <w:rPr>
          <w:spacing w:val="10"/>
        </w:rPr>
        <w:t>日至</w:t>
      </w:r>
      <w:r>
        <w:rPr>
          <w:rFonts w:ascii="Times New Roman" w:hAnsi="Times New Roman" w:cs="Times New Roman" w:eastAsia="Times New Roman" w:hint="default"/>
          <w:spacing w:val="10"/>
        </w:rPr>
        <w:t>12</w:t>
      </w:r>
      <w:r>
        <w:rPr>
          <w:spacing w:val="10"/>
        </w:rPr>
        <w:t>月</w:t>
      </w:r>
      <w:r>
        <w:rPr>
          <w:spacing w:val="-74"/>
        </w:rPr>
        <w:t> </w:t>
      </w:r>
      <w:r>
        <w:rPr>
          <w:rFonts w:ascii="Times New Roman" w:hAnsi="Times New Roman" w:cs="Times New Roman" w:eastAsia="Times New Roman" w:hint="default"/>
          <w:spacing w:val="4"/>
        </w:rPr>
        <w:t>31</w:t>
      </w:r>
      <w:r>
        <w:rPr>
          <w:spacing w:val="4"/>
        </w:rPr>
        <w:t>日</w:t>
      </w:r>
      <w:r>
        <w:rPr>
          <w:spacing w:val="-74"/>
        </w:rPr>
        <w:t> </w:t>
      </w:r>
      <w:r>
        <w:rPr/>
        <w:t>，</w:t>
      </w:r>
      <w:r>
        <w:rPr>
          <w:spacing w:val="-74"/>
        </w:rPr>
        <w:t> </w:t>
      </w:r>
      <w:r>
        <w:rPr>
          <w:spacing w:val="14"/>
        </w:rPr>
        <w:t>公司发行的可转换公司债券共计转股</w:t>
      </w:r>
      <w:r>
        <w:rPr>
          <w:spacing w:val="-69"/>
        </w:rPr>
        <w:t> </w:t>
      </w:r>
      <w:r>
        <w:rPr>
          <w:rFonts w:ascii="Times New Roman" w:hAnsi="Times New Roman" w:cs="Times New Roman" w:eastAsia="Times New Roman" w:hint="default"/>
        </w:rPr>
        <w:t>4,798,825</w:t>
      </w:r>
      <w:r>
        <w:rPr>
          <w:rFonts w:ascii="Times New Roman" w:hAnsi="Times New Roman" w:cs="Times New Roman" w:eastAsia="Times New Roman" w:hint="default"/>
          <w:spacing w:val="-27"/>
        </w:rPr>
        <w:t> </w:t>
      </w:r>
      <w:r>
        <w:rPr>
          <w:spacing w:val="7"/>
        </w:rPr>
        <w:t>股。</w:t>
      </w:r>
      <w:r>
        <w:rPr>
          <w:spacing w:val="-74"/>
        </w:rPr>
        <w:t> </w:t>
      </w:r>
      <w:r>
        <w:rPr>
          <w:spacing w:val="13"/>
        </w:rPr>
        <w:t>经过上述变更后，</w:t>
      </w:r>
      <w:r>
        <w:rPr>
          <w:spacing w:val="-74"/>
        </w:rPr>
        <w:t> </w:t>
      </w:r>
      <w:r>
        <w:rPr>
          <w:spacing w:val="14"/>
        </w:rPr>
        <w:t>公司的股本总额为人民币</w:t>
      </w:r>
      <w:r>
        <w:rPr/>
        <w:t> </w:t>
      </w:r>
      <w:r>
        <w:rPr>
          <w:rFonts w:ascii="Times New Roman" w:hAnsi="Times New Roman" w:cs="Times New Roman" w:eastAsia="Times New Roman" w:hint="default"/>
        </w:rPr>
        <w:t>1,514,806,948</w:t>
      </w:r>
      <w:r>
        <w:rPr/>
        <w:t>元。</w:t>
      </w:r>
    </w:p>
    <w:p>
      <w:pPr>
        <w:spacing w:line="240" w:lineRule="auto" w:before="12"/>
        <w:rPr>
          <w:rFonts w:ascii="宋体" w:hAnsi="宋体" w:cs="宋体" w:eastAsia="宋体" w:hint="default"/>
          <w:sz w:val="12"/>
          <w:szCs w:val="12"/>
        </w:rPr>
      </w:pPr>
    </w:p>
    <w:p>
      <w:pPr>
        <w:pStyle w:val="BodyText"/>
        <w:spacing w:line="300" w:lineRule="auto"/>
        <w:ind w:right="1126"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月，公司股权激励第二期行权的</w:t>
      </w:r>
      <w:r>
        <w:rPr>
          <w:rFonts w:ascii="Times New Roman" w:hAnsi="Times New Roman" w:cs="Times New Roman" w:eastAsia="Times New Roman" w:hint="default"/>
          <w:spacing w:val="-2"/>
        </w:rPr>
        <w:t>1</w:t>
      </w:r>
      <w:r>
        <w:rPr>
          <w:spacing w:val="-2"/>
        </w:rPr>
        <w:t>名激励对象缴纳出资增加注册资本人民币</w:t>
      </w:r>
      <w:r>
        <w:rPr>
          <w:rFonts w:ascii="Times New Roman" w:hAnsi="Times New Roman" w:cs="Times New Roman" w:eastAsia="Times New Roman" w:hint="default"/>
          <w:spacing w:val="-2"/>
        </w:rPr>
        <w:t>62,400.00</w:t>
      </w:r>
      <w:r>
        <w:rPr>
          <w:spacing w:val="-2"/>
        </w:rPr>
        <w:t>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月，公司股权</w:t>
      </w:r>
      <w:r>
        <w:rPr/>
        <w:t> 激励第三期行权的</w:t>
      </w:r>
      <w:r>
        <w:rPr>
          <w:rFonts w:ascii="Times New Roman" w:hAnsi="Times New Roman" w:cs="Times New Roman" w:eastAsia="Times New Roman" w:hint="default"/>
        </w:rPr>
        <w:t>333</w:t>
      </w:r>
      <w:r>
        <w:rPr/>
        <w:t>名激励对象缴纳出资增加注册资本</w:t>
      </w:r>
      <w:r>
        <w:rPr>
          <w:rFonts w:ascii="Times New Roman" w:hAnsi="Times New Roman" w:cs="Times New Roman" w:eastAsia="Times New Roman" w:hint="default"/>
        </w:rPr>
        <w:t>5,589,480</w:t>
      </w:r>
      <w:r>
        <w:rPr/>
        <w:t>元，增加注册资本</w:t>
      </w:r>
      <w:r>
        <w:rPr>
          <w:rFonts w:ascii="Times New Roman" w:hAnsi="Times New Roman" w:cs="Times New Roman" w:eastAsia="Times New Roman" w:hint="default"/>
        </w:rPr>
        <w:t>5,589,480</w:t>
      </w:r>
      <w:r>
        <w:rPr/>
        <w:t>元。</w:t>
      </w:r>
    </w:p>
    <w:p>
      <w:pPr>
        <w:spacing w:line="240" w:lineRule="auto" w:before="12"/>
        <w:rPr>
          <w:rFonts w:ascii="宋体" w:hAnsi="宋体" w:cs="宋体" w:eastAsia="宋体" w:hint="default"/>
          <w:sz w:val="12"/>
          <w:szCs w:val="12"/>
        </w:rPr>
      </w:pPr>
    </w:p>
    <w:p>
      <w:pPr>
        <w:pStyle w:val="BodyText"/>
        <w:spacing w:line="300" w:lineRule="auto"/>
        <w:ind w:right="1128" w:firstLine="360"/>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月，根据公司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9</w:t>
      </w:r>
      <w:r>
        <w:rPr>
          <w:spacing w:val="4"/>
        </w:rPr>
        <w:t>日召开的</w:t>
      </w:r>
      <w:r>
        <w:rPr>
          <w:rFonts w:ascii="Times New Roman" w:hAnsi="Times New Roman" w:cs="Times New Roman" w:eastAsia="Times New Roman" w:hint="default"/>
          <w:spacing w:val="4"/>
        </w:rPr>
        <w:t>2014</w:t>
      </w:r>
      <w:r>
        <w:rPr>
          <w:spacing w:val="4"/>
        </w:rPr>
        <w:t>年第三次临时股东大会决议，经中国证券监督管理委员会证监许可</w:t>
      </w:r>
      <w:r>
        <w:rPr/>
        <w:t> </w:t>
      </w:r>
      <w:r>
        <w:rPr>
          <w:rFonts w:ascii="Times New Roman" w:hAnsi="Times New Roman" w:cs="Times New Roman" w:eastAsia="Times New Roman" w:hint="default"/>
          <w:spacing w:val="-1"/>
        </w:rPr>
        <w:t>[2015]1010</w:t>
      </w:r>
      <w:r>
        <w:rPr>
          <w:spacing w:val="-1"/>
        </w:rPr>
        <w:t>号《关于核准东华软件股份公司向章云芳等发行股份购买资产并募集配套资金的批复》核准，根据</w:t>
      </w:r>
      <w:r>
        <w:rPr>
          <w:rFonts w:ascii="Times New Roman" w:hAnsi="Times New Roman" w:cs="Times New Roman" w:eastAsia="Times New Roman" w:hint="default"/>
          <w:spacing w:val="-1"/>
        </w:rPr>
        <w:t>2014</w:t>
      </w:r>
      <w:r>
        <w:rPr>
          <w:spacing w:val="-1"/>
        </w:rPr>
        <w:t>年度利润</w:t>
      </w:r>
      <w:r>
        <w:rPr>
          <w:spacing w:val="-57"/>
        </w:rPr>
        <w:t> </w:t>
      </w:r>
      <w:r>
        <w:rPr>
          <w:spacing w:val="-57"/>
        </w:rPr>
      </w:r>
      <w:r>
        <w:rPr/>
        <w:t>分配方案情况，公司定向增发人民币普通股（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6"/>
        </w:rPr>
        <w:t> </w:t>
      </w:r>
      <w:r>
        <w:rPr/>
        <w:t>股）</w:t>
      </w:r>
      <w:r>
        <w:rPr>
          <w:rFonts w:ascii="Times New Roman" w:hAnsi="Times New Roman" w:cs="Times New Roman" w:eastAsia="Times New Roman" w:hint="default"/>
        </w:rPr>
        <w:t>30,139,931</w:t>
      </w:r>
      <w:r>
        <w:rPr/>
        <w:t>股，增加注册资本</w:t>
      </w:r>
      <w:r>
        <w:rPr>
          <w:rFonts w:ascii="Times New Roman" w:hAnsi="Times New Roman" w:cs="Times New Roman" w:eastAsia="Times New Roman" w:hint="default"/>
        </w:rPr>
        <w:t>30,139,931</w:t>
      </w:r>
      <w:r>
        <w:rPr/>
        <w:t>元；以及配套融资支付现金，</w:t>
      </w:r>
      <w:r>
        <w:rPr>
          <w:spacing w:val="-80"/>
        </w:rPr>
        <w:t> </w:t>
      </w:r>
      <w:r>
        <w:rPr>
          <w:spacing w:val="-80"/>
        </w:rPr>
      </w:r>
      <w:r>
        <w:rPr/>
        <w:t>购买章云芳等所持有的深圳市至高通信技术发展有限公司</w:t>
      </w:r>
      <w:r>
        <w:rPr>
          <w:rFonts w:ascii="Times New Roman" w:hAnsi="Times New Roman" w:cs="Times New Roman" w:eastAsia="Times New Roman" w:hint="default"/>
        </w:rPr>
        <w:t>100%</w:t>
      </w:r>
      <w:r>
        <w:rPr/>
        <w:t>的股权，公司募集配套资金增加注册资本人民币</w:t>
      </w:r>
      <w:r>
        <w:rPr>
          <w:rFonts w:ascii="Times New Roman" w:hAnsi="Times New Roman" w:cs="Times New Roman" w:eastAsia="Times New Roman" w:hint="default"/>
        </w:rPr>
        <w:t>6,894,174.00 </w:t>
      </w:r>
      <w:r>
        <w:rPr/>
        <w:t>元。</w:t>
      </w:r>
    </w:p>
    <w:p>
      <w:pPr>
        <w:spacing w:line="240" w:lineRule="auto" w:before="4"/>
        <w:rPr>
          <w:rFonts w:ascii="宋体" w:hAnsi="宋体" w:cs="宋体" w:eastAsia="宋体" w:hint="default"/>
          <w:sz w:val="14"/>
          <w:szCs w:val="14"/>
        </w:rPr>
      </w:pPr>
    </w:p>
    <w:p>
      <w:pPr>
        <w:pStyle w:val="BodyText"/>
        <w:spacing w:line="240" w:lineRule="auto"/>
        <w:ind w:left="513" w:right="98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月，公司股权激励第三期行权的</w:t>
      </w:r>
      <w:r>
        <w:rPr>
          <w:rFonts w:ascii="Times New Roman" w:hAnsi="Times New Roman" w:cs="Times New Roman" w:eastAsia="Times New Roman" w:hint="default"/>
        </w:rPr>
        <w:t>2</w:t>
      </w:r>
      <w:r>
        <w:rPr/>
        <w:t>名激励对象缴纳出资增加注册资本</w:t>
      </w:r>
      <w:r>
        <w:rPr>
          <w:rFonts w:ascii="Times New Roman" w:hAnsi="Times New Roman" w:cs="Times New Roman" w:eastAsia="Times New Roman" w:hint="default"/>
        </w:rPr>
        <w:t>72,800.00</w:t>
      </w:r>
      <w:r>
        <w:rPr/>
        <w:t>元。</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日，公司发行的可转换公司债券共计转股</w:t>
      </w:r>
      <w:r>
        <w:rPr>
          <w:rFonts w:ascii="Times New Roman" w:hAnsi="Times New Roman" w:cs="Times New Roman" w:eastAsia="Times New Roman" w:hint="default"/>
        </w:rPr>
        <w:t>6,995,967</w:t>
      </w:r>
      <w:r>
        <w:rPr/>
        <w:t>股。</w:t>
      </w:r>
    </w:p>
    <w:p>
      <w:pPr>
        <w:spacing w:line="240" w:lineRule="auto" w:before="9"/>
        <w:rPr>
          <w:rFonts w:ascii="宋体" w:hAnsi="宋体" w:cs="宋体" w:eastAsia="宋体" w:hint="default"/>
          <w:sz w:val="16"/>
          <w:szCs w:val="16"/>
        </w:rPr>
      </w:pPr>
    </w:p>
    <w:p>
      <w:pPr>
        <w:pStyle w:val="BodyText"/>
        <w:spacing w:line="300" w:lineRule="auto"/>
        <w:ind w:right="112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月，公司股权激励第四期行权的</w:t>
      </w:r>
      <w:r>
        <w:rPr>
          <w:rFonts w:ascii="Times New Roman" w:hAnsi="Times New Roman" w:cs="Times New Roman" w:eastAsia="Times New Roman" w:hint="default"/>
        </w:rPr>
        <w:t>315</w:t>
      </w:r>
      <w:r>
        <w:rPr/>
        <w:t>名激励对象缴纳出资增加注册资本</w:t>
      </w:r>
      <w:r>
        <w:rPr>
          <w:rFonts w:ascii="Times New Roman" w:hAnsi="Times New Roman" w:cs="Times New Roman" w:eastAsia="Times New Roman" w:hint="default"/>
        </w:rPr>
        <w:t>5,332,080.00</w:t>
      </w:r>
      <w:r>
        <w:rPr/>
        <w:t>元。</w:t>
      </w:r>
      <w:r>
        <w:rPr>
          <w:rFonts w:ascii="Times New Roman" w:hAnsi="Times New Roman" w:cs="Times New Roman" w:eastAsia="Times New Roman" w:hint="default"/>
        </w:rPr>
        <w:t>2016</w:t>
      </w:r>
      <w:r>
        <w:rPr/>
        <w:t>年度经过上述变更 后，公司注册资本变更为</w:t>
      </w:r>
      <w:r>
        <w:rPr>
          <w:rFonts w:ascii="Times New Roman" w:hAnsi="Times New Roman" w:cs="Times New Roman" w:eastAsia="Times New Roman" w:hint="default"/>
        </w:rPr>
        <w:t>1,569,893,780.00</w:t>
      </w:r>
      <w:r>
        <w:rPr/>
        <w:t>元。</w:t>
      </w:r>
    </w:p>
    <w:p>
      <w:pPr>
        <w:spacing w:line="240" w:lineRule="auto" w:before="12"/>
        <w:rPr>
          <w:rFonts w:ascii="宋体" w:hAnsi="宋体" w:cs="宋体" w:eastAsia="宋体" w:hint="default"/>
          <w:sz w:val="12"/>
          <w:szCs w:val="12"/>
        </w:rPr>
      </w:pPr>
    </w:p>
    <w:p>
      <w:pPr>
        <w:pStyle w:val="BodyText"/>
        <w:spacing w:line="300" w:lineRule="auto"/>
        <w:ind w:right="1129" w:firstLine="360"/>
        <w:jc w:val="both"/>
      </w:pPr>
      <w:r>
        <w:rPr/>
        <w:t>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2016</w:t>
      </w:r>
      <w:r>
        <w:rPr/>
        <w:t>年度股东大会表决通过，公司按照</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1,569,893,780</w:t>
      </w:r>
      <w:r>
        <w:rPr/>
        <w:t>元为基数， </w:t>
      </w:r>
      <w:r>
        <w:rPr>
          <w:spacing w:val="-1"/>
        </w:rPr>
        <w:t>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10</w:t>
      </w:r>
      <w:r>
        <w:rPr>
          <w:spacing w:val="-1"/>
        </w:rPr>
        <w:t>股，共增加股本</w:t>
      </w:r>
      <w:r>
        <w:rPr>
          <w:rFonts w:ascii="Times New Roman" w:hAnsi="Times New Roman" w:cs="Times New Roman" w:eastAsia="Times New Roman" w:hint="default"/>
          <w:spacing w:val="-1"/>
        </w:rPr>
        <w:t>1,569,893,780</w:t>
      </w:r>
      <w:r>
        <w:rPr>
          <w:spacing w:val="-1"/>
        </w:rPr>
        <w:t>元。该增资事项完成后，公司的股本增加为人民币</w:t>
      </w:r>
      <w:r>
        <w:rPr>
          <w:rFonts w:ascii="Times New Roman" w:hAnsi="Times New Roman" w:cs="Times New Roman" w:eastAsia="Times New Roman" w:hint="default"/>
          <w:spacing w:val="-1"/>
        </w:rPr>
        <w:t>3,139,787,560.00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w:t>
      </w:r>
    </w:p>
    <w:p>
      <w:pPr>
        <w:spacing w:line="240" w:lineRule="auto" w:before="4"/>
        <w:rPr>
          <w:rFonts w:ascii="宋体" w:hAnsi="宋体" w:cs="宋体" w:eastAsia="宋体" w:hint="default"/>
          <w:sz w:val="14"/>
          <w:szCs w:val="14"/>
        </w:rPr>
      </w:pPr>
    </w:p>
    <w:p>
      <w:pPr>
        <w:pStyle w:val="BodyText"/>
        <w:spacing w:line="240" w:lineRule="auto"/>
        <w:ind w:left="513" w:right="98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日，深圳市至高通信技术发展有限公司因未完成业绩承诺，公司回购并注销章云芳等</w:t>
      </w:r>
      <w:r>
        <w:rPr>
          <w:rFonts w:ascii="Times New Roman" w:hAnsi="Times New Roman" w:cs="Times New Roman" w:eastAsia="Times New Roman" w:hint="default"/>
        </w:rPr>
        <w:t>4</w:t>
      </w:r>
      <w:r>
        <w:rPr/>
        <w:t>人应补偿的股份数量</w:t>
      </w:r>
    </w:p>
    <w:p>
      <w:pPr>
        <w:pStyle w:val="BodyText"/>
        <w:spacing w:line="451" w:lineRule="auto" w:before="63"/>
        <w:ind w:left="513" w:right="986" w:hanging="361"/>
        <w:jc w:val="left"/>
      </w:pPr>
      <w:r>
        <w:rPr>
          <w:rFonts w:ascii="Times New Roman" w:hAnsi="Times New Roman" w:cs="Times New Roman" w:eastAsia="Times New Roman" w:hint="default"/>
        </w:rPr>
        <w:t>24,305,185</w:t>
      </w:r>
      <w:r>
        <w:rPr/>
        <w:t>股，公司的股本变更为人民币</w:t>
      </w:r>
      <w:r>
        <w:rPr>
          <w:rFonts w:ascii="Times New Roman" w:hAnsi="Times New Roman" w:cs="Times New Roman" w:eastAsia="Times New Roman" w:hint="default"/>
        </w:rPr>
        <w:t>3,115,482,375.00</w:t>
      </w:r>
      <w:r>
        <w:rPr/>
        <w:t>元。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公司业务性质和主要经营活动公司所属的行业性质为软件和信息技术服务业。</w:t>
      </w:r>
    </w:p>
    <w:p>
      <w:pPr>
        <w:pStyle w:val="BodyText"/>
        <w:spacing w:line="309" w:lineRule="auto" w:before="43"/>
        <w:ind w:right="1129" w:firstLine="360"/>
        <w:jc w:val="both"/>
      </w:pPr>
      <w:r>
        <w:rPr>
          <w:spacing w:val="-2"/>
        </w:rPr>
        <w:t>公司的经营范围包括：技术开发、技术咨询、技术服务、技术推广、技术转让；计算机系统服务；数据处理；基础软件</w:t>
      </w:r>
      <w:r>
        <w:rPr/>
        <w:t> </w:t>
      </w:r>
      <w:r>
        <w:rPr>
          <w:spacing w:val="-1"/>
        </w:rPr>
        <w:t>服务、应用软件服务、公共软件服务；销售计算机软、硬件及外围设备、通讯设备、医疗器械</w:t>
      </w:r>
      <w:r>
        <w:rPr>
          <w:rFonts w:ascii="Times New Roman" w:hAnsi="Times New Roman" w:cs="Times New Roman" w:eastAsia="Times New Roman" w:hint="default"/>
          <w:spacing w:val="-1"/>
        </w:rPr>
        <w:t>II</w:t>
      </w:r>
      <w:r>
        <w:rPr>
          <w:spacing w:val="-1"/>
        </w:rPr>
        <w:t>类；承接工业控制与自动化</w:t>
      </w:r>
      <w:r>
        <w:rPr>
          <w:spacing w:val="-65"/>
        </w:rPr>
        <w:t> </w:t>
      </w:r>
      <w:r>
        <w:rPr>
          <w:spacing w:val="-65"/>
        </w:rPr>
      </w:r>
      <w:r>
        <w:rPr/>
        <w:t>系统工程、计算机通讯工程、智能楼宇及数据中心计算机系统工程；货物进出口、技术进出口、代理进出口。</w:t>
      </w:r>
    </w:p>
    <w:p>
      <w:pPr>
        <w:spacing w:line="240" w:lineRule="auto" w:before="10"/>
        <w:rPr>
          <w:rFonts w:ascii="宋体" w:hAnsi="宋体" w:cs="宋体" w:eastAsia="宋体" w:hint="default"/>
          <w:sz w:val="13"/>
          <w:szCs w:val="13"/>
        </w:rPr>
      </w:pPr>
    </w:p>
    <w:p>
      <w:pPr>
        <w:pStyle w:val="BodyText"/>
        <w:spacing w:line="477" w:lineRule="auto"/>
        <w:ind w:left="513" w:right="2653"/>
        <w:jc w:val="left"/>
        <w:rPr>
          <w:rFonts w:ascii="宋体" w:hAnsi="宋体" w:cs="宋体" w:eastAsia="宋体" w:hint="default"/>
        </w:rPr>
      </w:pPr>
      <w:r>
        <w:rPr/>
        <w:t>公司的主要产品为行业应用软件开发、计算机信息系统集成及相关服务业务等。 公司的母公司为北京东华诚信电脑科技发展有限公司，公司的实际控制人为薛向东先生及其家族。 </w:t>
      </w:r>
      <w:r>
        <w:rPr>
          <w:rFonts w:ascii="Times New Roman" w:hAnsi="Times New Roman" w:cs="Times New Roman" w:eastAsia="Times New Roman" w:hint="default"/>
          <w:b/>
          <w:bCs/>
        </w:rPr>
        <w:t>2</w:t>
      </w:r>
      <w:r>
        <w:rPr>
          <w:rFonts w:ascii="宋体" w:hAnsi="宋体" w:cs="宋体" w:eastAsia="宋体" w:hint="default"/>
          <w:b/>
          <w:bCs/>
        </w:rPr>
        <w:t>、财务报表的批准报出</w:t>
      </w:r>
      <w:r>
        <w:rPr>
          <w:rFonts w:ascii="宋体" w:hAnsi="宋体" w:cs="宋体" w:eastAsia="宋体" w:hint="default"/>
        </w:rPr>
      </w:r>
    </w:p>
    <w:p>
      <w:pPr>
        <w:pStyle w:val="BodyText"/>
        <w:spacing w:line="240" w:lineRule="auto" w:before="21"/>
        <w:ind w:left="513" w:right="986"/>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p>
    <w:p>
      <w:pPr>
        <w:spacing w:line="240" w:lineRule="auto" w:before="9"/>
        <w:rPr>
          <w:rFonts w:ascii="宋体" w:hAnsi="宋体" w:cs="宋体" w:eastAsia="宋体" w:hint="default"/>
          <w:sz w:val="16"/>
          <w:szCs w:val="16"/>
        </w:rPr>
      </w:pPr>
    </w:p>
    <w:p>
      <w:pPr>
        <w:pStyle w:val="BodyText"/>
        <w:spacing w:line="300" w:lineRule="auto"/>
        <w:ind w:right="1131" w:firstLine="360"/>
        <w:jc w:val="both"/>
      </w:pPr>
      <w:r>
        <w:rPr/>
        <w:t>本期纳入合并财务报表范围的子公司共</w:t>
      </w:r>
      <w:r>
        <w:rPr>
          <w:rFonts w:ascii="Times New Roman" w:hAnsi="Times New Roman" w:cs="Times New Roman" w:eastAsia="Times New Roman" w:hint="default"/>
        </w:rPr>
        <w:t>61</w:t>
      </w:r>
      <w:r>
        <w:rPr/>
        <w:t>家，新增</w:t>
      </w:r>
      <w:r>
        <w:rPr>
          <w:rFonts w:ascii="Times New Roman" w:hAnsi="Times New Roman" w:cs="Times New Roman" w:eastAsia="Times New Roman" w:hint="default"/>
        </w:rPr>
        <w:t>6</w:t>
      </w:r>
      <w:r>
        <w:rPr/>
        <w:t>家子公司，减少</w:t>
      </w:r>
      <w:r>
        <w:rPr>
          <w:rFonts w:ascii="Times New Roman" w:hAnsi="Times New Roman" w:cs="Times New Roman" w:eastAsia="Times New Roman" w:hint="default"/>
        </w:rPr>
        <w:t>3</w:t>
      </w:r>
      <w:r>
        <w:rPr/>
        <w:t>家子公司。合并范围变更主体的具体信息详见</w:t>
      </w:r>
      <w:r>
        <w:rPr>
          <w:rFonts w:ascii="Times New Roman" w:hAnsi="Times New Roman" w:cs="Times New Roman" w:eastAsia="Times New Roman" w:hint="default"/>
        </w:rPr>
        <w:t>“</w:t>
      </w:r>
      <w:r>
        <w:rPr/>
        <w:t>附 注七、合并范围的变更</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6"/>
        <w:jc w:val="left"/>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基本准则》和具体企业会计准则、企业会计</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9"/>
        <w:jc w:val="both"/>
      </w:pP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4"/>
        </w:rPr>
        <w:t> </w:t>
      </w:r>
      <w:r>
        <w:rPr>
          <w:spacing w:val="-44"/>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6" w:firstLine="36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11"/>
        <w:rPr>
          <w:rFonts w:ascii="宋体" w:hAnsi="宋体" w:cs="宋体" w:eastAsia="宋体" w:hint="default"/>
          <w:sz w:val="21"/>
          <w:szCs w:val="21"/>
        </w:rPr>
      </w:pPr>
    </w:p>
    <w:p>
      <w:pPr>
        <w:pStyle w:val="Heading3"/>
        <w:spacing w:line="240" w:lineRule="auto"/>
        <w:ind w:right="0"/>
        <w:jc w:val="both"/>
        <w:rPr>
          <w:b w:val="0"/>
          <w:bCs w:val="0"/>
        </w:rPr>
      </w:pPr>
      <w:r>
        <w:rPr/>
        <w:t>五、重要会计政策及会计估计</w:t>
      </w:r>
      <w:r>
        <w:rPr>
          <w:b w:val="0"/>
          <w:bCs w:val="0"/>
        </w:rPr>
      </w:r>
    </w:p>
    <w:p>
      <w:pPr>
        <w:pStyle w:val="BodyText"/>
        <w:spacing w:line="470" w:lineRule="atLeast" w:before="110"/>
        <w:ind w:left="513" w:right="986"/>
        <w:jc w:val="left"/>
      </w:pPr>
      <w:r>
        <w:rPr/>
        <w:t>具体会计政策和会计估计提示： </w:t>
      </w:r>
      <w:r>
        <w:rPr>
          <w:spacing w:val="-2"/>
        </w:rPr>
        <w:t>本公司根据生产经营特点，依据相关企业会计准则的规定，制定了具体会计政策和会计估计，主要体现在附注四、（十</w:t>
      </w:r>
    </w:p>
    <w:p>
      <w:pPr>
        <w:pStyle w:val="BodyText"/>
        <w:spacing w:line="300" w:lineRule="auto" w:before="76"/>
        <w:ind w:right="1199"/>
        <w:jc w:val="left"/>
      </w:pPr>
      <w:r>
        <w:rPr/>
        <w:t>一）</w:t>
      </w:r>
      <w:r>
        <w:rPr>
          <w:rFonts w:ascii="Times New Roman" w:hAnsi="Times New Roman" w:cs="Times New Roman" w:eastAsia="Times New Roman" w:hint="default"/>
        </w:rPr>
        <w:t>6.</w:t>
      </w:r>
      <w:r>
        <w:rPr/>
        <w:t>金融工具减值；四、（十三）应收账款</w:t>
      </w:r>
      <w:r>
        <w:rPr>
          <w:rFonts w:ascii="Times New Roman" w:hAnsi="Times New Roman" w:cs="Times New Roman" w:eastAsia="Times New Roman" w:hint="default"/>
        </w:rPr>
        <w:t>-</w:t>
      </w:r>
      <w:r>
        <w:rPr/>
        <w:t>坏账准备；四、（二十一）固定资产折旧；四、（二十四）无形资产摊销； 四、（三十）收入的确认等。</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6"/>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t>本公司以</w:t>
      </w:r>
      <w:r>
        <w:rPr>
          <w:rFonts w:ascii="Times New Roman" w:hAnsi="Times New Roman" w:cs="Times New Roman" w:eastAsia="Times New Roman" w:hint="default"/>
        </w:rPr>
        <w:t>12</w:t>
      </w:r>
      <w:r>
        <w:rPr/>
        <w:t>个月作为一个营业周期，并以营业周期作为资产和负债的流动性划分标准。</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986"/>
        <w:jc w:val="left"/>
      </w:pPr>
      <w:r>
        <w:rPr/>
        <w:t>采用人民币为记账本位币。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Heading5"/>
        <w:spacing w:line="300" w:lineRule="auto"/>
        <w:ind w:left="152" w:right="986" w:firstLine="360"/>
        <w:jc w:val="left"/>
        <w:rPr>
          <w:b w:val="0"/>
          <w:bCs w:val="0"/>
        </w:rPr>
      </w:pPr>
      <w:r>
        <w:rPr>
          <w:rFonts w:ascii="Times New Roman" w:hAnsi="Times New Roman" w:cs="Times New Roman" w:eastAsia="Times New Roman" w:hint="default"/>
          <w:spacing w:val="-1"/>
          <w:w w:val="95"/>
        </w:rPr>
        <w:t>1.</w:t>
      </w:r>
      <w:r>
        <w:rPr>
          <w:spacing w:val="-1"/>
          <w:w w:val="95"/>
        </w:rPr>
        <w:t>分步实现企业合并过程中的各项交易的条款、条件以及经济影响符合以下一种或多种情况，将多次交易事项作为一揽</w:t>
      </w:r>
      <w:r>
        <w:rPr>
          <w:spacing w:val="-7"/>
          <w:w w:val="95"/>
        </w:rPr>
        <w:t> </w:t>
      </w:r>
      <w:r>
        <w:rPr>
          <w:spacing w:val="-7"/>
          <w:w w:val="95"/>
        </w:rPr>
      </w:r>
      <w:r>
        <w:rPr/>
        <w:t>子交易进行会计处理</w:t>
      </w:r>
      <w:r>
        <w:rPr>
          <w:b w:val="0"/>
          <w:bCs w:val="0"/>
        </w:rPr>
      </w:r>
    </w:p>
    <w:p>
      <w:pPr>
        <w:spacing w:line="240" w:lineRule="auto" w:before="4"/>
        <w:rPr>
          <w:rFonts w:ascii="宋体" w:hAnsi="宋体" w:cs="宋体" w:eastAsia="宋体" w:hint="default"/>
          <w:b/>
          <w:bCs/>
          <w:sz w:val="14"/>
          <w:szCs w:val="14"/>
        </w:rPr>
      </w:pPr>
    </w:p>
    <w:p>
      <w:pPr>
        <w:pStyle w:val="BodyText"/>
        <w:spacing w:line="240" w:lineRule="auto"/>
        <w:ind w:left="513" w:right="986"/>
        <w:jc w:val="left"/>
      </w:pPr>
      <w:r>
        <w:rPr/>
        <w:t>（</w:t>
      </w:r>
      <w:r>
        <w:rPr>
          <w:rFonts w:ascii="Times New Roman" w:hAnsi="Times New Roman" w:cs="Times New Roman" w:eastAsia="Times New Roman" w:hint="default"/>
        </w:rPr>
        <w:t>1</w:t>
      </w:r>
      <w:r>
        <w:rPr/>
        <w:t>）这些交易是同时或者在考虑了彼此影响的情况下订立的；</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）这些交易整体才能达成一项完整的商业结果；</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3</w:t>
      </w:r>
      <w:r>
        <w:rPr/>
        <w:t>）一项交易的发生取决于其他至少一项交易的发生；</w:t>
      </w:r>
    </w:p>
    <w:p>
      <w:pPr>
        <w:spacing w:line="240" w:lineRule="auto" w:before="10"/>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9"/>
        <w:rPr>
          <w:rFonts w:ascii="宋体" w:hAnsi="宋体" w:cs="宋体" w:eastAsia="宋体" w:hint="default"/>
          <w:sz w:val="16"/>
          <w:szCs w:val="16"/>
        </w:rPr>
      </w:pPr>
    </w:p>
    <w:p>
      <w:pPr>
        <w:pStyle w:val="Heading5"/>
        <w:spacing w:line="240" w:lineRule="auto"/>
        <w:ind w:right="986"/>
        <w:jc w:val="left"/>
        <w:rPr>
          <w:b w:val="0"/>
          <w:bCs w:val="0"/>
        </w:rPr>
      </w:pPr>
      <w:r>
        <w:rPr>
          <w:rFonts w:ascii="Times New Roman" w:hAnsi="Times New Roman" w:cs="Times New Roman" w:eastAsia="Times New Roman" w:hint="default"/>
        </w:rPr>
        <w:t>2.</w:t>
      </w:r>
      <w:r>
        <w:rPr/>
        <w:t>同一控制下的企业合并</w:t>
      </w:r>
      <w:r>
        <w:rPr>
          <w:b w:val="0"/>
          <w:bCs w:val="0"/>
        </w:rPr>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0" w:firstLine="360"/>
        <w:jc w:val="both"/>
      </w:pPr>
      <w:r>
        <w:rPr>
          <w:spacing w:val="-2"/>
        </w:rPr>
        <w:t>本公司在企业合并中取得的资产和负债，按照合并日在被合并方资产、负债（包括最终控制方收购被合并方而形成的商</w:t>
      </w:r>
      <w:r>
        <w:rPr/>
        <w:t> </w:t>
      </w: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如果存在或有对价并需要确认预计负债或资产，该预计负债或资产金额与后续或有对价结算金额的差额，调整资本公积</w:t>
      </w:r>
    </w:p>
    <w:p>
      <w:pPr>
        <w:pStyle w:val="BodyText"/>
        <w:spacing w:line="240" w:lineRule="auto" w:before="76"/>
        <w:ind w:right="986"/>
        <w:jc w:val="left"/>
      </w:pPr>
      <w:r>
        <w:rPr/>
        <w:t>（资本溢价或股本溢价），资本公积不足的，调整留存收益。</w:t>
      </w:r>
    </w:p>
    <w:p>
      <w:pPr>
        <w:spacing w:line="240" w:lineRule="auto" w:before="10"/>
        <w:rPr>
          <w:rFonts w:ascii="宋体" w:hAnsi="宋体" w:cs="宋体" w:eastAsia="宋体" w:hint="default"/>
          <w:sz w:val="17"/>
          <w:szCs w:val="17"/>
        </w:rPr>
      </w:pPr>
    </w:p>
    <w:p>
      <w:pPr>
        <w:pStyle w:val="BodyText"/>
        <w:spacing w:line="319" w:lineRule="auto"/>
        <w:ind w:right="1044" w:firstLine="360"/>
        <w:jc w:val="both"/>
      </w:pPr>
      <w:r>
        <w:rPr>
          <w:spacing w:val="-2"/>
        </w:rPr>
        <w:t>对于通过多次交易最终实现企业合并的，属于一揽子交易的，将各项交易作为一项取得控制权的交易进行会计处理；不</w:t>
      </w:r>
      <w:r>
        <w:rPr/>
        <w:t> </w:t>
      </w: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2"/>
        </w:rPr>
        <w:t> </w:t>
      </w:r>
      <w:r>
        <w:rPr>
          <w:spacing w:val="-62"/>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spacing w:line="468" w:lineRule="exact" w:before="9"/>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购买日是指本公司实际取得对被购买方控制权的日期，即被购买方的净资产或生产经营决策的控制权转移给本公司的日</w:t>
      </w:r>
    </w:p>
    <w:p>
      <w:pPr>
        <w:pStyle w:val="BodyText"/>
        <w:spacing w:line="240" w:lineRule="auto" w:before="8"/>
        <w:ind w:right="986"/>
        <w:jc w:val="left"/>
      </w:pPr>
      <w:r>
        <w:rPr/>
        <w:t>期。同时满足下列条件时，本公司一般认为实现了控制权的转移：</w:t>
      </w:r>
    </w:p>
    <w:p>
      <w:pPr>
        <w:spacing w:line="240" w:lineRule="auto" w:before="10"/>
        <w:rPr>
          <w:rFonts w:ascii="宋体" w:hAnsi="宋体" w:cs="宋体" w:eastAsia="宋体" w:hint="default"/>
          <w:sz w:val="17"/>
          <w:szCs w:val="17"/>
        </w:rPr>
      </w:pPr>
    </w:p>
    <w:p>
      <w:pPr>
        <w:pStyle w:val="BodyText"/>
        <w:spacing w:line="240" w:lineRule="auto"/>
        <w:ind w:left="513" w:right="986"/>
        <w:jc w:val="left"/>
      </w:pPr>
      <w:r>
        <w:rPr/>
        <w:t>（</w:t>
      </w:r>
      <w:r>
        <w:rPr>
          <w:rFonts w:ascii="Times New Roman" w:hAnsi="Times New Roman" w:cs="Times New Roman" w:eastAsia="Times New Roman" w:hint="default"/>
        </w:rPr>
        <w:t>1</w:t>
      </w:r>
      <w:r>
        <w:rPr/>
        <w:t>）企业合并合同或协议已获本公司内部权力机构通过。</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）企业合并事项需要经过国家有关主管部门审批的，已获得批准。</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3</w:t>
      </w:r>
      <w:r>
        <w:rPr/>
        <w:t>）已办理了必要的财产权转移手续。</w:t>
      </w:r>
    </w:p>
    <w:p>
      <w:pPr>
        <w:spacing w:line="240" w:lineRule="auto" w:before="10"/>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4</w:t>
      </w:r>
      <w:r>
        <w:rPr/>
        <w:t>）本公司已支付了合并价款的大部分，并且有能力、有计划支付剩余款项。</w:t>
      </w:r>
    </w:p>
    <w:p>
      <w:pPr>
        <w:pStyle w:val="BodyText"/>
        <w:spacing w:line="450" w:lineRule="atLeast" w:before="18"/>
        <w:ind w:left="513" w:right="986"/>
        <w:jc w:val="left"/>
      </w:pPr>
      <w:r>
        <w:rPr/>
        <w:t>（</w:t>
      </w:r>
      <w:r>
        <w:rPr>
          <w:rFonts w:ascii="Times New Roman" w:hAnsi="Times New Roman" w:cs="Times New Roman" w:eastAsia="Times New Roman" w:hint="default"/>
        </w:rPr>
        <w:t>5</w:t>
      </w:r>
      <w:r>
        <w:rPr/>
        <w:t>）本公司实际上已经控制了被购买方的财务和经营政策，并享有相应的利益、承担相应的风险。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240" w:lineRule="auto" w:before="76"/>
        <w:ind w:right="986"/>
        <w:jc w:val="left"/>
      </w:pPr>
      <w:r>
        <w:rPr/>
        <w:t>计入当期损益。</w:t>
      </w:r>
    </w:p>
    <w:p>
      <w:pPr>
        <w:spacing w:line="240" w:lineRule="auto" w:before="10"/>
        <w:rPr>
          <w:rFonts w:ascii="宋体" w:hAnsi="宋体" w:cs="宋体" w:eastAsia="宋体" w:hint="default"/>
          <w:sz w:val="17"/>
          <w:szCs w:val="17"/>
        </w:rPr>
      </w:pPr>
    </w:p>
    <w:p>
      <w:pPr>
        <w:pStyle w:val="BodyText"/>
        <w:spacing w:line="316" w:lineRule="auto"/>
        <w:ind w:right="1131" w:firstLine="360"/>
        <w:jc w:val="both"/>
      </w:pPr>
      <w:r>
        <w:rPr>
          <w:spacing w:val="-2"/>
        </w:rPr>
        <w:t>本公司对合并成本大于合并中取得的被购买方可辨认净资产公允价值份额的差额，确认为商誉；合并成本小于合并中取</w:t>
      </w:r>
      <w:r>
        <w:rPr/>
        <w:t> 得的被购买方可辨认净资产公允价值份额的差额，经复核后，计入当期损益。</w:t>
      </w:r>
    </w:p>
    <w:p>
      <w:pPr>
        <w:spacing w:line="240" w:lineRule="auto" w:before="5"/>
        <w:rPr>
          <w:rFonts w:ascii="宋体" w:hAnsi="宋体" w:cs="宋体" w:eastAsia="宋体" w:hint="default"/>
          <w:sz w:val="13"/>
          <w:szCs w:val="13"/>
        </w:rPr>
      </w:pPr>
    </w:p>
    <w:p>
      <w:pPr>
        <w:pStyle w:val="BodyText"/>
        <w:spacing w:line="319" w:lineRule="auto"/>
        <w:ind w:right="1130" w:firstLine="360"/>
        <w:jc w:val="both"/>
      </w:pPr>
      <w:r>
        <w:rPr>
          <w:spacing w:val="-2"/>
        </w:rPr>
        <w:t>通过多次交换交易分步实现的非同一控制下企业合并，属于一揽子交易的，将各项交易作为一项取得控制权的交易进行</w:t>
      </w:r>
      <w:r>
        <w:rPr/>
        <w:t> </w:t>
      </w: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468" w:lineRule="exact" w:before="9"/>
        <w:ind w:left="513" w:right="986"/>
        <w:jc w:val="left"/>
      </w:pPr>
      <w:r>
        <w:rPr>
          <w:rFonts w:ascii="Times New Roman" w:hAnsi="Times New Roman" w:cs="Times New Roman" w:eastAsia="Times New Roman" w:hint="default"/>
          <w:b/>
          <w:bCs/>
        </w:rPr>
        <w:t>4.</w:t>
      </w:r>
      <w:r>
        <w:rPr>
          <w:rFonts w:ascii="宋体" w:hAnsi="宋体" w:cs="宋体" w:eastAsia="宋体" w:hint="default"/>
          <w:b/>
          <w:bCs/>
        </w:rPr>
        <w:t>为合并发生的相关费用</w:t>
      </w:r>
      <w:r>
        <w:rPr>
          <w:rFonts w:ascii="宋体" w:hAnsi="宋体" w:cs="宋体" w:eastAsia="宋体" w:hint="default"/>
          <w:b/>
          <w:bCs/>
          <w:w w:val="99"/>
        </w:rPr>
        <w:t> </w:t>
      </w:r>
      <w:r>
        <w:rPr>
          <w:spacing w:val="-2"/>
        </w:rPr>
        <w:t>为企业合并发生的审计、法律服务、评估咨询等中介费用以及其他直接相关费用，于发生时计入当期损益；为企业合并</w:t>
      </w:r>
    </w:p>
    <w:p>
      <w:pPr>
        <w:pStyle w:val="BodyText"/>
        <w:spacing w:line="240" w:lineRule="auto" w:before="8"/>
        <w:ind w:right="986"/>
        <w:jc w:val="left"/>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3"/>
          <w:szCs w:val="23"/>
        </w:rPr>
      </w:pPr>
    </w:p>
    <w:p>
      <w:pPr>
        <w:pStyle w:val="Heading5"/>
        <w:spacing w:line="240" w:lineRule="auto"/>
        <w:ind w:right="986"/>
        <w:jc w:val="left"/>
        <w:rPr>
          <w:b w:val="0"/>
          <w:bCs w:val="0"/>
        </w:rPr>
      </w:pPr>
      <w:r>
        <w:rPr>
          <w:rFonts w:ascii="Times New Roman" w:hAnsi="Times New Roman" w:cs="Times New Roman" w:eastAsia="Times New Roman" w:hint="default"/>
        </w:rPr>
        <w:t>1.</w:t>
      </w:r>
      <w:r>
        <w:rPr/>
        <w:t>合并范围</w:t>
      </w:r>
      <w:r>
        <w:rPr>
          <w:b w:val="0"/>
          <w:bCs w:val="0"/>
        </w:rPr>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b/>
          <w:bCs/>
          <w:sz w:val="22"/>
          <w:szCs w:val="22"/>
        </w:rPr>
      </w:pPr>
    </w:p>
    <w:p>
      <w:pPr>
        <w:pStyle w:val="BodyText"/>
        <w:spacing w:line="240" w:lineRule="auto" w:before="44"/>
        <w:ind w:left="513" w:right="986"/>
        <w:jc w:val="left"/>
      </w:pPr>
      <w:r>
        <w:rPr>
          <w:spacing w:val="-4"/>
        </w:rPr>
        <w:t>本公司合并财务报表的合并范围以控制为基础确定，所有子公司（包括本公司所控制的单独主体）均纳入合并财务报表。</w:t>
      </w:r>
    </w:p>
    <w:p>
      <w:pPr>
        <w:pStyle w:val="BodyText"/>
        <w:spacing w:line="370" w:lineRule="atLeast" w:before="32"/>
        <w:ind w:left="513" w:right="986"/>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232" w:lineRule="exact" w:before="22"/>
        <w:ind w:right="986"/>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240" w:lineRule="auto" w:before="132"/>
        <w:ind w:right="113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spacing w:line="240" w:lineRule="auto" w:before="8"/>
        <w:rPr>
          <w:rFonts w:ascii="宋体" w:hAnsi="宋体" w:cs="宋体" w:eastAsia="宋体" w:hint="default"/>
          <w:sz w:val="13"/>
          <w:szCs w:val="13"/>
        </w:rPr>
      </w:pPr>
    </w:p>
    <w:p>
      <w:pPr>
        <w:pStyle w:val="BodyText"/>
        <w:spacing w:line="232" w:lineRule="exact"/>
        <w:ind w:right="1130"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237" w:lineRule="auto" w:before="136"/>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240" w:lineRule="auto" w:before="153"/>
        <w:ind w:right="1135"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53"/>
        <w:ind w:left="513" w:right="986"/>
        <w:jc w:val="left"/>
      </w:pPr>
      <w:r>
        <w:rPr/>
        <w:t>对于非同一控制下企业合并取得的子公司，以购买日可辨认净资产公允价值为基础对其财务报表进行调整</w:t>
      </w:r>
    </w:p>
    <w:p>
      <w:pPr>
        <w:pStyle w:val="BodyText"/>
        <w:spacing w:line="370" w:lineRule="atLeast" w:before="32"/>
        <w:ind w:left="513" w:right="986"/>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232" w:lineRule="exact" w:before="22"/>
        <w:ind w:right="986"/>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237" w:lineRule="auto" w:before="134"/>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237" w:lineRule="auto" w:before="155"/>
        <w:ind w:right="1128"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237" w:lineRule="auto" w:before="155"/>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3"/>
        </w:rPr>
        <w:t> </w:t>
      </w:r>
      <w:r>
        <w:rPr>
          <w:spacing w:val="-63"/>
        </w:rPr>
      </w:r>
      <w:r>
        <w:rPr/>
        <w:t>而产生的其他综合收益除外。</w:t>
      </w:r>
    </w:p>
    <w:p>
      <w:pPr>
        <w:pStyle w:val="BodyText"/>
        <w:spacing w:line="240" w:lineRule="auto" w:before="156"/>
        <w:ind w:left="513" w:right="986"/>
        <w:jc w:val="left"/>
      </w:pPr>
      <w:r>
        <w:rPr/>
        <w:t>（</w:t>
      </w:r>
      <w:r>
        <w:rPr>
          <w:rFonts w:ascii="Times New Roman" w:hAnsi="Times New Roman" w:cs="Times New Roman" w:eastAsia="Times New Roman" w:hint="default"/>
        </w:rPr>
        <w:t>2</w:t>
      </w:r>
      <w:r>
        <w:rPr/>
        <w:t>）处置子公司或业务</w:t>
      </w:r>
    </w:p>
    <w:p>
      <w:pPr>
        <w:pStyle w:val="BodyText"/>
        <w:spacing w:line="370" w:lineRule="atLeast" w:before="19"/>
        <w:ind w:left="513" w:right="986"/>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233" w:lineRule="exact"/>
        <w:ind w:right="986"/>
        <w:jc w:val="left"/>
      </w:pPr>
      <w:r>
        <w:rPr/>
        <w:t>司或业务期初至处置日的现金流量纳入合并现金流量表。</w:t>
      </w:r>
    </w:p>
    <w:p>
      <w:pPr>
        <w:pStyle w:val="BodyText"/>
        <w:spacing w:line="237" w:lineRule="auto" w:before="157"/>
        <w:ind w:right="1034"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70" w:lineRule="atLeast" w:before="32"/>
        <w:ind w:left="513" w:right="986"/>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86" w:lineRule="auto"/>
        <w:ind w:left="513" w:right="3554" w:hanging="361"/>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w:t>
      </w:r>
    </w:p>
    <w:p>
      <w:pPr>
        <w:spacing w:after="0" w:line="386" w:lineRule="auto"/>
        <w:jc w:val="left"/>
        <w:sectPr>
          <w:footerReference w:type="default" r:id="rId18"/>
          <w:pgSz w:w="11910" w:h="16840"/>
          <w:pgMar w:footer="979" w:header="748" w:top="1060" w:bottom="1160" w:left="980" w:right="0"/>
        </w:sectPr>
      </w:pPr>
    </w:p>
    <w:p>
      <w:pPr>
        <w:spacing w:line="240" w:lineRule="auto" w:before="8"/>
        <w:rPr>
          <w:rFonts w:ascii="宋体" w:hAnsi="宋体" w:cs="宋体" w:eastAsia="宋体" w:hint="default"/>
          <w:sz w:val="22"/>
          <w:szCs w:val="22"/>
        </w:rPr>
      </w:pPr>
    </w:p>
    <w:p>
      <w:pPr>
        <w:pStyle w:val="BodyText"/>
        <w:spacing w:line="374" w:lineRule="auto" w:before="44"/>
        <w:ind w:left="513" w:right="986"/>
        <w:jc w:val="left"/>
      </w:pP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232" w:lineRule="exact" w:before="55"/>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240" w:lineRule="auto" w:before="132"/>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70" w:lineRule="atLeast" w:before="32"/>
        <w:ind w:left="513" w:right="986"/>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236" w:lineRule="exact" w:before="18"/>
        <w:ind w:right="986"/>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70" w:lineRule="atLeast" w:before="11"/>
        <w:ind w:left="513" w:right="986"/>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236" w:lineRule="exact" w:before="18"/>
        <w:ind w:right="986"/>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370" w:lineRule="atLeast" w:before="182"/>
        <w:ind w:left="513" w:right="986"/>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本公司根据合营安排的结构、法律形式以及合营安排中约定的条款、其他相关事实和情况等因素，将合营安排分为共同</w:t>
      </w:r>
    </w:p>
    <w:p>
      <w:pPr>
        <w:pStyle w:val="BodyText"/>
        <w:spacing w:line="233" w:lineRule="exact"/>
        <w:ind w:right="986"/>
        <w:jc w:val="left"/>
      </w:pPr>
      <w:r>
        <w:rPr/>
        <w:t>经营和合营企业。</w:t>
      </w:r>
    </w:p>
    <w:p>
      <w:pPr>
        <w:pStyle w:val="BodyText"/>
        <w:spacing w:line="240" w:lineRule="auto" w:before="153"/>
        <w:ind w:right="1133" w:firstLine="360"/>
        <w:jc w:val="both"/>
      </w:pPr>
      <w:r>
        <w:rPr>
          <w:spacing w:val="-2"/>
        </w:rPr>
        <w:t>未通过单独主体达成的合营安排，划分为共同经营；通过单独主体达成的合营安排，通常划分为合营企业；但有确凿证</w:t>
      </w:r>
      <w:r>
        <w:rPr/>
        <w:t> 据表明满足下列任一条件并且符合相关法律法规规定的合营安排划分为共同经营：</w:t>
      </w:r>
    </w:p>
    <w:p>
      <w:pPr>
        <w:pStyle w:val="BodyText"/>
        <w:spacing w:line="240" w:lineRule="auto" w:before="153"/>
        <w:ind w:left="513" w:right="986"/>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39"/>
        <w:ind w:left="513" w:right="986"/>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236" w:lineRule="exact" w:before="161"/>
        <w:ind w:right="1133" w:firstLine="360"/>
        <w:jc w:val="both"/>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 安排相关的几乎所有产出，并且该安排中负债的清偿持续依赖于合营方的支持。</w:t>
      </w:r>
    </w:p>
    <w:p>
      <w:pPr>
        <w:spacing w:line="374" w:lineRule="auto" w:before="131"/>
        <w:ind w:left="513" w:right="17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52"/>
        <w:ind w:left="513" w:right="986"/>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42"/>
        <w:ind w:left="513" w:right="986"/>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40"/>
        <w:ind w:left="513" w:right="986"/>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39"/>
        <w:ind w:left="513" w:right="986"/>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70" w:lineRule="atLeast" w:before="21"/>
        <w:ind w:left="513" w:right="986"/>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232" w:lineRule="exact" w:before="22"/>
        <w:ind w:right="1035"/>
        <w:jc w:val="left"/>
      </w:pPr>
      <w:r>
        <w:rPr/>
        <w:t>该交易产生的损益中归属于共同经营其他参与方的部分。投出或出售的资产发生符合《企业会计准则第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232" w:lineRule="exact" w:before="159"/>
        <w:ind w:right="1129" w:firstLine="360"/>
        <w:jc w:val="both"/>
      </w:pPr>
      <w:r>
        <w:rPr>
          <w:spacing w:val="-2"/>
        </w:rPr>
        <w:t>本公司自共同经营购买资产等（该资产构成业务的除外），在将该资产等出售给第三方之前，仅确认因该交易产生的损</w:t>
      </w:r>
      <w:r>
        <w:rPr/>
        <w:t> </w:t>
      </w:r>
      <w:r>
        <w:rPr>
          <w:spacing w:val="-2"/>
        </w:rPr>
        <w:t>益中归属于共同经营其他参与方的部分。购入的资产发生符合《企业会计准则第</w:t>
      </w:r>
      <w:r>
        <w:rPr>
          <w:spacing w:val="-3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资产减值》等规定的资产减值损失</w:t>
      </w:r>
      <w:r>
        <w:rPr>
          <w:spacing w:val="-88"/>
        </w:rPr>
        <w:t> </w:t>
      </w:r>
      <w:r>
        <w:rPr>
          <w:spacing w:val="-88"/>
        </w:rPr>
      </w:r>
      <w:r>
        <w:rPr/>
        <w:t>的，本公司按承担的份额确认该部分损失。</w:t>
      </w:r>
    </w:p>
    <w:p>
      <w:pPr>
        <w:pStyle w:val="BodyText"/>
        <w:spacing w:line="240" w:lineRule="auto" w:before="132"/>
        <w:ind w:right="113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after="0" w:line="240" w:lineRule="auto"/>
        <w:jc w:val="both"/>
        <w:sectPr>
          <w:footerReference w:type="default" r:id="rId19"/>
          <w:pgSz w:w="11910" w:h="16840"/>
          <w:pgMar w:footer="979" w:header="748" w:top="1060" w:bottom="116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在编制现金流量表时，将本公司库存现金以及可以随时用于支付的存款确认为现金。将同时具备期限短（一般从购买日</w:t>
      </w:r>
      <w:r>
        <w:rPr/>
        <w:t> </w:t>
      </w:r>
      <w:r>
        <w:rPr>
          <w:spacing w:val="-2"/>
        </w:rPr>
        <w:t>起三个月内到期）、流动性强、易于转换为已知金额的现金、价值变动风险很小四个条件的投资，确定为现金等价物。</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3"/>
          <w:szCs w:val="23"/>
        </w:rPr>
      </w:pPr>
    </w:p>
    <w:p>
      <w:pPr>
        <w:pStyle w:val="BodyText"/>
        <w:spacing w:line="374" w:lineRule="auto"/>
        <w:ind w:left="513" w:right="3193"/>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237" w:lineRule="auto" w:before="57"/>
        <w:ind w:right="1131"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3"/>
        </w:rPr>
        <w:t> </w:t>
      </w:r>
      <w:r>
        <w:rPr>
          <w:spacing w:val="-63"/>
        </w:rPr>
      </w:r>
      <w:r>
        <w:rPr/>
        <w:t>币性项目，仍采用交易发生日的即期汇率折算，不改变其记账本位币金额。</w:t>
      </w:r>
    </w:p>
    <w:p>
      <w:pPr>
        <w:pStyle w:val="BodyText"/>
        <w:spacing w:line="240" w:lineRule="auto" w:before="153"/>
        <w:ind w:right="113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90" w:lineRule="atLeast" w:before="12"/>
        <w:ind w:left="513" w:right="986"/>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36" w:lineRule="exact" w:before="5"/>
        <w:ind w:right="986"/>
        <w:jc w:val="left"/>
      </w:pPr>
      <w:r>
        <w:rPr>
          <w:spacing w:val="-2"/>
        </w:rPr>
        <w:t>目采用发生时的即期汇率折算。利润表中的收入和费用项目，采用当期平均汇率折算。按照上述折算产生的外币财务报表折</w:t>
      </w:r>
      <w:r>
        <w:rPr>
          <w:spacing w:val="-64"/>
        </w:rPr>
        <w:t> </w:t>
      </w:r>
      <w:r>
        <w:rPr>
          <w:spacing w:val="-64"/>
        </w:rPr>
      </w:r>
      <w:r>
        <w:rPr/>
        <w:t>算差额计入其他综合收益。</w:t>
      </w:r>
    </w:p>
    <w:p>
      <w:pPr>
        <w:pStyle w:val="BodyText"/>
        <w:spacing w:line="237" w:lineRule="auto" w:before="133"/>
        <w:ind w:right="1130"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3"/>
        </w:rPr>
        <w:t> </w:t>
      </w:r>
      <w:r>
        <w:rPr>
          <w:spacing w:val="-63"/>
        </w:rPr>
      </w:r>
      <w:r>
        <w:rPr/>
        <w:t>或合营企业的部分股权时，与该境外经营相关的外币报表折算差额，按处置该境外经营的比例转入处置当期损益。</w:t>
      </w:r>
    </w:p>
    <w:p>
      <w:pPr>
        <w:spacing w:line="240" w:lineRule="auto" w:before="4"/>
        <w:rPr>
          <w:rFonts w:ascii="宋体" w:hAnsi="宋体" w:cs="宋体" w:eastAsia="宋体" w:hint="default"/>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10</w:t>
      </w:r>
      <w:r>
        <w:rPr/>
        <w:t>、金融工具</w:t>
      </w:r>
      <w:r>
        <w:rPr>
          <w:b w:val="0"/>
          <w:bCs w:val="0"/>
        </w:rPr>
      </w:r>
    </w:p>
    <w:p>
      <w:pPr>
        <w:pStyle w:val="BodyText"/>
        <w:spacing w:line="390" w:lineRule="atLeast" w:before="149"/>
        <w:ind w:left="513" w:right="986"/>
        <w:jc w:val="left"/>
      </w:pPr>
      <w:r>
        <w:rPr/>
        <w:t>在本公司成为金融工具合同的一方时确认一项金融资产或金融负债。 实际利率法是指计算金融资产或金融负债的摊余成本以及将利息收入或利息费用分摊计入各会计期间的方法。 </w:t>
      </w:r>
      <w:r>
        <w:rPr>
          <w:spacing w:val="-2"/>
        </w:rPr>
        <w:t>实际利率，是指将金融资产或金融负债在预计存续期的估计未来现金流量，折现为该金融资产账面余额或该金融负债摊</w:t>
      </w:r>
    </w:p>
    <w:p>
      <w:pPr>
        <w:pStyle w:val="BodyText"/>
        <w:spacing w:line="236" w:lineRule="exact" w:before="18"/>
        <w:ind w:right="986"/>
        <w:jc w:val="left"/>
      </w:pPr>
      <w:r>
        <w:rPr/>
        <w:t>余成本所使用的利率。在确定实际利率时，在考虑金融资产或金融负债所有合同条款</w:t>
      </w:r>
      <w:r>
        <w:rPr>
          <w:rFonts w:ascii="Times New Roman" w:hAnsi="Times New Roman" w:cs="Times New Roman" w:eastAsia="Times New Roman" w:hint="default"/>
        </w:rPr>
        <w:t>(</w:t>
      </w:r>
      <w:r>
        <w:rPr/>
        <w:t>如提前还款、展期、看涨期权或其他</w:t>
      </w:r>
      <w:r>
        <w:rPr>
          <w:spacing w:val="-55"/>
        </w:rPr>
        <w:t> </w:t>
      </w:r>
      <w:r>
        <w:rPr>
          <w:spacing w:val="-55"/>
        </w:rPr>
      </w:r>
      <w:r>
        <w:rPr/>
        <w:t>类似期权等</w:t>
      </w:r>
      <w:r>
        <w:rPr>
          <w:rFonts w:ascii="Times New Roman" w:hAnsi="Times New Roman" w:cs="Times New Roman" w:eastAsia="Times New Roman" w:hint="default"/>
        </w:rPr>
        <w:t>)</w:t>
      </w:r>
      <w:r>
        <w:rPr/>
        <w:t>的基础上估计预期现金流量，但不考虑预期信用损失。</w:t>
      </w:r>
    </w:p>
    <w:p>
      <w:pPr>
        <w:pStyle w:val="BodyText"/>
        <w:spacing w:line="232" w:lineRule="exact" w:before="156"/>
        <w:ind w:right="1131" w:firstLine="360"/>
        <w:jc w:val="both"/>
      </w:pPr>
      <w:r>
        <w:rPr>
          <w:spacing w:val="-2"/>
        </w:rPr>
        <w:t>金融资产或金融负债的摊余成本是以该金融资产或金融负债的初始确认金额扣除已偿还的本金，加上或减去采用实际利</w:t>
      </w:r>
      <w:r>
        <w:rPr/>
        <w:t> 率法将该初始确认金额与到期日金额之间的差额进行摊销形成的累计摊销额，再扣除累计计提的损失准备</w:t>
      </w:r>
      <w:r>
        <w:rPr>
          <w:rFonts w:ascii="Times New Roman" w:hAnsi="Times New Roman" w:cs="Times New Roman" w:eastAsia="Times New Roman" w:hint="default"/>
        </w:rPr>
        <w:t>(</w:t>
      </w:r>
      <w:r>
        <w:rPr/>
        <w:t>仅适用于金融资</w:t>
      </w:r>
      <w:r>
        <w:rPr>
          <w:spacing w:val="-55"/>
        </w:rPr>
        <w:t> </w:t>
      </w:r>
      <w:r>
        <w:rPr>
          <w:spacing w:val="-55"/>
        </w:rPr>
      </w:r>
      <w:r>
        <w:rPr/>
        <w:t>产</w:t>
      </w:r>
      <w:r>
        <w:rPr>
          <w:rFonts w:ascii="Times New Roman" w:hAnsi="Times New Roman" w:cs="Times New Roman" w:eastAsia="Times New Roman" w:hint="default"/>
        </w:rPr>
        <w:t>)</w:t>
      </w:r>
      <w:r>
        <w:rPr/>
        <w:t>。</w:t>
      </w:r>
    </w:p>
    <w:p>
      <w:pPr>
        <w:spacing w:line="374" w:lineRule="auto" w:before="135"/>
        <w:ind w:left="513" w:right="22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金融资产分类和计量</w:t>
      </w:r>
      <w:r>
        <w:rPr>
          <w:rFonts w:ascii="宋体" w:hAnsi="宋体" w:cs="宋体" w:eastAsia="宋体" w:hint="default"/>
          <w:b/>
          <w:bCs/>
          <w:w w:val="99"/>
          <w:sz w:val="18"/>
          <w:szCs w:val="18"/>
        </w:rPr>
        <w:t> </w:t>
      </w:r>
      <w:r>
        <w:rPr>
          <w:rFonts w:ascii="宋体" w:hAnsi="宋体" w:cs="宋体" w:eastAsia="宋体" w:hint="default"/>
          <w:sz w:val="18"/>
          <w:szCs w:val="18"/>
        </w:rPr>
        <w:t>本公司根据所管理金融资产的业务模式和金融资产的合同现金流量特征，将金融资产划分为以下三类：</w:t>
      </w:r>
    </w:p>
    <w:p>
      <w:pPr>
        <w:pStyle w:val="BodyText"/>
        <w:spacing w:line="240" w:lineRule="auto" w:before="52"/>
        <w:ind w:left="513" w:right="986"/>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142"/>
        <w:ind w:left="513" w:right="986"/>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370" w:lineRule="atLeast" w:before="19"/>
        <w:ind w:left="513" w:right="986"/>
        <w:jc w:val="left"/>
      </w:pPr>
      <w:r>
        <w:rPr/>
        <w:t>（</w:t>
      </w:r>
      <w:r>
        <w:rPr>
          <w:rFonts w:ascii="Times New Roman" w:hAnsi="Times New Roman" w:cs="Times New Roman" w:eastAsia="Times New Roman" w:hint="default"/>
        </w:rPr>
        <w:t>3</w:t>
      </w:r>
      <w:r>
        <w:rPr/>
        <w:t>）以公允价值计量且其变动计入当期损益的金融资产。 </w:t>
      </w:r>
      <w:r>
        <w:rPr>
          <w:spacing w:val="-2"/>
        </w:rPr>
        <w:t>金融资产在初始确认时以公允价值计量，但是因销售商品或提供服务等产生的应收账款或应收票据未包含重大融资成分</w:t>
      </w:r>
    </w:p>
    <w:p>
      <w:pPr>
        <w:pStyle w:val="BodyText"/>
        <w:spacing w:line="233" w:lineRule="exact"/>
        <w:ind w:right="986"/>
        <w:jc w:val="left"/>
      </w:pPr>
      <w:r>
        <w:rPr/>
        <w:t>或不考虑不超过一年的融资成分的，按照交易价格进行初始计量。</w:t>
      </w:r>
    </w:p>
    <w:p>
      <w:pPr>
        <w:spacing w:line="240" w:lineRule="auto" w:before="10"/>
        <w:rPr>
          <w:rFonts w:ascii="宋体" w:hAnsi="宋体" w:cs="宋体" w:eastAsia="宋体" w:hint="default"/>
          <w:sz w:val="13"/>
          <w:szCs w:val="13"/>
        </w:rPr>
      </w:pPr>
    </w:p>
    <w:p>
      <w:pPr>
        <w:pStyle w:val="BodyText"/>
        <w:spacing w:line="232" w:lineRule="exact"/>
        <w:ind w:right="1132" w:firstLine="360"/>
        <w:jc w:val="both"/>
      </w:pPr>
      <w:r>
        <w:rPr>
          <w:spacing w:val="-2"/>
        </w:rPr>
        <w:t>对于以公允价值计量且其变动计入当期损益的金融资产，相关交易费用直接计入当期损益，其他类别的金融资产相关交</w:t>
      </w:r>
      <w:r>
        <w:rPr/>
        <w:t> 易费用计入其初始确认金额。</w:t>
      </w:r>
    </w:p>
    <w:p>
      <w:pPr>
        <w:pStyle w:val="BodyText"/>
        <w:spacing w:line="232" w:lineRule="exact" w:before="157"/>
        <w:ind w:right="1132" w:firstLine="360"/>
        <w:jc w:val="both"/>
      </w:pPr>
      <w:r>
        <w:rPr>
          <w:spacing w:val="-2"/>
        </w:rPr>
        <w:t>金融资产的后续计量取决于其分类，当且仅当本公司改变管理金融资产的业务模式时，才对所有受影响的相关金融资产</w:t>
      </w:r>
      <w:r>
        <w:rPr/>
        <w:t> 进行重分类。</w:t>
      </w:r>
    </w:p>
    <w:p>
      <w:pPr>
        <w:spacing w:after="0" w:line="232" w:lineRule="exact"/>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13" w:right="986"/>
        <w:jc w:val="left"/>
      </w:pPr>
      <w:r>
        <w:rPr/>
        <w:t>（</w:t>
      </w:r>
      <w:r>
        <w:rPr>
          <w:rFonts w:ascii="Times New Roman" w:hAnsi="Times New Roman" w:cs="Times New Roman" w:eastAsia="Times New Roman" w:hint="default"/>
        </w:rPr>
        <w:t>1</w:t>
      </w:r>
      <w:r>
        <w:rPr/>
        <w:t>）分类为以摊余成本计量的金融资产</w:t>
      </w:r>
    </w:p>
    <w:p>
      <w:pPr>
        <w:pStyle w:val="BodyText"/>
        <w:spacing w:line="237" w:lineRule="auto" w:before="141"/>
        <w:ind w:right="1131" w:firstLine="360"/>
        <w:jc w:val="both"/>
      </w:pPr>
      <w:r>
        <w:rPr>
          <w:spacing w:val="-2"/>
        </w:rPr>
        <w:t>金融资产的合同条款规定在特定日期产生的现金流量仅为对本金和以未偿付本金金额为基础的利息的支付，且管理该金</w:t>
      </w:r>
      <w:r>
        <w:rPr/>
        <w:t> </w:t>
      </w:r>
      <w:r>
        <w:rPr>
          <w:spacing w:val="-2"/>
        </w:rPr>
        <w:t>融资产的业务模式是以收取合同现金流量为目标，则本公司将该金融资产分类为以摊余成本计量的金融资产。本公司分类为</w:t>
      </w:r>
      <w:r>
        <w:rPr>
          <w:spacing w:val="-62"/>
        </w:rPr>
        <w:t> </w:t>
      </w:r>
      <w:r>
        <w:rPr>
          <w:spacing w:val="-62"/>
        </w:rPr>
      </w:r>
      <w:r>
        <w:rPr/>
        <w:t>以摊余成本计量的金融资产包括货币资金、应收票据、应收账款、其他应收款、长期应收款、债权投资等。</w:t>
      </w:r>
    </w:p>
    <w:p>
      <w:pPr>
        <w:spacing w:line="240" w:lineRule="auto" w:before="8"/>
        <w:rPr>
          <w:rFonts w:ascii="宋体" w:hAnsi="宋体" w:cs="宋体" w:eastAsia="宋体" w:hint="default"/>
          <w:sz w:val="13"/>
          <w:szCs w:val="13"/>
        </w:rPr>
      </w:pPr>
    </w:p>
    <w:p>
      <w:pPr>
        <w:pStyle w:val="BodyText"/>
        <w:spacing w:line="232" w:lineRule="exact"/>
        <w:ind w:right="1130" w:firstLine="360"/>
        <w:jc w:val="both"/>
      </w:pPr>
      <w:r>
        <w:rPr>
          <w:spacing w:val="-2"/>
        </w:rPr>
        <w:t>本公司对此类金融资产采用实际利率法确认利息收入，按摊余成本进行后续计量，其发生减值时或终止确认、修改产生</w:t>
      </w:r>
      <w:r>
        <w:rPr/>
        <w:t> 的利得或损失，计入当期损益。除下列情况外，本公司根据金融资产账面余额乘以实际利率计算确定利息收入：</w:t>
      </w:r>
    </w:p>
    <w:p>
      <w:pPr>
        <w:pStyle w:val="BodyText"/>
        <w:spacing w:line="232" w:lineRule="exact" w:before="159"/>
        <w:ind w:right="1133" w:firstLine="360"/>
        <w:jc w:val="both"/>
      </w:pPr>
      <w:r>
        <w:rPr>
          <w:rFonts w:ascii="Times New Roman" w:hAnsi="Times New Roman" w:cs="Times New Roman" w:eastAsia="Times New Roman" w:hint="default"/>
        </w:rPr>
        <w:t>1</w:t>
      </w:r>
      <w:r>
        <w:rPr/>
        <w:t>）对于购入或源生的已发生信用减值的金融资产，本公司自初始确认起，按照该金融资产的摊余成本和经信用调整的 实际利率计算确定其利息收入。</w:t>
      </w:r>
    </w:p>
    <w:p>
      <w:pPr>
        <w:pStyle w:val="BodyText"/>
        <w:spacing w:line="232" w:lineRule="auto" w:before="138"/>
        <w:ind w:right="1034" w:firstLine="360"/>
        <w:jc w:val="left"/>
      </w:pPr>
      <w:r>
        <w:rPr>
          <w:rFonts w:ascii="Times New Roman" w:hAnsi="Times New Roman" w:cs="Times New Roman" w:eastAsia="Times New Roman" w:hint="default"/>
        </w:rPr>
        <w:t>2</w:t>
      </w:r>
      <w:r>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BodyText"/>
        <w:spacing w:line="370" w:lineRule="atLeast" w:before="33"/>
        <w:ind w:left="513" w:right="986"/>
        <w:jc w:val="left"/>
      </w:pPr>
      <w:r>
        <w:rPr/>
        <w:t>（</w:t>
      </w:r>
      <w:r>
        <w:rPr>
          <w:rFonts w:ascii="Times New Roman" w:hAnsi="Times New Roman" w:cs="Times New Roman" w:eastAsia="Times New Roman" w:hint="default"/>
        </w:rPr>
        <w:t>2</w:t>
      </w:r>
      <w:r>
        <w:rPr/>
        <w:t>）分类为以公允价值计量且其变动计入其他综合收益的金融资产 </w:t>
      </w:r>
      <w:r>
        <w:rPr>
          <w:spacing w:val="-2"/>
        </w:rPr>
        <w:t>金融资产的合同条款规定在特定日期产生的现金流量仅为对本金和以未偿付本金金额为基础的利息的支付，且管理该金</w:t>
      </w:r>
    </w:p>
    <w:p>
      <w:pPr>
        <w:pStyle w:val="BodyText"/>
        <w:spacing w:line="236" w:lineRule="exact" w:before="18"/>
        <w:ind w:right="986"/>
        <w:jc w:val="left"/>
      </w:pPr>
      <w:r>
        <w:rPr>
          <w:spacing w:val="-2"/>
        </w:rPr>
        <w:t>融资产的业务模式既以收取合同现金流量为目标又以出售该金融资产为目标，则本公司将该金融资产分类为以公允价值计量</w:t>
      </w:r>
      <w:r>
        <w:rPr>
          <w:spacing w:val="-64"/>
        </w:rPr>
        <w:t> </w:t>
      </w:r>
      <w:r>
        <w:rPr>
          <w:spacing w:val="-64"/>
        </w:rPr>
      </w:r>
      <w:r>
        <w:rPr/>
        <w:t>且其变动计入其他综合收益的金融资产。</w:t>
      </w:r>
    </w:p>
    <w:p>
      <w:pPr>
        <w:pStyle w:val="BodyText"/>
        <w:spacing w:line="237" w:lineRule="auto" w:before="133"/>
        <w:ind w:right="1034" w:firstLine="360"/>
        <w:jc w:val="left"/>
      </w:pPr>
      <w:r>
        <w:rPr>
          <w:spacing w:val="-2"/>
        </w:rPr>
        <w:t>本公司对此类金融资产采用实际利率法确认利息收入。除利息收入、减值损失及汇兑差额确认为当期损益外，其余公允</w:t>
      </w:r>
      <w:r>
        <w:rPr/>
        <w:t> 价值变动计入其他综合收益。当该金融资产终止确认时，之前计入其他综合收益的累计利得或损失从其他综合收益中转出， 计入当期损益。</w:t>
      </w:r>
    </w:p>
    <w:p>
      <w:pPr>
        <w:spacing w:line="240" w:lineRule="auto" w:before="8"/>
        <w:rPr>
          <w:rFonts w:ascii="宋体" w:hAnsi="宋体" w:cs="宋体" w:eastAsia="宋体" w:hint="default"/>
          <w:sz w:val="13"/>
          <w:szCs w:val="13"/>
        </w:rPr>
      </w:pPr>
    </w:p>
    <w:p>
      <w:pPr>
        <w:pStyle w:val="BodyText"/>
        <w:spacing w:line="232" w:lineRule="exact"/>
        <w:ind w:right="1132" w:firstLine="360"/>
        <w:jc w:val="both"/>
      </w:pPr>
      <w:r>
        <w:rPr>
          <w:spacing w:val="-2"/>
        </w:rPr>
        <w:t>以公允价值计量且变动计入其他综合收益的应收票据及应收账款列报为应收款项融资，其他此类金融资产列报为其他债</w:t>
      </w:r>
      <w:r>
        <w:rPr/>
        <w:t> </w:t>
      </w:r>
      <w:r>
        <w:rPr>
          <w:spacing w:val="-2"/>
        </w:rPr>
        <w:t>权投资，其中：自资产负债表日起一年内到期的其他债权投资列报为一年内到期的非流动资产，原到期日在一年以内的其他</w:t>
      </w:r>
      <w:r>
        <w:rPr>
          <w:spacing w:val="-66"/>
        </w:rPr>
        <w:t> </w:t>
      </w:r>
      <w:r>
        <w:rPr>
          <w:spacing w:val="-66"/>
        </w:rPr>
      </w:r>
      <w:r>
        <w:rPr/>
        <w:t>债权投资列报为其他流动资产。</w:t>
      </w:r>
    </w:p>
    <w:p>
      <w:pPr>
        <w:pStyle w:val="BodyText"/>
        <w:spacing w:line="370" w:lineRule="atLeast" w:before="13"/>
        <w:ind w:left="513" w:right="986"/>
        <w:jc w:val="left"/>
      </w:pPr>
      <w:r>
        <w:rPr/>
        <w:t>（</w:t>
      </w:r>
      <w:r>
        <w:rPr>
          <w:rFonts w:ascii="Times New Roman" w:hAnsi="Times New Roman" w:cs="Times New Roman" w:eastAsia="Times New Roman" w:hint="default"/>
        </w:rPr>
        <w:t>3</w:t>
      </w:r>
      <w:r>
        <w:rPr/>
        <w:t>）指定为以公允价值计量且其变动计入其他综合收益的金融资产 </w:t>
      </w:r>
      <w:r>
        <w:rPr>
          <w:spacing w:val="-2"/>
        </w:rPr>
        <w:t>在初始确认时，本公司可以单项金融资产为基础不可撤销地将非交易性权益工具投资指定为以公允价值计量且其变动计</w:t>
      </w:r>
    </w:p>
    <w:p>
      <w:pPr>
        <w:pStyle w:val="BodyText"/>
        <w:spacing w:line="233" w:lineRule="exact"/>
        <w:ind w:right="986"/>
        <w:jc w:val="left"/>
      </w:pPr>
      <w:r>
        <w:rPr/>
        <w:t>入其他综合收益的金融资产。</w:t>
      </w:r>
    </w:p>
    <w:p>
      <w:pPr>
        <w:pStyle w:val="BodyText"/>
        <w:spacing w:line="237" w:lineRule="auto" w:before="155"/>
        <w:ind w:right="1130" w:firstLine="360"/>
        <w:jc w:val="both"/>
      </w:pPr>
      <w:r>
        <w:rPr>
          <w:spacing w:val="-2"/>
        </w:rPr>
        <w:t>此类金融资产的公允价值变动计入其他综合收益，不需计提减值准备。该金融资产终止确认时，之前计入其他综合收益</w:t>
      </w:r>
      <w:r>
        <w:rPr/>
        <w:t> </w:t>
      </w:r>
      <w:r>
        <w:rPr>
          <w:spacing w:val="-2"/>
        </w:rPr>
        <w:t>的累计利得或损失从其他综合收益中转出，计入留存收益。本公司持有该权益工具投资期间，在本公司收取股利的权利已经</w:t>
      </w:r>
      <w:r>
        <w:rPr>
          <w:spacing w:val="-65"/>
        </w:rPr>
        <w:t> </w:t>
      </w:r>
      <w:r>
        <w:rPr>
          <w:spacing w:val="-65"/>
        </w:rPr>
      </w:r>
      <w:r>
        <w:rPr>
          <w:spacing w:val="-2"/>
        </w:rPr>
        <w:t>确立，与股利相关的经济利益很可能流入本公司，且股利的金额能够可靠计量时，确认股利收入并计入当期损益。本公司对</w:t>
      </w:r>
      <w:r>
        <w:rPr>
          <w:spacing w:val="-65"/>
        </w:rPr>
        <w:t> </w:t>
      </w:r>
      <w:r>
        <w:rPr>
          <w:spacing w:val="-65"/>
        </w:rPr>
      </w:r>
      <w:r>
        <w:rPr/>
        <w:t>此类金融资产在其他权益工具投资项目下列报。</w:t>
      </w:r>
    </w:p>
    <w:p>
      <w:pPr>
        <w:pStyle w:val="BodyText"/>
        <w:spacing w:line="237" w:lineRule="auto" w:before="155"/>
        <w:ind w:right="1132" w:firstLine="360"/>
        <w:jc w:val="both"/>
      </w:pPr>
      <w:r>
        <w:rPr>
          <w:spacing w:val="-2"/>
        </w:rPr>
        <w:t>权益工具投资满足下列条件之一的，属于以公允价值计量且其变动计入当期损益的金融资产：取得该金融资产的目的主</w:t>
      </w:r>
      <w:r>
        <w:rPr/>
        <w:t> </w:t>
      </w:r>
      <w:r>
        <w:rPr>
          <w:spacing w:val="-2"/>
        </w:rPr>
        <w:t>要是为了近期出售；初始确认时属于集中管理的可辨认金融资产工具组合的一部分，且有客观证据表明近期实际存在短期获</w:t>
      </w:r>
      <w:r>
        <w:rPr>
          <w:spacing w:val="-64"/>
        </w:rPr>
        <w:t> </w:t>
      </w:r>
      <w:r>
        <w:rPr>
          <w:spacing w:val="-64"/>
        </w:rPr>
      </w:r>
      <w:r>
        <w:rPr>
          <w:spacing w:val="-3"/>
        </w:rPr>
        <w:t>利模式；属于衍生工具（符合财务担保合同定义的以及被指定为有效套期工具的衍生工具除外）。</w:t>
      </w:r>
    </w:p>
    <w:p>
      <w:pPr>
        <w:pStyle w:val="BodyText"/>
        <w:spacing w:line="370" w:lineRule="atLeast" w:before="32"/>
        <w:ind w:left="513" w:right="986"/>
        <w:jc w:val="left"/>
      </w:pPr>
      <w:r>
        <w:rPr/>
        <w:t>（</w:t>
      </w:r>
      <w:r>
        <w:rPr>
          <w:rFonts w:ascii="Times New Roman" w:hAnsi="Times New Roman" w:cs="Times New Roman" w:eastAsia="Times New Roman" w:hint="default"/>
        </w:rPr>
        <w:t>4</w:t>
      </w:r>
      <w:r>
        <w:rPr/>
        <w:t>）分类为以公允价值计量且其变动计入当期损益的金融资产 </w:t>
      </w:r>
      <w:r>
        <w:rPr>
          <w:spacing w:val="-2"/>
        </w:rPr>
        <w:t>不符合分类为以摊余成本计量或以公允价值计量且其变动计入其他综合收益的金融资产条件、亦不指定为以公允价值计</w:t>
      </w:r>
    </w:p>
    <w:p>
      <w:pPr>
        <w:pStyle w:val="BodyText"/>
        <w:spacing w:line="233" w:lineRule="exact"/>
        <w:ind w:right="986"/>
        <w:jc w:val="left"/>
      </w:pPr>
      <w:r>
        <w:rPr/>
        <w:t>量且其变动计入其他综合收益的金融资产均分类为以公允价值计量且其变动计入当期损益的金融资产。</w:t>
      </w:r>
    </w:p>
    <w:p>
      <w:pPr>
        <w:spacing w:line="240" w:lineRule="auto" w:before="8"/>
        <w:rPr>
          <w:rFonts w:ascii="宋体" w:hAnsi="宋体" w:cs="宋体" w:eastAsia="宋体" w:hint="default"/>
          <w:sz w:val="13"/>
          <w:szCs w:val="13"/>
        </w:rPr>
      </w:pPr>
    </w:p>
    <w:p>
      <w:pPr>
        <w:pStyle w:val="BodyText"/>
        <w:spacing w:line="232" w:lineRule="exact"/>
        <w:ind w:right="1132" w:firstLine="360"/>
        <w:jc w:val="both"/>
      </w:pP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134"/>
        <w:ind w:left="513" w:right="986"/>
        <w:jc w:val="left"/>
      </w:pPr>
      <w:r>
        <w:rPr/>
        <w:t>本公司对此类金融资产根据其流动性在交易性金融资产、其他非流动金融资产项目列报。</w:t>
      </w:r>
    </w:p>
    <w:p>
      <w:pPr>
        <w:pStyle w:val="BodyText"/>
        <w:spacing w:line="370" w:lineRule="atLeast" w:before="32"/>
        <w:ind w:left="513" w:right="986"/>
        <w:jc w:val="left"/>
      </w:pPr>
      <w:r>
        <w:rPr/>
        <w:t>（</w:t>
      </w:r>
      <w:r>
        <w:rPr>
          <w:rFonts w:ascii="Times New Roman" w:hAnsi="Times New Roman" w:cs="Times New Roman" w:eastAsia="Times New Roman" w:hint="default"/>
        </w:rPr>
        <w:t>5</w:t>
      </w:r>
      <w:r>
        <w:rPr/>
        <w:t>）指定为以公允价值计量且其变动计入当期损益的金融资产 </w:t>
      </w:r>
      <w:r>
        <w:rPr>
          <w:spacing w:val="-2"/>
        </w:rPr>
        <w:t>在初始确认时，本公司为了消除或显著减少会计错配，可以单项金融资产为基础不可撤销地将金融资产指定为以公允价</w:t>
      </w:r>
    </w:p>
    <w:p>
      <w:pPr>
        <w:pStyle w:val="BodyText"/>
        <w:spacing w:line="233" w:lineRule="exact"/>
        <w:ind w:right="986"/>
        <w:jc w:val="left"/>
      </w:pPr>
      <w:r>
        <w:rPr/>
        <w:t>值计量且其变动计入当期损益的金融资产。</w:t>
      </w:r>
    </w:p>
    <w:p>
      <w:pPr>
        <w:spacing w:line="240" w:lineRule="auto" w:before="10"/>
        <w:rPr>
          <w:rFonts w:ascii="宋体" w:hAnsi="宋体" w:cs="宋体" w:eastAsia="宋体" w:hint="default"/>
          <w:sz w:val="13"/>
          <w:szCs w:val="13"/>
        </w:rPr>
      </w:pPr>
    </w:p>
    <w:p>
      <w:pPr>
        <w:pStyle w:val="BodyText"/>
        <w:spacing w:line="232" w:lineRule="exact"/>
        <w:ind w:right="1132" w:firstLine="360"/>
        <w:jc w:val="both"/>
      </w:pPr>
      <w:r>
        <w:rPr>
          <w:spacing w:val="-2"/>
        </w:rPr>
        <w:t>混合合同包含一项或多项嵌入衍生工具，且其主合同不属于以上金融资产的，本公司可以将其整体指定为以公允价值计</w:t>
      </w:r>
      <w:r>
        <w:rPr/>
        <w:t> 量且其变动计入当期损益的金融工具。但下列情况除外：</w:t>
      </w:r>
    </w:p>
    <w:p>
      <w:pPr>
        <w:pStyle w:val="BodyText"/>
        <w:spacing w:line="240" w:lineRule="auto" w:before="132"/>
        <w:ind w:left="513" w:right="986"/>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236" w:lineRule="exact" w:before="161"/>
        <w:ind w:right="1133" w:firstLine="360"/>
        <w:jc w:val="both"/>
      </w:pPr>
      <w:r>
        <w:rPr>
          <w:rFonts w:ascii="Times New Roman" w:hAnsi="Times New Roman" w:cs="Times New Roman" w:eastAsia="Times New Roman" w:hint="default"/>
        </w:rPr>
        <w:t>2</w:t>
      </w:r>
      <w:r>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spacing w:after="0" w:line="236" w:lineRule="exact"/>
        <w:jc w:val="both"/>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32" w:lineRule="exact" w:before="69"/>
        <w:ind w:right="986" w:firstLine="360"/>
        <w:jc w:val="left"/>
      </w:pP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134"/>
        <w:ind w:left="513" w:right="986"/>
        <w:jc w:val="left"/>
      </w:pPr>
      <w:r>
        <w:rPr/>
        <w:t>本公司对此类金融资产根据其流动性在交易性金融资产、其他非流动金融资产项目列报。</w:t>
      </w:r>
    </w:p>
    <w:p>
      <w:pPr>
        <w:pStyle w:val="BodyText"/>
        <w:spacing w:line="370" w:lineRule="atLeast" w:before="32"/>
        <w:ind w:left="513" w:right="986"/>
        <w:jc w:val="left"/>
      </w:pPr>
      <w:r>
        <w:rPr>
          <w:rFonts w:ascii="Times New Roman" w:hAnsi="Times New Roman" w:cs="Times New Roman" w:eastAsia="Times New Roman" w:hint="default"/>
          <w:b/>
          <w:bCs/>
        </w:rPr>
        <w:t>2.</w:t>
      </w:r>
      <w:r>
        <w:rPr>
          <w:rFonts w:ascii="宋体" w:hAnsi="宋体" w:cs="宋体" w:eastAsia="宋体" w:hint="default"/>
          <w:b/>
          <w:bCs/>
        </w:rPr>
        <w:t>金融负债分类和计量</w:t>
      </w:r>
      <w:r>
        <w:rPr>
          <w:rFonts w:ascii="宋体" w:hAnsi="宋体" w:cs="宋体" w:eastAsia="宋体" w:hint="default"/>
          <w:b/>
          <w:bCs/>
          <w:w w:val="99"/>
        </w:rPr>
        <w:t> </w:t>
      </w:r>
      <w:r>
        <w:rPr>
          <w:spacing w:val="-2"/>
        </w:rPr>
        <w:t>本公司根据所发行金融工具的合同条款及其所反映的经济实质而非仅以法律形式，结合金融负债和权益工具的定义，在</w:t>
      </w:r>
    </w:p>
    <w:p>
      <w:pPr>
        <w:pStyle w:val="BodyText"/>
        <w:spacing w:line="236" w:lineRule="exact" w:before="18"/>
        <w:ind w:right="986"/>
        <w:jc w:val="left"/>
      </w:pPr>
      <w:r>
        <w:rPr>
          <w:spacing w:val="-2"/>
        </w:rPr>
        <w:t>初始确认时将该金融工具或其组成部分分类为金融负债或权益工具。金融负债在初始确认时分类为：以公允价值计量且其变</w:t>
      </w:r>
      <w:r>
        <w:rPr>
          <w:spacing w:val="-64"/>
        </w:rPr>
        <w:t> </w:t>
      </w:r>
      <w:r>
        <w:rPr>
          <w:spacing w:val="-64"/>
        </w:rPr>
      </w:r>
      <w:r>
        <w:rPr/>
        <w:t>动计入当期损益的金融负债、其他金融负债、被指定为有效套期工具的衍生工具。</w:t>
      </w:r>
    </w:p>
    <w:p>
      <w:pPr>
        <w:pStyle w:val="BodyText"/>
        <w:spacing w:line="232" w:lineRule="exact" w:before="156"/>
        <w:ind w:right="986" w:firstLine="360"/>
        <w:jc w:val="left"/>
      </w:pPr>
      <w:r>
        <w:rPr>
          <w:spacing w:val="-2"/>
        </w:rPr>
        <w:t>金融负债在初始确认时以公允价值计量。对于以公允价值计量且其变动计入当期损益的金融负债，相关的交易费用直接</w:t>
      </w:r>
      <w:r>
        <w:rPr/>
        <w:t> 计入当期损益；对于其他类别的金融负债，相关交易费用计入初始确认金额。</w:t>
      </w:r>
    </w:p>
    <w:p>
      <w:pPr>
        <w:pStyle w:val="BodyText"/>
        <w:spacing w:line="240" w:lineRule="auto" w:before="132"/>
        <w:ind w:left="513" w:right="986"/>
        <w:jc w:val="left"/>
      </w:pPr>
      <w:r>
        <w:rPr/>
        <w:t>金融负债的后续计量取决于其分类：</w:t>
      </w:r>
    </w:p>
    <w:p>
      <w:pPr>
        <w:pStyle w:val="BodyText"/>
        <w:spacing w:line="370" w:lineRule="atLeast" w:before="35"/>
        <w:ind w:left="513" w:right="986"/>
        <w:jc w:val="left"/>
      </w:pPr>
      <w:r>
        <w:rPr/>
        <w:t>（</w:t>
      </w:r>
      <w:r>
        <w:rPr>
          <w:rFonts w:ascii="Times New Roman" w:hAnsi="Times New Roman" w:cs="Times New Roman" w:eastAsia="Times New Roman" w:hint="default"/>
        </w:rPr>
        <w:t>1</w:t>
      </w:r>
      <w:r>
        <w:rPr/>
        <w:t>）以公允价值计量且其变动计入当期损益的金融负债 </w:t>
      </w:r>
      <w:r>
        <w:rPr>
          <w:spacing w:val="-2"/>
        </w:rPr>
        <w:t>此类金融负债包括交易性金融负债（含属于金融负债的衍生工具）和初始确认时指定为以公允价值计量且其变动计入当</w:t>
      </w:r>
    </w:p>
    <w:p>
      <w:pPr>
        <w:pStyle w:val="BodyText"/>
        <w:spacing w:line="233" w:lineRule="exact"/>
        <w:ind w:right="986"/>
        <w:jc w:val="left"/>
      </w:pPr>
      <w:r>
        <w:rPr/>
        <w:t>期损益的金融负债。</w:t>
      </w:r>
    </w:p>
    <w:p>
      <w:pPr>
        <w:pStyle w:val="BodyText"/>
        <w:spacing w:line="237" w:lineRule="auto" w:before="155"/>
        <w:ind w:right="1130" w:firstLine="360"/>
        <w:jc w:val="both"/>
      </w:pPr>
      <w:r>
        <w:rPr>
          <w:spacing w:val="-2"/>
        </w:rPr>
        <w:t>满足下列条件之一的，属于交易性金融负债：承担相关金融负债的目的主要是为了在近期内出售或回购；属于集中管理</w:t>
      </w:r>
      <w:r>
        <w:rPr/>
        <w:t> </w:t>
      </w:r>
      <w:r>
        <w:rPr>
          <w:spacing w:val="-2"/>
        </w:rPr>
        <w:t>的可辨认金融工具组合的一部分，且有客观证据表明企业近期采用短期获利方式模式；属于衍生工具，但是，被指定且为有</w:t>
      </w:r>
      <w:r>
        <w:rPr>
          <w:spacing w:val="-64"/>
        </w:rPr>
        <w:t> </w:t>
      </w:r>
      <w:r>
        <w:rPr>
          <w:spacing w:val="-64"/>
        </w:rPr>
      </w:r>
      <w:r>
        <w:rPr>
          <w:spacing w:val="-2"/>
        </w:rPr>
        <w:t>效套期工具的衍生工具、符合财务担保合同的衍生工具除外。交易性金融负债（含属于金融负债的衍生工具），按照公允价</w:t>
      </w:r>
      <w:r>
        <w:rPr>
          <w:spacing w:val="-64"/>
        </w:rPr>
        <w:t> </w:t>
      </w:r>
      <w:r>
        <w:rPr>
          <w:spacing w:val="-64"/>
        </w:rPr>
      </w:r>
      <w:r>
        <w:rPr/>
        <w:t>值进行后续计量，除与套期会计有关外，所有公允价值变动均计入当期损益。</w:t>
      </w:r>
    </w:p>
    <w:p>
      <w:pPr>
        <w:spacing w:line="240" w:lineRule="auto" w:before="10"/>
        <w:rPr>
          <w:rFonts w:ascii="宋体" w:hAnsi="宋体" w:cs="宋体" w:eastAsia="宋体" w:hint="default"/>
          <w:sz w:val="13"/>
          <w:szCs w:val="13"/>
        </w:rPr>
      </w:pPr>
    </w:p>
    <w:p>
      <w:pPr>
        <w:pStyle w:val="BodyText"/>
        <w:spacing w:line="232" w:lineRule="exact"/>
        <w:ind w:right="986" w:firstLine="360"/>
        <w:jc w:val="left"/>
      </w:pPr>
      <w:r>
        <w:rPr>
          <w:spacing w:val="-2"/>
        </w:rPr>
        <w:t>在初始确认时，为了提供更相关的会计信息，本公司将满足下列条件之一的金融负债不可撤销地指定为以公允价值计量</w:t>
      </w:r>
      <w:r>
        <w:rPr/>
        <w:t> 且其变动计入当期损益的金融负债：</w:t>
      </w:r>
    </w:p>
    <w:p>
      <w:pPr>
        <w:pStyle w:val="BodyText"/>
        <w:spacing w:line="240" w:lineRule="auto" w:before="132"/>
        <w:ind w:left="513" w:right="986"/>
        <w:jc w:val="left"/>
      </w:pPr>
      <w:r>
        <w:rPr>
          <w:rFonts w:ascii="Times New Roman" w:hAnsi="Times New Roman" w:cs="Times New Roman" w:eastAsia="Times New Roman" w:hint="default"/>
        </w:rPr>
        <w:t>1</w:t>
      </w:r>
      <w:r>
        <w:rPr/>
        <w:t>）能够消除或显著减少会计错配。</w:t>
      </w:r>
    </w:p>
    <w:p>
      <w:pPr>
        <w:pStyle w:val="BodyText"/>
        <w:spacing w:line="236" w:lineRule="exact" w:before="161"/>
        <w:ind w:right="1124" w:firstLine="36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232" w:lineRule="exact" w:before="156"/>
        <w:ind w:right="1131" w:firstLine="360"/>
        <w:jc w:val="both"/>
      </w:pPr>
      <w:r>
        <w:rPr>
          <w:spacing w:val="-2"/>
        </w:rPr>
        <w:t>本公司对此类金融负债采用公允价值进行后续计量，除由本公司自身信用风险变动引起的公允价值变动计入其他综合收</w:t>
      </w:r>
      <w:r>
        <w:rPr/>
        <w:t> </w:t>
      </w:r>
      <w:r>
        <w:rPr>
          <w:spacing w:val="-2"/>
        </w:rPr>
        <w:t>益之外，其他公允价值变动计入当期损益。除非由本公司自身信用风险变动引起的公允价值变动计入其他综合收益会造成或</w:t>
      </w:r>
      <w:r>
        <w:rPr>
          <w:spacing w:val="-64"/>
        </w:rPr>
        <w:t> </w:t>
      </w:r>
      <w:r>
        <w:rPr>
          <w:spacing w:val="-64"/>
        </w:rPr>
      </w:r>
      <w:r>
        <w:rPr/>
        <w:t>扩大损益中的会计错配，本公司将所有公允价值变动（包括自身信用风险变动的影响金额）计入当期损益。</w:t>
      </w:r>
    </w:p>
    <w:p>
      <w:pPr>
        <w:pStyle w:val="BodyText"/>
        <w:spacing w:line="370" w:lineRule="atLeast" w:before="13"/>
        <w:ind w:left="513" w:right="986"/>
        <w:jc w:val="left"/>
      </w:pPr>
      <w:r>
        <w:rPr/>
        <w:t>（</w:t>
      </w:r>
      <w:r>
        <w:rPr>
          <w:rFonts w:ascii="Times New Roman" w:hAnsi="Times New Roman" w:cs="Times New Roman" w:eastAsia="Times New Roman" w:hint="default"/>
        </w:rPr>
        <w:t>2</w:t>
      </w:r>
      <w:r>
        <w:rPr/>
        <w:t>）其他金融负债 </w:t>
      </w:r>
      <w:r>
        <w:rPr>
          <w:spacing w:val="-2"/>
        </w:rPr>
        <w:t>除下列各项外，公司将金融负债分类为以摊余成本计量的金融负债，对此类金融负债采用实际利率法，按照摊余成本进</w:t>
      </w:r>
    </w:p>
    <w:p>
      <w:pPr>
        <w:pStyle w:val="BodyText"/>
        <w:spacing w:line="233" w:lineRule="exact"/>
        <w:ind w:right="986"/>
        <w:jc w:val="left"/>
      </w:pPr>
      <w:r>
        <w:rPr/>
        <w:t>行后续计量，终止确认或摊销产生的利得或损失计入当期损益：</w:t>
      </w:r>
    </w:p>
    <w:p>
      <w:pPr>
        <w:pStyle w:val="BodyText"/>
        <w:spacing w:line="240" w:lineRule="auto" w:before="153"/>
        <w:ind w:left="513" w:right="986"/>
        <w:jc w:val="left"/>
      </w:pP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142"/>
        <w:ind w:left="513" w:right="986"/>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70" w:lineRule="atLeast" w:before="19"/>
        <w:ind w:left="513" w:right="986"/>
        <w:jc w:val="left"/>
      </w:pPr>
      <w:r>
        <w:rPr>
          <w:rFonts w:ascii="Times New Roman" w:hAnsi="Times New Roman" w:cs="Times New Roman" w:eastAsia="Times New Roman" w:hint="default"/>
        </w:rPr>
        <w:t>3</w:t>
      </w:r>
      <w:r>
        <w:rPr/>
        <w:t>）不属于本条前两类情形的财务担保合同，以及不属于本条第</w:t>
      </w:r>
      <w:r>
        <w:rPr>
          <w:spacing w:val="-45"/>
        </w:rPr>
        <w:t> </w:t>
      </w:r>
      <w:r>
        <w:rPr>
          <w:rFonts w:ascii="Times New Roman" w:hAnsi="Times New Roman" w:cs="Times New Roman" w:eastAsia="Times New Roman" w:hint="default"/>
        </w:rPr>
        <w:t>1</w:t>
      </w:r>
      <w:r>
        <w:rPr/>
        <w:t>）类情形的以低于市场利率贷款的贷款承诺。 </w:t>
      </w:r>
      <w:r>
        <w:rPr>
          <w:spacing w:val="-2"/>
        </w:rPr>
        <w:t>财务担保合同是指当特定债务人到期不能按照最初或修改后的债务工具条款偿付债务时，要求发行方向蒙受损失的合同</w:t>
      </w:r>
    </w:p>
    <w:p>
      <w:pPr>
        <w:pStyle w:val="BodyText"/>
        <w:spacing w:line="232" w:lineRule="exact" w:before="24"/>
        <w:ind w:right="986"/>
        <w:jc w:val="left"/>
      </w:pPr>
      <w:r>
        <w:rPr>
          <w:spacing w:val="-2"/>
        </w:rPr>
        <w:t>持有人赔付特定金额的合同。不属于指定为以公允价值计量且其变动计入当期损益的金融负债的财务担保合同，在初始确认</w:t>
      </w:r>
      <w:r>
        <w:rPr>
          <w:spacing w:val="-64"/>
        </w:rPr>
        <w:t> </w:t>
      </w:r>
      <w:r>
        <w:rPr>
          <w:spacing w:val="-64"/>
        </w:rPr>
      </w:r>
      <w:r>
        <w:rPr/>
        <w:t>后按照损失准备金额以及初始确认金额扣除担保期内的累计摊销额后的余额孰高进行计量。</w:t>
      </w:r>
    </w:p>
    <w:p>
      <w:pPr>
        <w:pStyle w:val="Heading5"/>
        <w:spacing w:line="240" w:lineRule="auto" w:before="132"/>
        <w:ind w:right="986"/>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240" w:lineRule="auto" w:before="139"/>
        <w:ind w:left="513" w:right="986"/>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142"/>
        <w:ind w:left="513" w:right="986"/>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139"/>
        <w:ind w:left="513" w:right="986"/>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374" w:lineRule="auto" w:before="139"/>
        <w:ind w:left="513" w:right="986"/>
        <w:jc w:val="left"/>
      </w:pPr>
      <w:r>
        <w:rPr>
          <w:rFonts w:ascii="Times New Roman" w:hAnsi="Times New Roman" w:cs="Times New Roman" w:eastAsia="Times New Roman" w:hint="default"/>
        </w:rPr>
        <w:t>3</w:t>
      </w:r>
      <w:r>
        <w:rPr/>
        <w:t>）金融负债终止确认条件 </w:t>
      </w:r>
      <w:r>
        <w:rPr>
          <w:spacing w:val="-3"/>
        </w:rPr>
        <w:t>金融负债（或其一部分）的现时义务已经解除的，则终止确认该金融负债（或该部分金融负债）。</w:t>
      </w:r>
    </w:p>
    <w:p>
      <w:pPr>
        <w:pStyle w:val="BodyText"/>
        <w:spacing w:line="232" w:lineRule="exact" w:before="80"/>
        <w:ind w:right="986" w:firstLine="360"/>
        <w:jc w:val="left"/>
      </w:pPr>
      <w:r>
        <w:rPr>
          <w:spacing w:val="-2"/>
        </w:rPr>
        <w:t>本公司与借出方之间签订协议，以承担新金融负债方式替换原金融负债，且新金融负债与原金融负债的合同条款实质上</w:t>
      </w:r>
      <w:r>
        <w:rPr/>
        <w:t> </w:t>
      </w:r>
      <w:r>
        <w:rPr>
          <w:spacing w:val="-4"/>
        </w:rPr>
        <w:t>不同的，或对原金融负债（或其一部分）的合同条款做出实质性修改的，则终止确认原金融负债，同时确认一项新金融负债，</w:t>
      </w:r>
      <w:r>
        <w:rPr>
          <w:spacing w:val="-43"/>
        </w:rPr>
        <w:t> </w:t>
      </w:r>
      <w:r>
        <w:rPr>
          <w:spacing w:val="-43"/>
        </w:rPr>
      </w:r>
      <w:r>
        <w:rPr/>
        <w:t>账面价值与支付的对价（包括转出的非现金资产或承担的负债）之间的差额，计入当期损益。</w:t>
      </w:r>
    </w:p>
    <w:p>
      <w:pPr>
        <w:spacing w:after="0" w:line="232" w:lineRule="exact"/>
        <w:jc w:val="left"/>
        <w:sectPr>
          <w:footerReference w:type="default" r:id="rId20"/>
          <w:pgSz w:w="11910" w:h="16840"/>
          <w:pgMar w:footer="979" w:header="748" w:top="1060" w:bottom="1160" w:left="980" w:right="0"/>
          <w:pgNumType w:start="104"/>
        </w:sectPr>
      </w:pPr>
    </w:p>
    <w:p>
      <w:pPr>
        <w:spacing w:line="240" w:lineRule="auto" w:before="8"/>
        <w:rPr>
          <w:rFonts w:ascii="宋体" w:hAnsi="宋体" w:cs="宋体" w:eastAsia="宋体" w:hint="default"/>
          <w:sz w:val="22"/>
          <w:szCs w:val="22"/>
        </w:rPr>
      </w:pPr>
    </w:p>
    <w:p>
      <w:pPr>
        <w:pStyle w:val="BodyText"/>
        <w:spacing w:line="237" w:lineRule="auto" w:before="46"/>
        <w:ind w:right="986" w:firstLine="360"/>
        <w:jc w:val="left"/>
      </w:pPr>
      <w:r>
        <w:rPr>
          <w:spacing w:val="-2"/>
        </w:rPr>
        <w:t>本公司回购金融负债一部分的，按照继续确认部分和终止确认部分在回购日各自的公允价值占整体公允价值的比例，对</w:t>
      </w:r>
      <w:r>
        <w:rPr/>
        <w:t> </w:t>
      </w:r>
      <w:r>
        <w:rPr>
          <w:spacing w:val="-4"/>
        </w:rPr>
        <w:t>该金融负债整体的账面价值进行分配。分配给终止确认部分的账面价值与支付的对价（包括转出的非现金资产或承担的负债）</w:t>
      </w:r>
      <w:r>
        <w:rPr>
          <w:spacing w:val="-44"/>
        </w:rPr>
        <w:t> </w:t>
      </w:r>
      <w:r>
        <w:rPr>
          <w:spacing w:val="-44"/>
        </w:rPr>
      </w:r>
      <w:r>
        <w:rPr/>
        <w:t>之间的差额，应当计入当期损益。</w:t>
      </w:r>
    </w:p>
    <w:p>
      <w:pPr>
        <w:spacing w:line="374" w:lineRule="auto" w:before="153"/>
        <w:ind w:left="513" w:right="19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本公司在发生金融资产转移时，评估其保留金融资产所有权上的风险和报酬的程度，并分别下列情形处理：</w:t>
      </w:r>
    </w:p>
    <w:p>
      <w:pPr>
        <w:pStyle w:val="BodyText"/>
        <w:spacing w:line="236" w:lineRule="exact" w:before="74"/>
        <w:ind w:right="1124" w:firstLine="360"/>
        <w:jc w:val="left"/>
      </w:pPr>
      <w:r>
        <w:rPr/>
        <w:t>（</w:t>
      </w:r>
      <w:r>
        <w:rPr>
          <w:rFonts w:ascii="Times New Roman" w:hAnsi="Times New Roman" w:cs="Times New Roman" w:eastAsia="Times New Roman" w:hint="default"/>
        </w:rPr>
        <w:t>1</w:t>
      </w:r>
      <w:r>
        <w:rPr/>
        <w:t>）转移了金融资产所有权上几乎所有风险和报酬的，则终止确认该金融资产，并将转移中产生或保留的权利和义务 单独确认为资产或负债。</w:t>
      </w:r>
    </w:p>
    <w:p>
      <w:pPr>
        <w:pStyle w:val="BodyText"/>
        <w:spacing w:line="240" w:lineRule="auto" w:before="131"/>
        <w:ind w:left="513" w:right="986"/>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spacing w:line="240" w:lineRule="auto" w:before="7"/>
        <w:rPr>
          <w:rFonts w:ascii="宋体" w:hAnsi="宋体" w:cs="宋体" w:eastAsia="宋体" w:hint="default"/>
          <w:sz w:val="12"/>
          <w:szCs w:val="12"/>
        </w:rPr>
      </w:pPr>
    </w:p>
    <w:p>
      <w:pPr>
        <w:pStyle w:val="BodyText"/>
        <w:spacing w:line="232" w:lineRule="exact"/>
        <w:ind w:right="986" w:firstLine="360"/>
        <w:jc w:val="left"/>
      </w:pPr>
      <w:r>
        <w:rPr>
          <w:spacing w:val="-7"/>
        </w:rPr>
        <w:t>（</w:t>
      </w:r>
      <w:r>
        <w:rPr>
          <w:rFonts w:ascii="Times New Roman" w:hAnsi="Times New Roman" w:cs="Times New Roman" w:eastAsia="Times New Roman" w:hint="default"/>
          <w:spacing w:val="-7"/>
        </w:rPr>
        <w:t>3</w:t>
      </w:r>
      <w:r>
        <w:rPr>
          <w:spacing w:val="-7"/>
        </w:rPr>
        <w:t>）既没有转移也没有保留金融资产所有权上几乎所有风险和报酬的（即除本条（</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w:t>
      </w:r>
      <w:r>
        <w:rPr>
          <w:spacing w:val="-7"/>
        </w:rPr>
        <w:t>）之外的其他情形），则根据</w:t>
      </w:r>
      <w:r>
        <w:rPr/>
        <w:t> 其是否保留了对金融资产的控制，分别下列情形处理：</w:t>
      </w:r>
    </w:p>
    <w:p>
      <w:pPr>
        <w:pStyle w:val="BodyText"/>
        <w:spacing w:line="240" w:lineRule="auto" w:before="135"/>
        <w:ind w:left="513" w:right="0"/>
        <w:jc w:val="left"/>
      </w:pPr>
      <w:r>
        <w:rPr>
          <w:rFonts w:ascii="Times New Roman" w:hAnsi="Times New Roman" w:cs="Times New Roman" w:eastAsia="Times New Roman" w:hint="default"/>
        </w:rPr>
        <w:t>1</w:t>
      </w:r>
      <w:r>
        <w:rPr/>
        <w:t>）未保留对该金融资产控制的，则终止确认该金融资产，并将转移中产生或保留的权利和义务单独确认为资产或负债。</w:t>
      </w:r>
    </w:p>
    <w:p>
      <w:pPr>
        <w:spacing w:line="240" w:lineRule="auto" w:before="7"/>
        <w:rPr>
          <w:rFonts w:ascii="宋体" w:hAnsi="宋体" w:cs="宋体" w:eastAsia="宋体" w:hint="default"/>
          <w:sz w:val="12"/>
          <w:szCs w:val="12"/>
        </w:rPr>
      </w:pPr>
    </w:p>
    <w:p>
      <w:pPr>
        <w:pStyle w:val="BodyText"/>
        <w:spacing w:line="232" w:lineRule="exact"/>
        <w:ind w:right="1124" w:firstLine="360"/>
        <w:jc w:val="left"/>
      </w:pPr>
      <w:r>
        <w:rPr>
          <w:rFonts w:ascii="Times New Roman" w:hAnsi="Times New Roman" w:cs="Times New Roman" w:eastAsia="Times New Roman" w:hint="default"/>
        </w:rPr>
        <w:t>2</w:t>
      </w:r>
      <w:r>
        <w:rPr/>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BodyText"/>
        <w:spacing w:line="240" w:lineRule="auto" w:before="132"/>
        <w:ind w:right="986" w:firstLine="360"/>
        <w:jc w:val="left"/>
      </w:pPr>
      <w:r>
        <w:rPr>
          <w:spacing w:val="-2"/>
        </w:rPr>
        <w:t>在判断金融资产转移是否满足上述金融资产终止确认条件时，采用实质重于形式的原则。公司将金融资产转移区分为金</w:t>
      </w:r>
      <w:r>
        <w:rPr/>
        <w:t> 融资产整体转移和部分转移。</w:t>
      </w:r>
    </w:p>
    <w:p>
      <w:pPr>
        <w:pStyle w:val="BodyText"/>
        <w:spacing w:line="240" w:lineRule="auto" w:before="153"/>
        <w:ind w:left="513" w:right="986"/>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BodyText"/>
        <w:spacing w:line="240" w:lineRule="auto" w:before="139"/>
        <w:ind w:left="513" w:right="986"/>
        <w:jc w:val="left"/>
      </w:pPr>
      <w:r>
        <w:rPr>
          <w:rFonts w:ascii="Times New Roman" w:hAnsi="Times New Roman" w:cs="Times New Roman" w:eastAsia="Times New Roman" w:hint="default"/>
        </w:rPr>
        <w:t>1</w:t>
      </w:r>
      <w:r>
        <w:rPr/>
        <w:t>）被转移金融资产在终止确认日的账面价值。</w:t>
      </w:r>
    </w:p>
    <w:p>
      <w:pPr>
        <w:spacing w:line="240" w:lineRule="auto" w:before="10"/>
        <w:rPr>
          <w:rFonts w:ascii="宋体" w:hAnsi="宋体" w:cs="宋体" w:eastAsia="宋体" w:hint="default"/>
          <w:sz w:val="12"/>
          <w:szCs w:val="12"/>
        </w:rPr>
      </w:pPr>
    </w:p>
    <w:p>
      <w:pPr>
        <w:pStyle w:val="BodyText"/>
        <w:spacing w:line="232" w:lineRule="exact"/>
        <w:ind w:right="1124" w:firstLine="360"/>
        <w:jc w:val="left"/>
      </w:pPr>
      <w:r>
        <w:rPr>
          <w:rFonts w:ascii="Times New Roman" w:hAnsi="Times New Roman" w:cs="Times New Roman" w:eastAsia="Times New Roman" w:hint="default"/>
        </w:rPr>
        <w:t>2</w:t>
      </w:r>
      <w:r>
        <w:rPr/>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BodyText"/>
        <w:spacing w:line="232" w:lineRule="auto" w:before="138"/>
        <w:ind w:right="1131" w:firstLine="360"/>
        <w:jc w:val="both"/>
      </w:pPr>
      <w:r>
        <w:rPr/>
        <w:t>（</w:t>
      </w:r>
      <w:r>
        <w:rPr>
          <w:rFonts w:ascii="Times New Roman" w:hAnsi="Times New Roman" w:cs="Times New Roman" w:eastAsia="Times New Roman" w:hint="default"/>
        </w:rPr>
        <w:t>2</w:t>
      </w:r>
      <w:r>
        <w:rPr/>
        <w:t>）金融资产部分转移且该被转移部分整体满足终止确认条件的，将转移前金融资产整体的账面价值，在终止确认部 </w:t>
      </w:r>
      <w:r>
        <w:rPr>
          <w:spacing w:val="-2"/>
        </w:rPr>
        <w:t>分和继续确认部分（在此种情形下，所保留的服务资产应当视同继续确认金融资产的一部分）之间，按照转移日各自的相对</w:t>
      </w:r>
      <w:r>
        <w:rPr>
          <w:spacing w:val="-64"/>
        </w:rPr>
        <w:t> </w:t>
      </w:r>
      <w:r>
        <w:rPr>
          <w:spacing w:val="-64"/>
        </w:rPr>
      </w:r>
      <w:r>
        <w:rPr/>
        <w:t>公允价值进行分摊，并将下列两项金额的差额计入当期损益：</w:t>
      </w:r>
    </w:p>
    <w:p>
      <w:pPr>
        <w:pStyle w:val="BodyText"/>
        <w:spacing w:line="240" w:lineRule="auto" w:before="154"/>
        <w:ind w:left="513" w:right="986"/>
        <w:jc w:val="left"/>
      </w:pPr>
      <w:r>
        <w:rPr>
          <w:rFonts w:ascii="Times New Roman" w:hAnsi="Times New Roman" w:cs="Times New Roman" w:eastAsia="Times New Roman" w:hint="default"/>
        </w:rPr>
        <w:t>1</w:t>
      </w:r>
      <w:r>
        <w:rPr/>
        <w:t>）终止确认部分在终止确认日的账面价值。</w:t>
      </w:r>
    </w:p>
    <w:p>
      <w:pPr>
        <w:spacing w:line="240" w:lineRule="auto" w:before="7"/>
        <w:rPr>
          <w:rFonts w:ascii="宋体" w:hAnsi="宋体" w:cs="宋体" w:eastAsia="宋体" w:hint="default"/>
          <w:sz w:val="12"/>
          <w:szCs w:val="12"/>
        </w:rPr>
      </w:pPr>
    </w:p>
    <w:p>
      <w:pPr>
        <w:pStyle w:val="BodyText"/>
        <w:spacing w:line="232" w:lineRule="exact"/>
        <w:ind w:right="1124" w:firstLine="360"/>
        <w:jc w:val="left"/>
      </w:pPr>
      <w:r>
        <w:rPr>
          <w:rFonts w:ascii="Times New Roman" w:hAnsi="Times New Roman" w:cs="Times New Roman" w:eastAsia="Times New Roman" w:hint="default"/>
        </w:rPr>
        <w:t>2</w:t>
      </w:r>
      <w:r>
        <w:rPr/>
        <w:t>）终止确认部分收到的对价，与原计入其他综合收益的公允价值变动累计额中对应终止确认部分的金额（涉及转移的 金融资产为以公允价值计量且其变动计入其他综合收益的金融资产）之和。</w:t>
      </w:r>
    </w:p>
    <w:p>
      <w:pPr>
        <w:pStyle w:val="BodyText"/>
        <w:spacing w:line="388" w:lineRule="exact" w:before="34"/>
        <w:ind w:left="513" w:right="986"/>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99"/>
        </w:rPr>
        <w:t> </w:t>
      </w:r>
      <w:r>
        <w:rPr>
          <w:spacing w:val="-2"/>
        </w:rPr>
        <w:t>存在活跃市场的金融资产或金融负债，以活跃市场的报价确定其公允价值，除非该项金融资产存在针对资产本身的限售</w:t>
      </w:r>
    </w:p>
    <w:p>
      <w:pPr>
        <w:pStyle w:val="BodyText"/>
        <w:spacing w:line="180" w:lineRule="exact"/>
        <w:ind w:right="986"/>
        <w:jc w:val="left"/>
      </w:pPr>
      <w:r>
        <w:rPr/>
        <w:t>期。对于针对资产本身的限售的金融资产，按照活跃市场的报价扣除市场参与者因承担指定期间内无法在公开市场上出售该</w:t>
      </w:r>
    </w:p>
    <w:p>
      <w:pPr>
        <w:pStyle w:val="BodyText"/>
        <w:spacing w:line="232" w:lineRule="exact" w:before="24"/>
        <w:ind w:right="1034"/>
        <w:jc w:val="left"/>
      </w:pPr>
      <w:r>
        <w:rPr/>
        <w:t>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BodyText"/>
        <w:spacing w:line="392" w:lineRule="exact" w:before="29"/>
        <w:ind w:left="513" w:right="986"/>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178" w:lineRule="exact"/>
        <w:ind w:right="986"/>
        <w:jc w:val="left"/>
      </w:pPr>
      <w:r>
        <w:rPr/>
        <w:t>有足够可利用数据和其他信息支持的估值技术</w:t>
      </w:r>
      <w:r>
        <w:rPr>
          <w:spacing w:val="-82"/>
        </w:rPr>
        <w:t>，</w:t>
      </w:r>
      <w:r>
        <w:rPr/>
        <w:t>选择与市场参与者在相关资产或负债的交易中所考虑的资产或负债特征相一</w:t>
      </w:r>
    </w:p>
    <w:p>
      <w:pPr>
        <w:pStyle w:val="BodyText"/>
        <w:spacing w:line="232" w:lineRule="exact" w:before="23"/>
        <w:ind w:right="986"/>
        <w:jc w:val="left"/>
      </w:pP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370" w:lineRule="atLeast" w:before="13"/>
        <w:ind w:left="513" w:right="986"/>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99"/>
        </w:rPr>
        <w:t> </w:t>
      </w:r>
      <w:r>
        <w:rPr>
          <w:spacing w:val="-2"/>
        </w:rPr>
        <w:t>本公司以预期信用损失为基础，对分类为以摊余成本计量的金融资产、分类为以公允价值计量且其变动计入其他综合收</w:t>
      </w:r>
    </w:p>
    <w:p>
      <w:pPr>
        <w:pStyle w:val="BodyText"/>
        <w:spacing w:line="233" w:lineRule="exact"/>
        <w:ind w:right="986"/>
        <w:jc w:val="left"/>
      </w:pPr>
      <w:r>
        <w:rPr/>
        <w:t>益的金融资产以及财务担保合同，进行减值会计处理并确认损失准备。</w:t>
      </w:r>
    </w:p>
    <w:p>
      <w:pPr>
        <w:pStyle w:val="BodyText"/>
        <w:spacing w:line="237" w:lineRule="auto" w:before="155"/>
        <w:ind w:right="1130" w:firstLine="360"/>
        <w:jc w:val="both"/>
      </w:pPr>
      <w:r>
        <w:rPr>
          <w:spacing w:val="-2"/>
        </w:rPr>
        <w:t>预期信用损失，是指以发生违约的风险为权重的金融工具信用损失的加权平均值。信用损失，是指本公司按照原实际利</w:t>
      </w:r>
      <w:r>
        <w:rPr/>
        <w:t> </w:t>
      </w:r>
      <w:r>
        <w:rPr>
          <w:spacing w:val="-2"/>
        </w:rPr>
        <w:t>率折现的、根据合同应收的所有合同现金流量与预期收取的所有现金流量之间的差额，即全部现金短缺的现值。其中，对于</w:t>
      </w:r>
      <w:r>
        <w:rPr>
          <w:spacing w:val="-64"/>
        </w:rPr>
        <w:t> </w:t>
      </w:r>
      <w:r>
        <w:rPr>
          <w:spacing w:val="-64"/>
        </w:rPr>
      </w:r>
      <w:r>
        <w:rPr/>
        <w:t>本公司购买或源生的已发生信用减值的金融资产，应按照该金融资产经信用调整的实际利率折现。</w:t>
      </w:r>
    </w:p>
    <w:p>
      <w:pPr>
        <w:spacing w:line="240" w:lineRule="auto" w:before="8"/>
        <w:rPr>
          <w:rFonts w:ascii="宋体" w:hAnsi="宋体" w:cs="宋体" w:eastAsia="宋体" w:hint="default"/>
          <w:sz w:val="13"/>
          <w:szCs w:val="13"/>
        </w:rPr>
      </w:pPr>
    </w:p>
    <w:p>
      <w:pPr>
        <w:pStyle w:val="BodyText"/>
        <w:spacing w:line="232" w:lineRule="exact"/>
        <w:ind w:right="986" w:firstLine="360"/>
        <w:jc w:val="left"/>
      </w:pPr>
      <w:r>
        <w:rPr>
          <w:spacing w:val="-2"/>
        </w:rPr>
        <w:t>对由收入准则规范的交易形成的应收款项，本公司运用简化计量方法，按照相当于整个存续期内预期信用损失的金额计</w:t>
      </w:r>
      <w:r>
        <w:rPr/>
        <w:t> 量损失准备。</w:t>
      </w:r>
    </w:p>
    <w:p>
      <w:pPr>
        <w:spacing w:after="0" w:line="232" w:lineRule="exact"/>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37" w:lineRule="auto" w:before="46"/>
        <w:ind w:right="1130" w:firstLine="360"/>
        <w:jc w:val="both"/>
      </w:pPr>
      <w:r>
        <w:rPr>
          <w:spacing w:val="-2"/>
        </w:rPr>
        <w:t>对于购买或源生的已发生信用减值的金融资产，在资产负债表日仅将自初始确认后整个存续期内预期信用损失的累计变</w:t>
      </w:r>
      <w:r>
        <w:rPr/>
        <w:t> </w:t>
      </w:r>
      <w:r>
        <w:rPr>
          <w:spacing w:val="-2"/>
        </w:rPr>
        <w:t>动确认为损失准备。在每个资产负债表日，将整个存续期内预期信用损失的变动金额作为减值损失或利得计入当期损益。即</w:t>
      </w:r>
      <w:r>
        <w:rPr>
          <w:spacing w:val="-63"/>
        </w:rPr>
        <w:t> </w:t>
      </w:r>
      <w:r>
        <w:rPr>
          <w:spacing w:val="-63"/>
        </w:rPr>
      </w:r>
      <w:r>
        <w:rPr>
          <w:spacing w:val="-2"/>
        </w:rPr>
        <w:t>使该资产负债表日确定的整个存续期内预期信用损失小于初始确认时估计现金流量所反映的预期信用损失的金额，也将预期</w:t>
      </w:r>
      <w:r>
        <w:rPr>
          <w:spacing w:val="-64"/>
        </w:rPr>
        <w:t> </w:t>
      </w:r>
      <w:r>
        <w:rPr>
          <w:spacing w:val="-64"/>
        </w:rPr>
      </w:r>
      <w:r>
        <w:rPr/>
        <w:t>信用损失的有利变动确认为减值利得。</w:t>
      </w:r>
    </w:p>
    <w:p>
      <w:pPr>
        <w:spacing w:line="240" w:lineRule="auto" w:before="8"/>
        <w:rPr>
          <w:rFonts w:ascii="宋体" w:hAnsi="宋体" w:cs="宋体" w:eastAsia="宋体" w:hint="default"/>
          <w:sz w:val="13"/>
          <w:szCs w:val="13"/>
        </w:rPr>
      </w:pPr>
    </w:p>
    <w:p>
      <w:pPr>
        <w:pStyle w:val="BodyText"/>
        <w:spacing w:line="232" w:lineRule="exact"/>
        <w:ind w:right="1132" w:firstLine="360"/>
        <w:jc w:val="both"/>
      </w:pPr>
      <w:r>
        <w:rPr>
          <w:spacing w:val="-2"/>
        </w:rPr>
        <w:t>除上述采用简化计量方法和购买或源生的已发生信用减值以外的其他金融资产，本公司在每个资产负债表日评估相关金</w:t>
      </w:r>
      <w:r>
        <w:rPr/>
        <w:t> 融工具的信用风险自初始确认后是否已显著增加，并按照下列情形分别计量其损失准备、确认预期信用损失及其变动：</w:t>
      </w:r>
    </w:p>
    <w:p>
      <w:pPr>
        <w:pStyle w:val="BodyText"/>
        <w:spacing w:line="232" w:lineRule="exact" w:before="159"/>
        <w:ind w:right="1126" w:firstLine="360"/>
        <w:jc w:val="both"/>
      </w:pPr>
      <w:r>
        <w:rPr/>
        <w:t>（</w:t>
      </w:r>
      <w:r>
        <w:rPr>
          <w:rFonts w:ascii="Times New Roman" w:hAnsi="Times New Roman" w:cs="Times New Roman" w:eastAsia="Times New Roman" w:hint="default"/>
        </w:rPr>
        <w:t>1</w:t>
      </w:r>
      <w:r>
        <w:rPr/>
        <w:t>）如果该金融工具的信用风险自初始确认后并未显著增加，处于第一阶段，则按照相当于该金融工具未来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 内预期信用损失的金额计量其损失准备，并按照账面余额和实际利率计算利息收入。</w:t>
      </w:r>
    </w:p>
    <w:p>
      <w:pPr>
        <w:pStyle w:val="BodyText"/>
        <w:spacing w:line="232" w:lineRule="exact" w:before="157"/>
        <w:ind w:right="1133" w:firstLine="360"/>
        <w:jc w:val="both"/>
      </w:pPr>
      <w:r>
        <w:rPr/>
        <w:t>（</w:t>
      </w:r>
      <w:r>
        <w:rPr>
          <w:rFonts w:ascii="Times New Roman" w:hAnsi="Times New Roman" w:cs="Times New Roman" w:eastAsia="Times New Roman" w:hint="default"/>
        </w:rPr>
        <w:t>2</w:t>
      </w:r>
      <w:r>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BodyText"/>
        <w:spacing w:line="234" w:lineRule="exact" w:before="157"/>
        <w:ind w:right="1132" w:firstLine="360"/>
        <w:jc w:val="both"/>
      </w:pPr>
      <w:r>
        <w:rPr/>
        <w:t>（</w:t>
      </w:r>
      <w:r>
        <w:rPr>
          <w:rFonts w:ascii="Times New Roman" w:hAnsi="Times New Roman" w:cs="Times New Roman" w:eastAsia="Times New Roman" w:hint="default"/>
        </w:rPr>
        <w:t>3</w:t>
      </w:r>
      <w:r>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BodyText"/>
        <w:spacing w:line="237" w:lineRule="auto" w:before="134"/>
        <w:ind w:right="1132" w:firstLine="360"/>
        <w:jc w:val="both"/>
      </w:pPr>
      <w:r>
        <w:rPr>
          <w:spacing w:val="-2"/>
        </w:rPr>
        <w:t>金融工具信用损失准备的增加或转回金额，作为减值损失或利得计入当期损益。除分类为以公允价值计量且其变动计入</w:t>
      </w:r>
      <w:r>
        <w:rPr/>
        <w:t> </w:t>
      </w:r>
      <w:r>
        <w:rPr>
          <w:spacing w:val="-2"/>
        </w:rPr>
        <w:t>其他综合收益的金融资产外，信用损失准备抵减金融资产的账面余额。对于分类为以公允价值计量且其变动计入其他综合收</w:t>
      </w:r>
      <w:r>
        <w:rPr>
          <w:spacing w:val="-64"/>
        </w:rPr>
        <w:t> </w:t>
      </w:r>
      <w:r>
        <w:rPr>
          <w:spacing w:val="-64"/>
        </w:rPr>
      </w:r>
      <w:r>
        <w:rPr/>
        <w:t>益的金融资产，本公司在其他综合收益中确认其信用损失准备，不减少该金融资产在资产负债表中列示的账面价值。</w:t>
      </w:r>
    </w:p>
    <w:p>
      <w:pPr>
        <w:pStyle w:val="BodyText"/>
        <w:spacing w:line="232" w:lineRule="auto" w:before="160"/>
        <w:ind w:right="1131" w:firstLine="360"/>
        <w:jc w:val="both"/>
      </w:pPr>
      <w:r>
        <w:rPr>
          <w:spacing w:val="-2"/>
        </w:rPr>
        <w:t>本公司在前一会计期间已经按照相当于金融工具整个存续期内预期信用损失的金额计量了损失准备，但在当期资产负债</w:t>
      </w:r>
      <w:r>
        <w:rPr/>
        <w:t> 表日，该金融工具已不再属于自初始确认后信用风险显著增加的情形的，本公司在当期资产负债表日按照相当于未来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 月内预期信用损失的金额计量该金融工具的损失准备，由此形成的损失准备的转回金额作为减值利得计入当期损益。</w:t>
      </w:r>
    </w:p>
    <w:p>
      <w:pPr>
        <w:pStyle w:val="BodyText"/>
        <w:spacing w:line="370" w:lineRule="atLeast" w:before="33"/>
        <w:ind w:left="513" w:right="986"/>
        <w:jc w:val="left"/>
      </w:pPr>
      <w:r>
        <w:rPr/>
        <w:t>（</w:t>
      </w:r>
      <w:r>
        <w:rPr>
          <w:rFonts w:ascii="Times New Roman" w:hAnsi="Times New Roman" w:cs="Times New Roman" w:eastAsia="Times New Roman" w:hint="default"/>
        </w:rPr>
        <w:t>4</w:t>
      </w:r>
      <w:r>
        <w:rPr/>
        <w:t>）信用风险显著增加 </w:t>
      </w:r>
      <w:r>
        <w:rPr>
          <w:spacing w:val="-2"/>
        </w:rPr>
        <w:t>本公司利用可获得的合理且有依据的前瞻性信息，通过比较金融工具在资产负债表日发生违约的风险与在初始确认日发</w:t>
      </w:r>
    </w:p>
    <w:p>
      <w:pPr>
        <w:pStyle w:val="BodyText"/>
        <w:spacing w:line="236" w:lineRule="exact" w:before="18"/>
        <w:ind w:right="1130"/>
        <w:jc w:val="both"/>
      </w:pPr>
      <w:r>
        <w:rPr>
          <w:spacing w:val="-2"/>
        </w:rPr>
        <w:t>生违约的风险，以确定金融工具的信用风险自初始确认后是否已显著增加。对于财务担保合同，本公司在应用金融工具减值</w:t>
      </w:r>
      <w:r>
        <w:rPr>
          <w:spacing w:val="-63"/>
        </w:rPr>
        <w:t> </w:t>
      </w:r>
      <w:r>
        <w:rPr>
          <w:spacing w:val="-63"/>
        </w:rPr>
      </w:r>
      <w:r>
        <w:rPr/>
        <w:t>规定时，将本公司成为做出不可撤销承诺的一方之日作为初始确认日。</w:t>
      </w:r>
    </w:p>
    <w:p>
      <w:pPr>
        <w:pStyle w:val="BodyText"/>
        <w:spacing w:line="240" w:lineRule="auto" w:before="131"/>
        <w:ind w:left="513" w:right="986"/>
        <w:jc w:val="left"/>
      </w:pPr>
      <w:r>
        <w:rPr/>
        <w:t>本公司在评估信用风险是否显著增加时会考虑如下因素：</w:t>
      </w:r>
    </w:p>
    <w:p>
      <w:pPr>
        <w:pStyle w:val="BodyText"/>
        <w:spacing w:line="240" w:lineRule="auto" w:before="153"/>
        <w:ind w:left="513" w:right="986"/>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139"/>
        <w:ind w:left="513" w:right="986"/>
        <w:jc w:val="left"/>
      </w:pPr>
      <w:r>
        <w:rPr>
          <w:rFonts w:ascii="Times New Roman" w:hAnsi="Times New Roman" w:cs="Times New Roman" w:eastAsia="Times New Roman" w:hint="default"/>
        </w:rPr>
        <w:t>2</w:t>
      </w:r>
      <w:r>
        <w:rPr/>
        <w:t>）债务人所处的监管、经济或技术环境是否发生显著不利变化；</w:t>
      </w:r>
    </w:p>
    <w:p>
      <w:pPr>
        <w:spacing w:line="240" w:lineRule="auto" w:before="10"/>
        <w:rPr>
          <w:rFonts w:ascii="宋体" w:hAnsi="宋体" w:cs="宋体" w:eastAsia="宋体" w:hint="default"/>
          <w:sz w:val="12"/>
          <w:szCs w:val="12"/>
        </w:rPr>
      </w:pPr>
    </w:p>
    <w:p>
      <w:pPr>
        <w:pStyle w:val="BodyText"/>
        <w:spacing w:line="232" w:lineRule="exact"/>
        <w:ind w:right="1133" w:firstLine="360"/>
        <w:jc w:val="both"/>
      </w:pPr>
      <w:r>
        <w:rPr>
          <w:rFonts w:ascii="Times New Roman" w:hAnsi="Times New Roman" w:cs="Times New Roman" w:eastAsia="Times New Roman" w:hint="default"/>
        </w:rPr>
        <w:t>3</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132"/>
        <w:ind w:left="513" w:right="986"/>
        <w:jc w:val="left"/>
      </w:pPr>
      <w:r>
        <w:rPr>
          <w:rFonts w:ascii="Times New Roman" w:hAnsi="Times New Roman" w:cs="Times New Roman" w:eastAsia="Times New Roman" w:hint="default"/>
        </w:rPr>
        <w:t>4</w:t>
      </w:r>
      <w:r>
        <w:rPr/>
        <w:t>）债务人预期表现和还款行为是否发生显著变化；</w:t>
      </w:r>
    </w:p>
    <w:p>
      <w:pPr>
        <w:pStyle w:val="BodyText"/>
        <w:spacing w:line="370" w:lineRule="atLeast" w:before="18"/>
        <w:ind w:left="513" w:right="986"/>
        <w:jc w:val="left"/>
      </w:pPr>
      <w:r>
        <w:rPr>
          <w:rFonts w:ascii="Times New Roman" w:hAnsi="Times New Roman" w:cs="Times New Roman" w:eastAsia="Times New Roman" w:hint="default"/>
        </w:rPr>
        <w:t>5</w:t>
      </w:r>
      <w:r>
        <w:rPr/>
        <w:t>）本公司对金融工具信用管理方法是否发生变化等。 </w:t>
      </w:r>
      <w:r>
        <w:rPr>
          <w:spacing w:val="-2"/>
        </w:rPr>
        <w:t>于资产负债表日，若本公司判断金融工具只具有较低的信用风险，则本公司假定该金融工具的信用风险自初始确认后并</w:t>
      </w:r>
    </w:p>
    <w:p>
      <w:pPr>
        <w:pStyle w:val="BodyText"/>
        <w:spacing w:line="237" w:lineRule="auto"/>
        <w:ind w:right="1130"/>
        <w:jc w:val="both"/>
      </w:pPr>
      <w:r>
        <w:rPr>
          <w:spacing w:val="-2"/>
        </w:rPr>
        <w:t>未显著增加。如果金融工具的违约风险较低，借款人在短期内履行其合同现金流量义务的能力很强，并且即使较长时期内经</w:t>
      </w:r>
      <w:r>
        <w:rPr>
          <w:spacing w:val="-63"/>
        </w:rPr>
        <w:t> </w:t>
      </w:r>
      <w:r>
        <w:rPr>
          <w:spacing w:val="-63"/>
        </w:rPr>
      </w:r>
      <w:r>
        <w:rPr>
          <w:spacing w:val="-2"/>
        </w:rPr>
        <w:t>济形势和经营环境存在不利变化，但未必一定降低借款人履行其合同现金流量义务的能力，则该金融工具被视为具有较低的</w:t>
      </w:r>
      <w:r>
        <w:rPr>
          <w:spacing w:val="-64"/>
        </w:rPr>
        <w:t> </w:t>
      </w:r>
      <w:r>
        <w:rPr>
          <w:spacing w:val="-64"/>
        </w:rPr>
      </w:r>
      <w:r>
        <w:rPr/>
        <w:t>信用风险。</w:t>
      </w:r>
    </w:p>
    <w:p>
      <w:pPr>
        <w:pStyle w:val="BodyText"/>
        <w:spacing w:line="370" w:lineRule="atLeast" w:before="32"/>
        <w:ind w:left="513" w:right="1033"/>
        <w:jc w:val="left"/>
      </w:pPr>
      <w:r>
        <w:rPr/>
        <w:t>（</w:t>
      </w:r>
      <w:r>
        <w:rPr>
          <w:rFonts w:ascii="Times New Roman" w:hAnsi="Times New Roman" w:cs="Times New Roman" w:eastAsia="Times New Roman" w:hint="default"/>
        </w:rPr>
        <w:t>5</w:t>
      </w:r>
      <w:r>
        <w:rPr/>
        <w:t>）已发生信用减值的金融资产 当对金融资产预期未来现金流量具有不利影响的一项或多项事件发生时，该金融资产成为已发生信用减值的金融资产。</w:t>
      </w:r>
    </w:p>
    <w:p>
      <w:pPr>
        <w:pStyle w:val="BodyText"/>
        <w:spacing w:line="233" w:lineRule="exact"/>
        <w:ind w:right="0"/>
        <w:jc w:val="both"/>
      </w:pPr>
      <w:r>
        <w:rPr/>
        <w:t>金融资产已发生信用减值的证据包括下列可观察信息：</w:t>
      </w:r>
    </w:p>
    <w:p>
      <w:pPr>
        <w:pStyle w:val="BodyText"/>
        <w:spacing w:line="240" w:lineRule="auto" w:before="155"/>
        <w:ind w:left="513" w:right="986"/>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139"/>
        <w:ind w:left="513" w:right="986"/>
        <w:jc w:val="left"/>
      </w:pP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139"/>
        <w:ind w:left="513" w:right="986"/>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pStyle w:val="BodyText"/>
        <w:spacing w:line="240" w:lineRule="auto" w:before="139"/>
        <w:ind w:left="513" w:right="986"/>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142"/>
        <w:ind w:left="513" w:right="986"/>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374" w:lineRule="auto" w:before="140"/>
        <w:ind w:left="513" w:right="3013"/>
        <w:jc w:val="left"/>
      </w:pP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金融资产发生信用减值，有可能是多个事件的共同作用所致，未必是可单独识别的事件所致。</w:t>
      </w:r>
    </w:p>
    <w:p>
      <w:pPr>
        <w:spacing w:after="0" w:line="374" w:lineRule="auto"/>
        <w:jc w:val="left"/>
        <w:sectPr>
          <w:pgSz w:w="11910" w:h="16840"/>
          <w:pgMar w:header="748" w:footer="979" w:top="1060" w:bottom="116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13" w:right="986"/>
        <w:jc w:val="left"/>
      </w:pPr>
      <w:r>
        <w:rPr/>
        <w:t>（</w:t>
      </w:r>
      <w:r>
        <w:rPr>
          <w:rFonts w:ascii="Times New Roman" w:hAnsi="Times New Roman" w:cs="Times New Roman" w:eastAsia="Times New Roman" w:hint="default"/>
        </w:rPr>
        <w:t>1</w:t>
      </w:r>
      <w:r>
        <w:rPr/>
        <w:t>）预期信用损失的确定</w:t>
      </w:r>
    </w:p>
    <w:p>
      <w:pPr>
        <w:pStyle w:val="BodyText"/>
        <w:spacing w:line="240" w:lineRule="auto" w:before="139"/>
        <w:ind w:right="986" w:firstLine="360"/>
        <w:jc w:val="left"/>
      </w:pPr>
      <w:r>
        <w:rPr>
          <w:spacing w:val="-2"/>
        </w:rPr>
        <w:t>本公司基于单项和组合评估金融工具的预期信用损失，在评估预期信用损失时，考虑有关过去事项、当前状况以及未来</w:t>
      </w:r>
      <w:r>
        <w:rPr/>
        <w:t> 经济状况预测的合理且有依据的信息。</w:t>
      </w:r>
    </w:p>
    <w:p>
      <w:pPr>
        <w:spacing w:line="240" w:lineRule="auto" w:before="8"/>
        <w:rPr>
          <w:rFonts w:ascii="宋体" w:hAnsi="宋体" w:cs="宋体" w:eastAsia="宋体" w:hint="default"/>
          <w:sz w:val="13"/>
          <w:szCs w:val="13"/>
        </w:rPr>
      </w:pPr>
    </w:p>
    <w:p>
      <w:pPr>
        <w:pStyle w:val="BodyText"/>
        <w:spacing w:line="232" w:lineRule="exact"/>
        <w:ind w:right="986" w:firstLine="360"/>
        <w:jc w:val="left"/>
      </w:pPr>
      <w:r>
        <w:rPr>
          <w:spacing w:val="-2"/>
        </w:rPr>
        <w:t>本公司基于单项和组合评估金融工具的预期信用损失。本公司考虑了不同客户的信用风险特征，以账龄组合为基础评估</w:t>
      </w:r>
      <w:r>
        <w:rPr/>
        <w:t> 以摊余成本计量金融工具的预期信用损失。</w:t>
      </w:r>
    </w:p>
    <w:p>
      <w:pPr>
        <w:pStyle w:val="BodyText"/>
        <w:spacing w:line="240" w:lineRule="auto" w:before="132"/>
        <w:ind w:left="513" w:right="986"/>
        <w:jc w:val="left"/>
      </w:pPr>
      <w:r>
        <w:rPr/>
        <w:t>本公司按照下列方法确定相关金融工具的预期信用损失：</w:t>
      </w:r>
    </w:p>
    <w:p>
      <w:pPr>
        <w:pStyle w:val="BodyText"/>
        <w:spacing w:line="240" w:lineRule="auto" w:before="155"/>
        <w:ind w:left="513" w:right="986"/>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spacing w:line="240" w:lineRule="auto" w:before="7"/>
        <w:rPr>
          <w:rFonts w:ascii="宋体" w:hAnsi="宋体" w:cs="宋体" w:eastAsia="宋体" w:hint="default"/>
          <w:sz w:val="12"/>
          <w:szCs w:val="12"/>
        </w:rPr>
      </w:pPr>
    </w:p>
    <w:p>
      <w:pPr>
        <w:pStyle w:val="BodyText"/>
        <w:spacing w:line="232" w:lineRule="exact"/>
        <w:ind w:right="1124" w:firstLine="360"/>
        <w:jc w:val="left"/>
      </w:pPr>
      <w:r>
        <w:rPr>
          <w:rFonts w:ascii="Times New Roman" w:hAnsi="Times New Roman" w:cs="Times New Roman" w:eastAsia="Times New Roman" w:hint="default"/>
        </w:rPr>
        <w:t>2</w:t>
      </w:r>
      <w:r>
        <w:rPr/>
        <w:t>）对于财务担保合同，信用损失为本公司就该合同持有人发生的信用损失向其做出赔付的预计付款额，减去本公司预 期向该合同持有人、债务人或任何其他方收取的金额之间差额的现值。</w:t>
      </w:r>
    </w:p>
    <w:p>
      <w:pPr>
        <w:pStyle w:val="BodyText"/>
        <w:spacing w:line="236" w:lineRule="exact" w:before="153"/>
        <w:ind w:right="1124" w:firstLine="360"/>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）对于资产负债表日已发生信用减值但并非购买或源生已发生信用减值的金融资产，信用损失为该金融资产账面余额 与按原实际利率折现的估计未来现金流量的现值之间的差额。</w:t>
      </w:r>
    </w:p>
    <w:p>
      <w:pPr>
        <w:pStyle w:val="BodyText"/>
        <w:spacing w:line="232" w:lineRule="exact" w:before="156"/>
        <w:ind w:right="1125" w:firstLine="360"/>
        <w:jc w:val="both"/>
      </w:pPr>
      <w:r>
        <w:rPr/>
        <w:t>本公司计量金融工具预期信用损失的方法反映的因素包括：通过评价一系列可能的结果而确定的无偏概率加权平均金</w:t>
      </w:r>
      <w:r>
        <w:rPr>
          <w:spacing w:val="2"/>
        </w:rPr>
        <w:t> </w:t>
      </w:r>
      <w:r>
        <w:rPr>
          <w:spacing w:val="-2"/>
        </w:rPr>
        <w:t>额；货币时间价值；在资产负债表日无须付出不必要的额外成本或努力即可获得的有关过去事项、当前状况以及未来经济状</w:t>
      </w:r>
      <w:r>
        <w:rPr>
          <w:spacing w:val="-66"/>
        </w:rPr>
        <w:t> </w:t>
      </w:r>
      <w:r>
        <w:rPr>
          <w:spacing w:val="-66"/>
        </w:rPr>
      </w:r>
      <w:r>
        <w:rPr/>
        <w:t>况预测的合理且有依据的信息。</w:t>
      </w:r>
    </w:p>
    <w:p>
      <w:pPr>
        <w:pStyle w:val="BodyText"/>
        <w:spacing w:line="370" w:lineRule="atLeast" w:before="13"/>
        <w:ind w:left="513" w:right="986"/>
        <w:jc w:val="left"/>
      </w:pPr>
      <w:r>
        <w:rPr/>
        <w:t>（</w:t>
      </w:r>
      <w:r>
        <w:rPr>
          <w:rFonts w:ascii="Times New Roman" w:hAnsi="Times New Roman" w:cs="Times New Roman" w:eastAsia="Times New Roman" w:hint="default"/>
        </w:rPr>
        <w:t>2</w:t>
      </w:r>
      <w:r>
        <w:rPr/>
        <w:t>）减记金融资产 </w:t>
      </w:r>
      <w:r>
        <w:rPr>
          <w:spacing w:val="-2"/>
        </w:rPr>
        <w:t>当本公司不再合理预期金融资产合同现金流量能够全部或部分收回的，直接减记该金融资产的账面余额。这种减记构成</w:t>
      </w:r>
    </w:p>
    <w:p>
      <w:pPr>
        <w:pStyle w:val="BodyText"/>
        <w:spacing w:line="233" w:lineRule="exact"/>
        <w:ind w:right="986"/>
        <w:jc w:val="left"/>
      </w:pPr>
      <w:r>
        <w:rPr/>
        <w:t>相关金融资产的终止确认。</w:t>
      </w:r>
    </w:p>
    <w:p>
      <w:pPr>
        <w:spacing w:line="370" w:lineRule="atLeast" w:before="35"/>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33" w:lineRule="exact"/>
        <w:ind w:right="986"/>
        <w:jc w:val="left"/>
      </w:pPr>
      <w:r>
        <w:rPr/>
        <w:t>产负债表内列示：</w:t>
      </w:r>
    </w:p>
    <w:p>
      <w:pPr>
        <w:pStyle w:val="BodyText"/>
        <w:spacing w:line="240" w:lineRule="auto" w:before="153"/>
        <w:ind w:left="513" w:right="986"/>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42"/>
        <w:ind w:left="513" w:right="986"/>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3"/>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11</w:t>
      </w:r>
      <w:r>
        <w:rPr/>
        <w:t>、应收票据</w:t>
      </w:r>
      <w:r>
        <w:rPr>
          <w:b w:val="0"/>
          <w:bCs w:val="0"/>
        </w:rPr>
      </w:r>
    </w:p>
    <w:p>
      <w:pPr>
        <w:pStyle w:val="BodyText"/>
        <w:spacing w:line="468" w:lineRule="exact" w:before="177"/>
        <w:ind w:left="513" w:right="986"/>
        <w:jc w:val="left"/>
      </w:pPr>
      <w:r>
        <w:rPr/>
        <w:t>本公司对应收票据的预期信用损失的确定方法及会计处理方法详见本附注四／（十一）</w:t>
      </w:r>
      <w:r>
        <w:rPr>
          <w:rFonts w:ascii="Times New Roman" w:hAnsi="Times New Roman" w:cs="Times New Roman" w:eastAsia="Times New Roman" w:hint="default"/>
        </w:rPr>
        <w:t>6.</w:t>
      </w:r>
      <w:r>
        <w:rPr/>
        <w:t>金融工具减值。 本公司对在初始确认后已经发生信用减值的应收票据单独确定其信用损失。 </w:t>
      </w:r>
      <w:r>
        <w:rPr>
          <w:spacing w:val="-2"/>
        </w:rPr>
        <w:t>当在单项工具层面无法以合理成本评估预期信用损失的充分证据时，本公司参考历史信用损失经验，结合当前状况以及</w:t>
      </w:r>
    </w:p>
    <w:p>
      <w:pPr>
        <w:pStyle w:val="BodyText"/>
        <w:spacing w:line="316" w:lineRule="auto" w:before="8"/>
        <w:ind w:right="986"/>
        <w:jc w:val="left"/>
      </w:pPr>
      <w:r>
        <w:rPr/>
        <w:t>对未来经济状况的判断，依据信用风险特征将</w:t>
      </w:r>
      <w:r>
        <w:rPr>
          <w:spacing w:val="17"/>
        </w:rPr>
        <w:t> </w:t>
      </w:r>
      <w:r>
        <w:rPr>
          <w:spacing w:val="-3"/>
        </w:rPr>
        <w:t>应收票据划分为若干组合，在组合基础上计算预期信用损失。确定组合的依</w:t>
      </w:r>
      <w:r>
        <w:rPr/>
        <w:t> 据如下：</w:t>
      </w:r>
    </w:p>
    <w:p>
      <w:pPr>
        <w:spacing w:line="240" w:lineRule="auto" w:before="8"/>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278"/>
        <w:gridCol w:w="4311"/>
        <w:gridCol w:w="3070"/>
      </w:tblGrid>
      <w:tr>
        <w:trPr>
          <w:trHeight w:val="343" w:hRule="exact"/>
        </w:trPr>
        <w:tc>
          <w:tcPr>
            <w:tcW w:w="2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27" w:hRule="exact"/>
        </w:trPr>
        <w:tc>
          <w:tcPr>
            <w:tcW w:w="2278" w:type="dxa"/>
            <w:tcBorders>
              <w:top w:val="single" w:sz="4" w:space="0" w:color="000000"/>
              <w:left w:val="single" w:sz="4" w:space="0" w:color="000000"/>
              <w:bottom w:val="nil" w:sz="6" w:space="0" w:color="auto"/>
              <w:right w:val="single" w:sz="4" w:space="0" w:color="000000"/>
            </w:tcBorders>
          </w:tcPr>
          <w:p>
            <w:pPr/>
          </w:p>
        </w:tc>
        <w:tc>
          <w:tcPr>
            <w:tcW w:w="43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26"/>
              <w:jc w:val="left"/>
              <w:rPr>
                <w:rFonts w:ascii="宋体" w:hAnsi="宋体" w:cs="宋体" w:eastAsia="宋体" w:hint="default"/>
                <w:sz w:val="18"/>
                <w:szCs w:val="18"/>
              </w:rPr>
            </w:pPr>
            <w:r>
              <w:rPr>
                <w:rFonts w:ascii="宋体" w:hAnsi="宋体" w:cs="宋体" w:eastAsia="宋体" w:hint="default"/>
                <w:sz w:val="18"/>
                <w:szCs w:val="18"/>
              </w:rPr>
              <w:t>出票人具有较高的信用评级，历史上未发生票据违约，</w:t>
            </w:r>
          </w:p>
        </w:tc>
        <w:tc>
          <w:tcPr>
            <w:tcW w:w="3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w:t>
            </w:r>
          </w:p>
        </w:tc>
      </w:tr>
      <w:tr>
        <w:trPr>
          <w:trHeight w:val="312" w:hRule="exact"/>
        </w:trPr>
        <w:tc>
          <w:tcPr>
            <w:tcW w:w="2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无风险银行承兑票据组合</w:t>
            </w:r>
          </w:p>
        </w:tc>
        <w:tc>
          <w:tcPr>
            <w:tcW w:w="4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pacing w:val="-2"/>
                <w:sz w:val="18"/>
                <w:szCs w:val="18"/>
              </w:rPr>
              <w:t>信用损失风险极低，在短期内履行其支付合同现金流量</w:t>
            </w:r>
          </w:p>
        </w:tc>
        <w:tc>
          <w:tcPr>
            <w:tcW w:w="3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pacing w:val="9"/>
                <w:sz w:val="18"/>
                <w:szCs w:val="18"/>
              </w:rPr>
              <w:t>以及对未来经济状况的预期计量预期</w:t>
            </w:r>
          </w:p>
        </w:tc>
      </w:tr>
      <w:tr>
        <w:trPr>
          <w:trHeight w:val="326" w:hRule="exact"/>
        </w:trPr>
        <w:tc>
          <w:tcPr>
            <w:tcW w:w="2278" w:type="dxa"/>
            <w:tcBorders>
              <w:top w:val="nil" w:sz="6" w:space="0" w:color="auto"/>
              <w:left w:val="single" w:sz="4" w:space="0" w:color="000000"/>
              <w:bottom w:val="single" w:sz="4" w:space="0" w:color="000000"/>
              <w:right w:val="single" w:sz="4" w:space="0" w:color="000000"/>
            </w:tcBorders>
          </w:tcPr>
          <w:p>
            <w:pPr/>
          </w:p>
        </w:tc>
        <w:tc>
          <w:tcPr>
            <w:tcW w:w="43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义务的能力很强</w:t>
            </w:r>
          </w:p>
        </w:tc>
        <w:tc>
          <w:tcPr>
            <w:tcW w:w="30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信用损失。</w:t>
            </w:r>
          </w:p>
        </w:tc>
      </w:tr>
      <w:tr>
        <w:trPr>
          <w:trHeight w:val="65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32"/>
              <w:jc w:val="left"/>
              <w:rPr>
                <w:rFonts w:ascii="宋体" w:hAnsi="宋体" w:cs="宋体" w:eastAsia="宋体" w:hint="default"/>
                <w:sz w:val="18"/>
                <w:szCs w:val="18"/>
              </w:rPr>
            </w:pPr>
            <w:r>
              <w:rPr>
                <w:rFonts w:ascii="宋体" w:hAnsi="宋体" w:cs="宋体" w:eastAsia="宋体" w:hint="default"/>
                <w:sz w:val="18"/>
                <w:szCs w:val="18"/>
              </w:rPr>
              <w:t>结合承兑人、背书人、出票人以及其他债务人的信 用风险确定组合</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31"/>
              <w:jc w:val="left"/>
              <w:rPr>
                <w:rFonts w:ascii="宋体" w:hAnsi="宋体" w:cs="宋体" w:eastAsia="宋体" w:hint="default"/>
                <w:sz w:val="18"/>
                <w:szCs w:val="18"/>
              </w:rPr>
            </w:pPr>
            <w:r>
              <w:rPr>
                <w:rFonts w:ascii="宋体" w:hAnsi="宋体" w:cs="宋体" w:eastAsia="宋体" w:hint="default"/>
                <w:sz w:val="18"/>
                <w:szCs w:val="18"/>
              </w:rPr>
              <w:t>以商业承兑汇票的账龄作为信 用风险特征计提预期信用损失。</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513" w:right="2158"/>
        <w:jc w:val="left"/>
      </w:pPr>
      <w:r>
        <w:rPr/>
        <w:t>本公司对应收账款的预期信用损失的确定方法及会计处理方法详见本附注四／（十一）</w:t>
      </w:r>
      <w:r>
        <w:rPr>
          <w:rFonts w:ascii="Times New Roman" w:hAnsi="Times New Roman" w:cs="Times New Roman" w:eastAsia="Times New Roman" w:hint="default"/>
        </w:rPr>
        <w:t>6.</w:t>
      </w:r>
      <w:r>
        <w:rPr/>
        <w:t>金融工具减值。 本公司对在初始确认后已经发生信用减值的应收账款单独确定其信用损失。</w:t>
      </w:r>
    </w:p>
    <w:p>
      <w:pPr>
        <w:spacing w:after="0" w:line="451"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firstLine="360"/>
        <w:jc w:val="both"/>
      </w:pPr>
      <w:r>
        <w:rPr/>
        <w:pict>
          <v:shape style="position:absolute;margin-left:55.919998pt;margin-top:65.711746pt;width:483.7pt;height:65.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2"/>
                    <w:gridCol w:w="3776"/>
                    <w:gridCol w:w="4361"/>
                  </w:tblGrid>
                  <w:tr>
                    <w:trPr>
                      <w:trHeight w:val="341" w:hRule="exact"/>
                    </w:trPr>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5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29" w:hRule="exact"/>
                    </w:trPr>
                    <w:tc>
                      <w:tcPr>
                        <w:tcW w:w="1522" w:type="dxa"/>
                        <w:tcBorders>
                          <w:top w:val="single" w:sz="4" w:space="0" w:color="000000"/>
                          <w:left w:val="single" w:sz="4" w:space="0" w:color="000000"/>
                          <w:bottom w:val="nil" w:sz="6" w:space="0" w:color="auto"/>
                          <w:right w:val="single" w:sz="4" w:space="0" w:color="000000"/>
                        </w:tcBorders>
                      </w:tcPr>
                      <w:p>
                        <w:pPr/>
                      </w:p>
                    </w:tc>
                    <w:tc>
                      <w:tcPr>
                        <w:tcW w:w="3776" w:type="dxa"/>
                        <w:tcBorders>
                          <w:top w:val="single" w:sz="4" w:space="0" w:color="000000"/>
                          <w:left w:val="single" w:sz="4" w:space="0" w:color="000000"/>
                          <w:bottom w:val="nil" w:sz="6" w:space="0" w:color="auto"/>
                          <w:right w:val="single" w:sz="4" w:space="0" w:color="000000"/>
                        </w:tcBorders>
                      </w:tcPr>
                      <w:p>
                        <w:pPr/>
                      </w:p>
                    </w:tc>
                    <w:tc>
                      <w:tcPr>
                        <w:tcW w:w="4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w:t>
                        </w:r>
                      </w:p>
                    </w:tc>
                  </w:tr>
                  <w:tr>
                    <w:trPr>
                      <w:trHeight w:val="312" w:hRule="exact"/>
                    </w:trPr>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3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参考应收款项的账龄进行信用风险组合分类</w:t>
                        </w:r>
                      </w:p>
                    </w:tc>
                    <w:tc>
                      <w:tcPr>
                        <w:tcW w:w="4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状况的预测，编制应收账款账龄与整个存续期预期信用</w:t>
                        </w:r>
                      </w:p>
                    </w:tc>
                  </w:tr>
                  <w:tr>
                    <w:trPr>
                      <w:trHeight w:val="326" w:hRule="exact"/>
                    </w:trPr>
                    <w:tc>
                      <w:tcPr>
                        <w:tcW w:w="1522" w:type="dxa"/>
                        <w:tcBorders>
                          <w:top w:val="nil" w:sz="6" w:space="0" w:color="auto"/>
                          <w:left w:val="single" w:sz="4" w:space="0" w:color="000000"/>
                          <w:bottom w:val="single" w:sz="4" w:space="0" w:color="000000"/>
                          <w:right w:val="single" w:sz="4" w:space="0" w:color="000000"/>
                        </w:tcBorders>
                      </w:tcPr>
                      <w:p>
                        <w:pPr/>
                      </w:p>
                    </w:tc>
                    <w:tc>
                      <w:tcPr>
                        <w:tcW w:w="3776" w:type="dxa"/>
                        <w:tcBorders>
                          <w:top w:val="nil" w:sz="6" w:space="0" w:color="auto"/>
                          <w:left w:val="single" w:sz="4" w:space="0" w:color="000000"/>
                          <w:bottom w:val="single" w:sz="4" w:space="0" w:color="000000"/>
                          <w:right w:val="single" w:sz="4" w:space="0" w:color="000000"/>
                        </w:tcBorders>
                      </w:tcPr>
                      <w:p>
                        <w:pPr/>
                      </w:p>
                    </w:tc>
                    <w:tc>
                      <w:tcPr>
                        <w:tcW w:w="4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损失率对照表，计算预期信用损失。</w:t>
                        </w:r>
                      </w:p>
                    </w:tc>
                  </w:tr>
                </w:tbl>
                <w:p>
                  <w:pPr/>
                </w:p>
              </w:txbxContent>
            </v:textbox>
            <w10:wrap type="none"/>
          </v:shape>
        </w:pict>
      </w:r>
      <w:r>
        <w:rPr>
          <w:spacing w:val="-2"/>
        </w:rPr>
        <w:t>当在单项工具层面无法以合理成本评估预期信用损失的充分证据时，本公司参考历史信用损失经验，结合当前状况以及</w:t>
      </w:r>
      <w:r>
        <w:rPr/>
        <w:t> </w:t>
      </w:r>
      <w:r>
        <w:rPr>
          <w:spacing w:val="-2"/>
        </w:rPr>
        <w:t>对未来经济状况的判断，依据信用风险特征将应收账款划分为若干组合，在组合基础上计算预期信用损失。确定组合的依据</w:t>
      </w:r>
      <w:r>
        <w:rPr>
          <w:spacing w:val="-63"/>
        </w:rPr>
        <w:t> </w:t>
      </w:r>
      <w:r>
        <w:rPr>
          <w:spacing w:val="-63"/>
        </w:rPr>
      </w:r>
      <w:r>
        <w:rPr/>
        <w:t>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before="36"/>
        <w:ind w:right="986"/>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468" w:lineRule="auto"/>
        <w:ind w:left="513" w:right="1978"/>
        <w:jc w:val="left"/>
      </w:pPr>
      <w:r>
        <w:rPr/>
        <w:t>其他应收款的预期信用损失的确定方法及会计处理方法 本公司对其他应收款的预期信用损失的确定方法及会计处理方法详见本附注四／（十一）</w:t>
      </w:r>
      <w:r>
        <w:rPr>
          <w:rFonts w:ascii="Times New Roman" w:hAnsi="Times New Roman" w:cs="Times New Roman" w:eastAsia="Times New Roman" w:hint="default"/>
        </w:rPr>
        <w:t>6.</w:t>
      </w:r>
      <w:r>
        <w:rPr/>
        <w:t>金融工具减值。 本公司参考历史信用损失经验，结合当前状况以及对未来经济状况的判断，依据信用风 险特征将其他应收款划分为若干组合，在组合基础上计算预期信用损失。确定组合的依据如下：</w:t>
      </w:r>
    </w:p>
    <w:p>
      <w:pPr>
        <w:spacing w:line="240" w:lineRule="auto" w:before="12"/>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522"/>
        <w:gridCol w:w="3776"/>
        <w:gridCol w:w="4361"/>
      </w:tblGrid>
      <w:tr>
        <w:trPr>
          <w:trHeight w:val="343" w:hRule="exact"/>
        </w:trPr>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9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25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3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27" w:hRule="exact"/>
        </w:trPr>
        <w:tc>
          <w:tcPr>
            <w:tcW w:w="1522" w:type="dxa"/>
            <w:tcBorders>
              <w:top w:val="single" w:sz="4" w:space="0" w:color="000000"/>
              <w:left w:val="single" w:sz="4" w:space="0" w:color="000000"/>
              <w:bottom w:val="nil" w:sz="6" w:space="0" w:color="auto"/>
              <w:right w:val="single" w:sz="4" w:space="0" w:color="000000"/>
            </w:tcBorders>
          </w:tcPr>
          <w:p>
            <w:pPr/>
          </w:p>
        </w:tc>
        <w:tc>
          <w:tcPr>
            <w:tcW w:w="3776" w:type="dxa"/>
            <w:tcBorders>
              <w:top w:val="single" w:sz="4" w:space="0" w:color="000000"/>
              <w:left w:val="single" w:sz="4" w:space="0" w:color="000000"/>
              <w:bottom w:val="nil" w:sz="6" w:space="0" w:color="auto"/>
              <w:right w:val="single" w:sz="4" w:space="0" w:color="000000"/>
            </w:tcBorders>
          </w:tcPr>
          <w:p>
            <w:pPr/>
          </w:p>
        </w:tc>
        <w:tc>
          <w:tcPr>
            <w:tcW w:w="4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参考历史信用损失经验，结合当前状况及未来经济状况</w:t>
            </w:r>
          </w:p>
        </w:tc>
      </w:tr>
      <w:tr>
        <w:trPr>
          <w:trHeight w:val="312" w:hRule="exact"/>
        </w:trPr>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3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参考其他应收款的账龄进行信用风险组合分类</w:t>
            </w:r>
          </w:p>
        </w:tc>
        <w:tc>
          <w:tcPr>
            <w:tcW w:w="4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的预测，按账龄与未来十二个月或整个存续期预期信用</w:t>
            </w:r>
          </w:p>
        </w:tc>
      </w:tr>
      <w:tr>
        <w:trPr>
          <w:trHeight w:val="326" w:hRule="exact"/>
        </w:trPr>
        <w:tc>
          <w:tcPr>
            <w:tcW w:w="1522" w:type="dxa"/>
            <w:tcBorders>
              <w:top w:val="nil" w:sz="6" w:space="0" w:color="auto"/>
              <w:left w:val="single" w:sz="4" w:space="0" w:color="000000"/>
              <w:bottom w:val="single" w:sz="4" w:space="0" w:color="000000"/>
              <w:right w:val="single" w:sz="4" w:space="0" w:color="000000"/>
            </w:tcBorders>
          </w:tcPr>
          <w:p>
            <w:pPr/>
          </w:p>
        </w:tc>
        <w:tc>
          <w:tcPr>
            <w:tcW w:w="3776" w:type="dxa"/>
            <w:tcBorders>
              <w:top w:val="nil" w:sz="6" w:space="0" w:color="auto"/>
              <w:left w:val="single" w:sz="4" w:space="0" w:color="000000"/>
              <w:bottom w:val="single" w:sz="4" w:space="0" w:color="000000"/>
              <w:right w:val="single" w:sz="4" w:space="0" w:color="000000"/>
            </w:tcBorders>
          </w:tcPr>
          <w:p>
            <w:pPr/>
          </w:p>
        </w:tc>
        <w:tc>
          <w:tcPr>
            <w:tcW w:w="4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损失率对照表计提预期信用损失。</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15</w:t>
      </w:r>
      <w:r>
        <w:rPr/>
        <w:t>、存货</w:t>
      </w:r>
      <w:r>
        <w:rPr>
          <w:b w:val="0"/>
          <w:bCs w:val="0"/>
        </w:rPr>
      </w:r>
    </w:p>
    <w:p>
      <w:pPr>
        <w:pStyle w:val="BodyText"/>
        <w:spacing w:line="370" w:lineRule="atLeast" w:before="182"/>
        <w:ind w:left="513" w:right="986"/>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spacing w:line="388" w:lineRule="auto" w:before="0"/>
        <w:ind w:left="513" w:right="1128" w:hanging="361"/>
        <w:jc w:val="left"/>
        <w:rPr>
          <w:rFonts w:ascii="宋体" w:hAnsi="宋体" w:cs="宋体" w:eastAsia="宋体" w:hint="default"/>
          <w:sz w:val="18"/>
          <w:szCs w:val="18"/>
        </w:rPr>
      </w:pPr>
      <w:r>
        <w:rPr>
          <w:rFonts w:ascii="宋体" w:hAnsi="宋体" w:cs="宋体" w:eastAsia="宋体" w:hint="default"/>
          <w:sz w:val="18"/>
          <w:szCs w:val="18"/>
        </w:rPr>
        <w:t>耗用的材料和物料等。主要包括原材料、库存商品、在产品、委托加工物资、发出商品及低值易耗品等。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存货在取得时，按成本进行初始计量，包括采购成本、加工成本和其他成本。存货发出时按个别认定法计价。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sz w:val="18"/>
          <w:szCs w:val="18"/>
        </w:rPr>
      </w:r>
    </w:p>
    <w:p>
      <w:pPr>
        <w:pStyle w:val="BodyText"/>
        <w:spacing w:line="237" w:lineRule="auto" w:before="20"/>
        <w:ind w:right="986" w:firstLine="360"/>
        <w:jc w:val="left"/>
      </w:pPr>
      <w:r>
        <w:rPr>
          <w:spacing w:val="-2"/>
        </w:rPr>
        <w:t>期末对存货进行全面清查后，按存货的成本与可变现净值孰低提取或调整存货跌价准备。产成品、库存商品和用于出售</w:t>
      </w:r>
      <w:r>
        <w:rPr/>
        <w:t> </w:t>
      </w: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3"/>
        </w:rPr>
        <w:t> </w:t>
      </w:r>
      <w:r>
        <w:rPr>
          <w:spacing w:val="-63"/>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237" w:lineRule="auto" w:before="155"/>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spacing w:line="240" w:lineRule="auto" w:before="6"/>
        <w:rPr>
          <w:rFonts w:ascii="宋体" w:hAnsi="宋体" w:cs="宋体" w:eastAsia="宋体" w:hint="default"/>
          <w:sz w:val="13"/>
          <w:szCs w:val="13"/>
        </w:rPr>
      </w:pPr>
    </w:p>
    <w:p>
      <w:pPr>
        <w:pStyle w:val="BodyText"/>
        <w:spacing w:line="234" w:lineRule="exact"/>
        <w:ind w:right="986" w:firstLine="360"/>
        <w:jc w:val="left"/>
      </w:pPr>
      <w:r>
        <w:rPr>
          <w:spacing w:val="-2"/>
        </w:rPr>
        <w:t>以前减记存货价值的影响因素已经消失的，减记的金额予以恢复，并在原已计提的存货跌价准备金额内转回，转回的金</w:t>
      </w:r>
      <w:r>
        <w:rPr/>
        <w:t> 额计入当期损益。</w:t>
      </w:r>
    </w:p>
    <w:p>
      <w:pPr>
        <w:pStyle w:val="Heading5"/>
        <w:spacing w:line="240" w:lineRule="auto" w:before="131"/>
        <w:ind w:right="986"/>
        <w:jc w:val="left"/>
        <w:rPr>
          <w:b w:val="0"/>
          <w:bCs w:val="0"/>
        </w:rPr>
      </w:pPr>
      <w:r>
        <w:rPr>
          <w:rFonts w:ascii="Times New Roman" w:hAnsi="Times New Roman" w:cs="Times New Roman" w:eastAsia="Times New Roman" w:hint="default"/>
        </w:rPr>
        <w:t>4.</w:t>
      </w:r>
      <w:r>
        <w:rPr/>
        <w:t>存货的盘存制度</w:t>
      </w:r>
      <w:r>
        <w:rPr>
          <w:b w:val="0"/>
          <w:bCs w:val="0"/>
        </w:rPr>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b/>
          <w:bCs/>
          <w:sz w:val="22"/>
          <w:szCs w:val="22"/>
        </w:rPr>
      </w:pPr>
    </w:p>
    <w:p>
      <w:pPr>
        <w:spacing w:line="386" w:lineRule="auto" w:before="44"/>
        <w:ind w:left="513" w:right="7728" w:firstLine="0"/>
        <w:jc w:val="left"/>
        <w:rPr>
          <w:rFonts w:ascii="宋体" w:hAnsi="宋体" w:cs="宋体" w:eastAsia="宋体" w:hint="default"/>
          <w:sz w:val="18"/>
          <w:szCs w:val="18"/>
        </w:rPr>
      </w:pP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低值易耗品采用一次转销法。</w:t>
      </w:r>
    </w:p>
    <w:p>
      <w:pPr>
        <w:spacing w:line="240" w:lineRule="auto" w:before="11"/>
        <w:rPr>
          <w:rFonts w:ascii="宋体" w:hAnsi="宋体" w:cs="宋体" w:eastAsia="宋体" w:hint="default"/>
          <w:sz w:val="15"/>
          <w:szCs w:val="15"/>
        </w:rPr>
      </w:pPr>
    </w:p>
    <w:p>
      <w:pPr>
        <w:pStyle w:val="Heading4"/>
        <w:spacing w:line="240" w:lineRule="auto"/>
        <w:ind w:right="986"/>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2"/>
        <w:rPr>
          <w:rFonts w:ascii="宋体" w:hAnsi="宋体" w:cs="宋体" w:eastAsia="宋体" w:hint="default"/>
          <w:b/>
          <w:bCs/>
          <w:sz w:val="26"/>
          <w:szCs w:val="26"/>
        </w:rPr>
      </w:pPr>
    </w:p>
    <w:p>
      <w:pPr>
        <w:spacing w:line="451" w:lineRule="auto" w:before="0"/>
        <w:ind w:left="513" w:right="4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本公司将同时满足下列条件的非流动资产或处置组确认为持有待售组成部分：</w:t>
      </w:r>
    </w:p>
    <w:p>
      <w:pPr>
        <w:pStyle w:val="BodyText"/>
        <w:spacing w:line="240" w:lineRule="auto" w:before="74"/>
        <w:ind w:left="513" w:right="986"/>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spacing w:line="240" w:lineRule="auto" w:before="9"/>
        <w:rPr>
          <w:rFonts w:ascii="宋体" w:hAnsi="宋体" w:cs="宋体" w:eastAsia="宋体" w:hint="default"/>
          <w:sz w:val="16"/>
          <w:szCs w:val="16"/>
        </w:rPr>
      </w:pPr>
    </w:p>
    <w:p>
      <w:pPr>
        <w:pStyle w:val="BodyText"/>
        <w:spacing w:line="300" w:lineRule="auto"/>
        <w:ind w:right="1133" w:firstLine="360"/>
        <w:jc w:val="both"/>
      </w:pPr>
      <w:r>
        <w:rPr/>
        <w:t>（</w:t>
      </w:r>
      <w:r>
        <w:rPr>
          <w:rFonts w:ascii="Times New Roman" w:hAnsi="Times New Roman" w:cs="Times New Roman" w:eastAsia="Times New Roman" w:hint="default"/>
        </w:rPr>
        <w:t>2</w:t>
      </w:r>
      <w:r>
        <w:rPr/>
        <w:t>）出售极可能发生，即本公司已经就一项出售计划作出决议，并已获得监管部门批准（如适用），且获得确定的购 买承诺，预计出售将在一年内完成。</w:t>
      </w:r>
    </w:p>
    <w:p>
      <w:pPr>
        <w:spacing w:line="240" w:lineRule="auto" w:before="5"/>
        <w:rPr>
          <w:rFonts w:ascii="宋体" w:hAnsi="宋体" w:cs="宋体" w:eastAsia="宋体" w:hint="default"/>
          <w:sz w:val="14"/>
          <w:szCs w:val="14"/>
        </w:rPr>
      </w:pPr>
    </w:p>
    <w:p>
      <w:pPr>
        <w:pStyle w:val="BodyText"/>
        <w:spacing w:line="316" w:lineRule="auto"/>
        <w:ind w:right="1130" w:firstLine="360"/>
        <w:jc w:val="both"/>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pStyle w:val="BodyText"/>
        <w:spacing w:line="468" w:lineRule="exact" w:before="10"/>
        <w:ind w:left="513" w:right="986"/>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本公司对于持有待售的非流动资产或处置组不计提折旧或摊销，其账面价值高于公允价值减去出售费用后的净额的，应</w:t>
      </w:r>
    </w:p>
    <w:p>
      <w:pPr>
        <w:pStyle w:val="BodyText"/>
        <w:spacing w:line="316" w:lineRule="auto" w:before="8"/>
        <w:ind w:right="986"/>
        <w:jc w:val="left"/>
      </w:pPr>
      <w:r>
        <w:rPr>
          <w:spacing w:val="-2"/>
        </w:rPr>
        <w:t>当将账面价值减记至公允价值减去出售费用后的净额，减记的金额确认为资产减值损失，计入当期损益，同时计提持有待售</w:t>
      </w:r>
      <w:r>
        <w:rPr>
          <w:spacing w:val="-63"/>
        </w:rPr>
        <w:t> </w:t>
      </w:r>
      <w:r>
        <w:rPr>
          <w:spacing w:val="-63"/>
        </w:rPr>
      </w:r>
      <w:r>
        <w:rPr/>
        <w:t>资产减值准备。</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上述原则适用于所有非流动资产，但不包括采用公允价值模式进行后续计量的投资性房地产、采用公允值减去出售费用</w:t>
      </w:r>
      <w:r>
        <w:rPr/>
        <w:t> </w:t>
      </w:r>
      <w:r>
        <w:rPr>
          <w:spacing w:val="-2"/>
        </w:rPr>
        <w:t>后的净额计量的生物资产、职工薪酬形成的资产、递延所得税资产、由金融工具相关会计准则规范的金融资产、由保险合同</w:t>
      </w:r>
      <w:r>
        <w:rPr>
          <w:spacing w:val="-65"/>
        </w:rPr>
        <w:t> </w:t>
      </w:r>
      <w:r>
        <w:rPr>
          <w:spacing w:val="-65"/>
        </w:rPr>
      </w:r>
      <w:r>
        <w:rPr/>
        <w:t>相关会计准则规范的保险合同所产生的权利。</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6"/>
        <w:jc w:val="left"/>
      </w:pPr>
      <w:r>
        <w:rPr/>
        <w:t>本公司对其他债权投资的预期信用损失的确定方法及会计处理方法详见本附注四／（十一）</w:t>
      </w:r>
      <w:r>
        <w:rPr>
          <w:rFonts w:ascii="Times New Roman" w:hAnsi="Times New Roman" w:cs="Times New Roman" w:eastAsia="Times New Roman" w:hint="default"/>
        </w:rPr>
        <w:t>6.</w:t>
      </w:r>
      <w:r>
        <w:rPr/>
        <w:t>金融工具减值。</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21</w:t>
      </w:r>
      <w:r>
        <w:rPr/>
        <w:t>、长期应收款</w:t>
      </w:r>
      <w:r>
        <w:rPr>
          <w:b w:val="0"/>
          <w:bCs w:val="0"/>
        </w:rPr>
      </w:r>
    </w:p>
    <w:p>
      <w:pPr>
        <w:pStyle w:val="BodyText"/>
        <w:spacing w:line="468" w:lineRule="exact" w:before="180"/>
        <w:ind w:left="513" w:right="986"/>
        <w:jc w:val="left"/>
      </w:pPr>
      <w:r>
        <w:rPr/>
        <w:t>本公司对长期应收款的预期信用损失的确定方法及会计处理方法详见本附注四／（十一）</w:t>
      </w:r>
      <w:r>
        <w:rPr>
          <w:rFonts w:ascii="Times New Roman" w:hAnsi="Times New Roman" w:cs="Times New Roman" w:eastAsia="Times New Roman" w:hint="default"/>
        </w:rPr>
        <w:t>6.</w:t>
      </w:r>
      <w:r>
        <w:rPr/>
        <w:t>金融工具减值。 本公司对在初始确认后已经发生信用减值的长期应收款单独确定其信用损失。 </w:t>
      </w:r>
      <w:r>
        <w:rPr>
          <w:spacing w:val="-2"/>
        </w:rPr>
        <w:t>本公司参考历史信用损失经验，结合当前状况以及对未来经济状况的判断，依据信用风险特征将长期应收款划分为若干</w:t>
      </w:r>
    </w:p>
    <w:p>
      <w:pPr>
        <w:pStyle w:val="BodyText"/>
        <w:spacing w:line="240" w:lineRule="auto" w:before="8"/>
        <w:ind w:right="986"/>
        <w:jc w:val="left"/>
      </w:pPr>
      <w:r>
        <w:rPr/>
        <w:t>组合，在组合基础上计算预期信用损失。确定组合的依据如下：</w:t>
      </w:r>
    </w:p>
    <w:p>
      <w:pPr>
        <w:spacing w:line="240" w:lineRule="auto" w:before="13"/>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2381"/>
        <w:gridCol w:w="3207"/>
        <w:gridCol w:w="4071"/>
      </w:tblGrid>
      <w:tr>
        <w:trPr>
          <w:trHeight w:val="331" w:hRule="exact"/>
        </w:trPr>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7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77" w:hRule="exact"/>
        </w:trPr>
        <w:tc>
          <w:tcPr>
            <w:tcW w:w="23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320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7" w:right="6"/>
              <w:jc w:val="left"/>
              <w:rPr>
                <w:rFonts w:ascii="宋体" w:hAnsi="宋体" w:cs="宋体" w:eastAsia="宋体" w:hint="default"/>
                <w:sz w:val="18"/>
                <w:szCs w:val="18"/>
              </w:rPr>
            </w:pPr>
            <w:r>
              <w:rPr>
                <w:rFonts w:ascii="宋体" w:hAnsi="宋体" w:cs="宋体" w:eastAsia="宋体" w:hint="default"/>
                <w:spacing w:val="7"/>
                <w:sz w:val="18"/>
                <w:szCs w:val="18"/>
              </w:rPr>
              <w:t>参考长期应收款的逾期时间进行信用风</w:t>
            </w:r>
            <w:r>
              <w:rPr>
                <w:rFonts w:ascii="宋体" w:hAnsi="宋体" w:cs="宋体" w:eastAsia="宋体" w:hint="default"/>
                <w:sz w:val="18"/>
                <w:szCs w:val="18"/>
              </w:rPr>
              <w:t> 险组合分类</w:t>
            </w:r>
          </w:p>
        </w:tc>
        <w:tc>
          <w:tcPr>
            <w:tcW w:w="4071" w:type="dxa"/>
            <w:tcBorders>
              <w:top w:val="single" w:sz="8" w:space="0" w:color="000000"/>
              <w:left w:val="single" w:sz="4" w:space="0" w:color="000000"/>
              <w:bottom w:val="single" w:sz="4" w:space="0" w:color="000000"/>
              <w:right w:val="single" w:sz="4" w:space="0" w:color="000000"/>
            </w:tcBorders>
          </w:tcPr>
          <w:p>
            <w:pPr>
              <w:pStyle w:val="TableParagraph"/>
              <w:spacing w:line="319" w:lineRule="auto" w:before="25"/>
              <w:ind w:left="7" w:right="1"/>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参考历史信用损失经验，结合当前状况以及对未来经</w:t>
            </w:r>
            <w:r>
              <w:rPr>
                <w:rFonts w:ascii="宋体" w:hAnsi="宋体" w:cs="宋体" w:eastAsia="宋体" w:hint="default"/>
                <w:sz w:val="18"/>
                <w:szCs w:val="18"/>
              </w:rPr>
              <w:t> </w:t>
            </w:r>
            <w:r>
              <w:rPr>
                <w:rFonts w:ascii="宋体" w:hAnsi="宋体" w:cs="宋体" w:eastAsia="宋体" w:hint="default"/>
                <w:spacing w:val="-4"/>
                <w:sz w:val="18"/>
                <w:szCs w:val="18"/>
              </w:rPr>
              <w:t>济状况的预测，编制长期应收款逾期情况与整个存续</w:t>
            </w:r>
            <w:r>
              <w:rPr>
                <w:rFonts w:ascii="宋体" w:hAnsi="宋体" w:cs="宋体" w:eastAsia="宋体" w:hint="default"/>
                <w:sz w:val="18"/>
                <w:szCs w:val="18"/>
              </w:rPr>
              <w:t> 期预期信用损失率对照表，计算预期信用损失。</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986"/>
        <w:jc w:val="left"/>
        <w:rPr>
          <w:b w:val="0"/>
          <w:bCs w:val="0"/>
        </w:rPr>
      </w:pPr>
      <w:r>
        <w:rPr>
          <w:rFonts w:ascii="Times New Roman" w:hAnsi="Times New Roman" w:cs="Times New Roman" w:eastAsia="Times New Roman" w:hint="default"/>
        </w:rPr>
        <w:t>1.</w:t>
      </w:r>
      <w:r>
        <w:rPr/>
        <w:t>初始投资成本的确定</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1133" w:firstLine="360"/>
        <w:jc w:val="both"/>
      </w:pPr>
      <w:r>
        <w:rPr/>
        <w:t>（</w:t>
      </w:r>
      <w:r>
        <w:rPr>
          <w:rFonts w:ascii="Times New Roman" w:hAnsi="Times New Roman" w:cs="Times New Roman" w:eastAsia="Times New Roman" w:hint="default"/>
        </w:rPr>
        <w:t>1</w:t>
      </w:r>
      <w:r>
        <w:rPr/>
        <w:t>）企业合并形成的长期股权投资，具体会计政策详见本附注四／（六）同一控制下和非同一控制下企业合并的会计 处理方法。</w:t>
      </w:r>
    </w:p>
    <w:p>
      <w:pPr>
        <w:pStyle w:val="BodyText"/>
        <w:spacing w:line="468" w:lineRule="exact" w:before="23"/>
        <w:ind w:left="513" w:right="986"/>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240" w:lineRule="auto" w:before="8"/>
        <w:ind w:right="986"/>
        <w:jc w:val="left"/>
      </w:pPr>
      <w:r>
        <w:rPr/>
        <w:t>投资直接相关的费用、税金及其他必要支出。</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以发行权益性证券取得的长期股权投资，按照发行权益性证券的公允价值作为初始投资成本；发行或取得自身权益工具</w:t>
      </w:r>
      <w:r>
        <w:rPr/>
        <w:t> 时发生的交易费用，可直接归属于权益性交易的从权益中扣减。</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通过债务重组取得的长期股权投资，其初始投资成本按照公允价值为基础确定。</w:t>
      </w:r>
    </w:p>
    <w:p>
      <w:pPr>
        <w:spacing w:line="240" w:lineRule="auto" w:before="10"/>
        <w:rPr>
          <w:rFonts w:ascii="宋体" w:hAnsi="宋体" w:cs="宋体" w:eastAsia="宋体" w:hint="default"/>
          <w:sz w:val="17"/>
          <w:szCs w:val="17"/>
        </w:rPr>
      </w:pPr>
    </w:p>
    <w:p>
      <w:pPr>
        <w:pStyle w:val="Heading5"/>
        <w:spacing w:line="240" w:lineRule="auto"/>
        <w:ind w:right="986"/>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450" w:lineRule="atLeast" w:before="18"/>
        <w:ind w:left="513" w:right="986"/>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240" w:lineRule="auto" w:before="76"/>
        <w:ind w:right="986"/>
        <w:jc w:val="left"/>
      </w:pPr>
      <w:r>
        <w:rPr/>
        <w:t>期股权投资的成本。</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除取得投资时实际支付的价款或对价中包含的已宣告但尚未发放的现金股利或利润外，本公司按照享有被投资单位宣告</w:t>
      </w:r>
      <w:r>
        <w:rPr/>
        <w:t> 分派的现金股利或利润确认为当期投资收益。</w:t>
      </w:r>
    </w:p>
    <w:p>
      <w:pPr>
        <w:pStyle w:val="BodyText"/>
        <w:spacing w:line="468" w:lineRule="exact" w:before="10"/>
        <w:ind w:left="513" w:right="986"/>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240" w:lineRule="auto" w:before="8"/>
        <w:ind w:right="986"/>
        <w:jc w:val="left"/>
      </w:pPr>
      <w:r>
        <w:rPr/>
        <w:t>司或包括投连险基金在内的类似主体间接持有的联营企业的权益性投资，采用公允价值计量且其变动计入损益。</w:t>
      </w:r>
    </w:p>
    <w:p>
      <w:pPr>
        <w:spacing w:line="240" w:lineRule="auto" w:before="10"/>
        <w:rPr>
          <w:rFonts w:ascii="宋体" w:hAnsi="宋体" w:cs="宋体" w:eastAsia="宋体" w:hint="default"/>
          <w:sz w:val="17"/>
          <w:szCs w:val="17"/>
        </w:rPr>
      </w:pPr>
    </w:p>
    <w:p>
      <w:pPr>
        <w:pStyle w:val="BodyText"/>
        <w:spacing w:line="316" w:lineRule="auto"/>
        <w:ind w:right="1131" w:firstLine="360"/>
        <w:jc w:val="both"/>
      </w:pPr>
      <w:r>
        <w:rPr>
          <w:spacing w:val="-2"/>
        </w:rPr>
        <w:t>长期股权投资的初始投资成本大于投资时应享有被投资单位可辨认净资产公允价值份额的差额，不调整长期股权投资的</w:t>
      </w:r>
      <w:r>
        <w:rPr/>
        <w:t> 初始投资成本；初始投资成本小于投资时应享有被投资单位可辨认净资产公允价值份额的差额，计入当期损益。</w:t>
      </w:r>
    </w:p>
    <w:p>
      <w:pPr>
        <w:spacing w:after="0" w:line="316" w:lineRule="auto"/>
        <w:jc w:val="both"/>
        <w:sectPr>
          <w:footerReference w:type="default" r:id="rId21"/>
          <w:pgSz w:w="11910" w:h="16840"/>
          <w:pgMar w:footer="979" w:header="748" w:top="1060" w:bottom="1160" w:left="980" w:right="0"/>
          <w:pgNumType w:start="110"/>
        </w:sectPr>
      </w:pPr>
    </w:p>
    <w:p>
      <w:pPr>
        <w:spacing w:line="240" w:lineRule="auto" w:before="10"/>
        <w:rPr>
          <w:rFonts w:ascii="宋体" w:hAnsi="宋体" w:cs="宋体" w:eastAsia="宋体" w:hint="default"/>
          <w:sz w:val="25"/>
          <w:szCs w:val="25"/>
        </w:rPr>
      </w:pPr>
    </w:p>
    <w:p>
      <w:pPr>
        <w:pStyle w:val="BodyText"/>
        <w:spacing w:line="316" w:lineRule="auto" w:before="44"/>
        <w:ind w:right="1034" w:firstLine="360"/>
        <w:jc w:val="left"/>
      </w:pPr>
      <w:r>
        <w:rPr>
          <w:spacing w:val="-2"/>
        </w:rPr>
        <w:t>本公司取得长期股权投资后，按照应享有或应分担的被投资单位实现的净损益和其他综合收益的份额，分别确认投资收</w:t>
      </w:r>
      <w:r>
        <w:rPr/>
        <w:t> 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spacing w:line="240" w:lineRule="auto" w:before="5"/>
        <w:rPr>
          <w:rFonts w:ascii="宋体" w:hAnsi="宋体" w:cs="宋体" w:eastAsia="宋体" w:hint="default"/>
          <w:sz w:val="13"/>
          <w:szCs w:val="13"/>
        </w:rPr>
      </w:pPr>
    </w:p>
    <w:p>
      <w:pPr>
        <w:pStyle w:val="BodyText"/>
        <w:spacing w:line="319" w:lineRule="auto"/>
        <w:ind w:right="103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spacing w:line="240" w:lineRule="auto" w:before="3"/>
        <w:rPr>
          <w:rFonts w:ascii="宋体" w:hAnsi="宋体" w:cs="宋体" w:eastAsia="宋体" w:hint="default"/>
          <w:sz w:val="13"/>
          <w:szCs w:val="13"/>
        </w:rPr>
      </w:pPr>
    </w:p>
    <w:p>
      <w:pPr>
        <w:pStyle w:val="BodyText"/>
        <w:spacing w:line="316" w:lineRule="auto"/>
        <w:ind w:right="986"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spacing w:line="240" w:lineRule="auto" w:before="5"/>
        <w:rPr>
          <w:rFonts w:ascii="宋体" w:hAnsi="宋体" w:cs="宋体" w:eastAsia="宋体" w:hint="default"/>
          <w:sz w:val="13"/>
          <w:szCs w:val="13"/>
        </w:rPr>
      </w:pPr>
    </w:p>
    <w:p>
      <w:pPr>
        <w:pStyle w:val="Heading5"/>
        <w:spacing w:line="240" w:lineRule="auto"/>
        <w:ind w:right="986"/>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450" w:lineRule="atLeast" w:before="18"/>
        <w:ind w:left="513" w:right="986"/>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76"/>
        <w:ind w:right="986"/>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spacing w:line="240" w:lineRule="auto" w:before="5"/>
        <w:rPr>
          <w:rFonts w:ascii="宋体" w:hAnsi="宋体" w:cs="宋体" w:eastAsia="宋体" w:hint="default"/>
          <w:sz w:val="14"/>
          <w:szCs w:val="14"/>
        </w:rPr>
      </w:pPr>
    </w:p>
    <w:p>
      <w:pPr>
        <w:pStyle w:val="BodyText"/>
        <w:spacing w:line="316" w:lineRule="auto"/>
        <w:ind w:right="986" w:firstLine="360"/>
        <w:jc w:val="left"/>
      </w:pPr>
      <w:r>
        <w:rPr/>
        <w:t>原持有的股权投资分类为以公允价值计量且其变动计入其他综合收益的金融资产的，其公允价值与账面价值之间的差</w:t>
      </w:r>
      <w:r>
        <w:rPr>
          <w:spacing w:val="2"/>
        </w:rPr>
        <w:t> </w:t>
      </w:r>
      <w:r>
        <w:rPr/>
        <w:t>额，以及原计入其他综合收益的累计公允价值变动转入改按权益法核算的当期损益。</w:t>
      </w:r>
    </w:p>
    <w:p>
      <w:pPr>
        <w:spacing w:line="240" w:lineRule="auto" w:before="5"/>
        <w:rPr>
          <w:rFonts w:ascii="宋体" w:hAnsi="宋体" w:cs="宋体" w:eastAsia="宋体" w:hint="default"/>
          <w:sz w:val="13"/>
          <w:szCs w:val="13"/>
        </w:rPr>
      </w:pPr>
    </w:p>
    <w:p>
      <w:pPr>
        <w:pStyle w:val="BodyText"/>
        <w:spacing w:line="316" w:lineRule="auto"/>
        <w:ind w:right="986" w:firstLine="360"/>
        <w:jc w:val="left"/>
      </w:pPr>
      <w:r>
        <w:rPr/>
        <w:t>按权益法核算的初始投资成本小于按照追加投资后全新的持股比例计算确定的应享有被投资单位在追加投资日可辨认</w:t>
      </w:r>
      <w:r>
        <w:rPr>
          <w:spacing w:val="2"/>
        </w:rPr>
        <w:t> </w:t>
      </w:r>
      <w:r>
        <w:rPr/>
        <w:t>净资产公允价值份额之间的差额，调整长期股权投资的账面价值，并计入当期营业外收入。</w:t>
      </w:r>
    </w:p>
    <w:p>
      <w:pPr>
        <w:pStyle w:val="BodyText"/>
        <w:spacing w:line="468" w:lineRule="exact" w:before="10"/>
        <w:ind w:left="513" w:right="986"/>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8"/>
        <w:ind w:right="986"/>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spacing w:line="240" w:lineRule="auto" w:before="5"/>
        <w:rPr>
          <w:rFonts w:ascii="宋体" w:hAnsi="宋体" w:cs="宋体" w:eastAsia="宋体" w:hint="default"/>
          <w:sz w:val="13"/>
          <w:szCs w:val="13"/>
        </w:rPr>
      </w:pPr>
    </w:p>
    <w:p>
      <w:pPr>
        <w:pStyle w:val="BodyText"/>
        <w:spacing w:line="316" w:lineRule="auto"/>
        <w:ind w:right="986"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spacing w:line="240" w:lineRule="auto" w:before="5"/>
        <w:rPr>
          <w:rFonts w:ascii="宋体" w:hAnsi="宋体" w:cs="宋体" w:eastAsia="宋体" w:hint="default"/>
          <w:sz w:val="13"/>
          <w:szCs w:val="13"/>
        </w:rPr>
      </w:pPr>
    </w:p>
    <w:p>
      <w:pPr>
        <w:pStyle w:val="BodyText"/>
        <w:spacing w:line="300" w:lineRule="auto"/>
        <w:ind w:right="986"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468" w:lineRule="exact" w:before="23"/>
        <w:ind w:left="513" w:right="986"/>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8"/>
        <w:ind w:right="986"/>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4"/>
        </w:rPr>
        <w:t> </w:t>
      </w:r>
      <w:r>
        <w:rPr>
          <w:spacing w:val="-64"/>
        </w:rPr>
      </w:r>
      <w:r>
        <w:rPr/>
        <w:t>益。</w:t>
      </w:r>
    </w:p>
    <w:p>
      <w:pPr>
        <w:spacing w:line="240" w:lineRule="auto" w:before="5"/>
        <w:rPr>
          <w:rFonts w:ascii="宋体" w:hAnsi="宋体" w:cs="宋体" w:eastAsia="宋体" w:hint="default"/>
          <w:sz w:val="14"/>
          <w:szCs w:val="14"/>
        </w:rPr>
      </w:pPr>
    </w:p>
    <w:p>
      <w:pPr>
        <w:pStyle w:val="BodyText"/>
        <w:spacing w:line="316" w:lineRule="auto"/>
        <w:ind w:right="986"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6"/>
        <w:jc w:val="left"/>
      </w:pPr>
      <w:r>
        <w:rPr/>
        <w:t>（</w:t>
      </w:r>
      <w:r>
        <w:rPr>
          <w:rFonts w:ascii="Times New Roman" w:hAnsi="Times New Roman" w:cs="Times New Roman" w:eastAsia="Times New Roman" w:hint="default"/>
        </w:rPr>
        <w:t>4</w:t>
      </w:r>
      <w:r>
        <w:rPr/>
        <w:t>）成本法转权益法</w:t>
      </w:r>
    </w:p>
    <w:p>
      <w:pPr>
        <w:spacing w:line="240" w:lineRule="auto" w:before="9"/>
        <w:rPr>
          <w:rFonts w:ascii="宋体" w:hAnsi="宋体" w:cs="宋体" w:eastAsia="宋体" w:hint="default"/>
          <w:sz w:val="16"/>
          <w:szCs w:val="16"/>
        </w:rPr>
      </w:pPr>
    </w:p>
    <w:p>
      <w:pPr>
        <w:pStyle w:val="BodyText"/>
        <w:spacing w:line="316" w:lineRule="auto"/>
        <w:ind w:right="1051" w:firstLine="360"/>
        <w:jc w:val="both"/>
      </w:pPr>
      <w:r>
        <w:rPr>
          <w:spacing w:val="-2"/>
        </w:rPr>
        <w:t>本公司因处置部分权益性投资等原因丧失了对被投资单位的控制的，在编制个别财务报表时，处置后的剩余股权能够对</w:t>
      </w:r>
      <w:r>
        <w:rPr/>
        <w:t> 被投资单位实施共同控制或施加重大影响的，改按权益法核算，并对该剩余股权视同自取得时即采用权益法核算进行调整。</w:t>
      </w:r>
    </w:p>
    <w:p>
      <w:pPr>
        <w:pStyle w:val="BodyText"/>
        <w:spacing w:line="468" w:lineRule="exact" w:before="10"/>
        <w:ind w:left="513" w:right="986"/>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8"/>
        <w:ind w:right="986"/>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468" w:lineRule="exact" w:before="23"/>
        <w:ind w:left="513" w:right="986"/>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8"/>
        <w:ind w:right="986"/>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w:t>
      </w:r>
      <w:r>
        <w:rPr>
          <w:rFonts w:ascii="Times New Roman" w:hAnsi="Times New Roman" w:cs="Times New Roman" w:eastAsia="Times New Roman" w:hint="default"/>
        </w:rPr>
        <w:t>1</w:t>
      </w:r>
      <w:r>
        <w:rPr/>
        <w:t>）这些交易是同时或者在考虑了彼此影响的情况下订立的；</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）这些交易整体才能达成一项完整的商业结果；</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450" w:lineRule="atLeast" w:before="18"/>
        <w:ind w:left="513" w:right="986"/>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76"/>
        <w:ind w:right="986"/>
        <w:jc w:val="left"/>
      </w:pPr>
      <w:r>
        <w:rPr/>
        <w:t>表进行相关会计处理：</w:t>
      </w:r>
    </w:p>
    <w:p>
      <w:pPr>
        <w:spacing w:line="240" w:lineRule="auto" w:before="10"/>
        <w:rPr>
          <w:rFonts w:ascii="宋体" w:hAnsi="宋体" w:cs="宋体" w:eastAsia="宋体" w:hint="default"/>
          <w:sz w:val="17"/>
          <w:szCs w:val="17"/>
        </w:rPr>
      </w:pPr>
    </w:p>
    <w:p>
      <w:pPr>
        <w:pStyle w:val="BodyText"/>
        <w:spacing w:line="307" w:lineRule="auto"/>
        <w:ind w:right="113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4"/>
        </w:rPr>
        <w:t> </w:t>
      </w:r>
      <w:r>
        <w:rPr>
          <w:spacing w:val="-64"/>
        </w:rPr>
      </w:r>
      <w:r>
        <w:rPr/>
        <w:t>和计量》的有关规定进行会计处理，其在丧失控制之日的公允价值与账面价值间的差额计入当期损益。</w:t>
      </w:r>
    </w:p>
    <w:p>
      <w:pPr>
        <w:spacing w:line="240" w:lineRule="auto" w:before="12"/>
        <w:rPr>
          <w:rFonts w:ascii="宋体" w:hAnsi="宋体" w:cs="宋体" w:eastAsia="宋体" w:hint="default"/>
          <w:sz w:val="13"/>
          <w:szCs w:val="13"/>
        </w:rPr>
      </w:pPr>
    </w:p>
    <w:p>
      <w:pPr>
        <w:pStyle w:val="BodyText"/>
        <w:spacing w:line="314" w:lineRule="auto"/>
        <w:ind w:right="113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spacing w:line="240" w:lineRule="auto" w:before="7"/>
        <w:rPr>
          <w:rFonts w:ascii="宋体" w:hAnsi="宋体" w:cs="宋体" w:eastAsia="宋体" w:hint="default"/>
          <w:sz w:val="13"/>
          <w:szCs w:val="13"/>
        </w:rPr>
      </w:pPr>
    </w:p>
    <w:p>
      <w:pPr>
        <w:pStyle w:val="BodyText"/>
        <w:spacing w:line="316" w:lineRule="auto"/>
        <w:ind w:right="1132"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spacing w:line="240" w:lineRule="auto" w:before="5"/>
        <w:rPr>
          <w:rFonts w:ascii="宋体" w:hAnsi="宋体" w:cs="宋体" w:eastAsia="宋体" w:hint="default"/>
          <w:sz w:val="13"/>
          <w:szCs w:val="13"/>
        </w:rPr>
      </w:pPr>
    </w:p>
    <w:p>
      <w:pPr>
        <w:pStyle w:val="BodyText"/>
        <w:spacing w:line="300" w:lineRule="auto"/>
        <w:ind w:right="1133"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spacing w:line="240" w:lineRule="auto" w:before="4"/>
        <w:rPr>
          <w:rFonts w:ascii="宋体" w:hAnsi="宋体" w:cs="宋体" w:eastAsia="宋体" w:hint="default"/>
          <w:sz w:val="14"/>
          <w:szCs w:val="14"/>
        </w:rPr>
      </w:pPr>
    </w:p>
    <w:p>
      <w:pPr>
        <w:pStyle w:val="BodyText"/>
        <w:spacing w:line="300" w:lineRule="auto"/>
        <w:ind w:right="1133"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240" w:lineRule="auto" w:before="4"/>
        <w:rPr>
          <w:rFonts w:ascii="宋体" w:hAnsi="宋体" w:cs="宋体" w:eastAsia="宋体" w:hint="default"/>
          <w:sz w:val="14"/>
          <w:szCs w:val="14"/>
        </w:rPr>
      </w:pPr>
    </w:p>
    <w:p>
      <w:pPr>
        <w:pStyle w:val="Heading5"/>
        <w:spacing w:line="240" w:lineRule="auto"/>
        <w:ind w:right="986"/>
        <w:jc w:val="left"/>
        <w:rPr>
          <w:b w:val="0"/>
          <w:bCs w:val="0"/>
        </w:rPr>
      </w:pPr>
      <w:r>
        <w:rPr>
          <w:rFonts w:ascii="Times New Roman" w:hAnsi="Times New Roman" w:cs="Times New Roman" w:eastAsia="Times New Roman" w:hint="default"/>
        </w:rPr>
        <w:t>5.</w:t>
      </w:r>
      <w:r>
        <w:rPr/>
        <w:t>共同控制、重大影响的判断标准</w:t>
      </w:r>
      <w:r>
        <w:rPr>
          <w:b w:val="0"/>
          <w:bCs w:val="0"/>
        </w:rPr>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2" w:firstLine="360"/>
        <w:jc w:val="both"/>
      </w:pPr>
      <w:r>
        <w:rPr>
          <w:spacing w:val="-2"/>
        </w:rPr>
        <w:t>如果本公司按照相关约定与其他参与方集体控制某项安排，并且对该安排回报具有重大影响的活动决策，需要经过分享</w:t>
      </w:r>
      <w:r>
        <w:rPr/>
        <w:t> 控制权的参与方一致同意时才存在，则视为本公司与其他参与方共同控制某项安排，该安排即属于合营安排。</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合营安排通过单独主体达成的，根据相关约定判断本公司对该单独主体的净资产享有权利时，将该单独主体作为合营企</w:t>
      </w:r>
      <w:r>
        <w:rPr/>
        <w:t> </w:t>
      </w: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spacing w:line="240" w:lineRule="auto" w:before="5"/>
        <w:rPr>
          <w:rFonts w:ascii="宋体" w:hAnsi="宋体" w:cs="宋体" w:eastAsia="宋体" w:hint="default"/>
          <w:sz w:val="13"/>
          <w:szCs w:val="13"/>
        </w:rPr>
      </w:pPr>
    </w:p>
    <w:p>
      <w:pPr>
        <w:pStyle w:val="BodyText"/>
        <w:spacing w:line="307" w:lineRule="auto"/>
        <w:ind w:right="986"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3"/>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4"/>
        </w:rPr>
        <w:t> </w:t>
      </w:r>
      <w:r>
        <w:rPr>
          <w:spacing w:val="-64"/>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12"/>
        <w:rPr>
          <w:rFonts w:ascii="宋体" w:hAnsi="宋体" w:cs="宋体" w:eastAsia="宋体" w:hint="default"/>
          <w:sz w:val="21"/>
          <w:szCs w:val="21"/>
        </w:rPr>
      </w:pPr>
    </w:p>
    <w:p>
      <w:pPr>
        <w:pStyle w:val="Heading4"/>
        <w:spacing w:line="240" w:lineRule="auto"/>
        <w:ind w:right="986"/>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477" w:lineRule="auto"/>
        <w:ind w:left="513" w:right="8593"/>
        <w:jc w:val="left"/>
      </w:pPr>
      <w:r>
        <w:rPr/>
        <w:t>投资性房地产计量模式 成本法计量 折旧或摊销方法</w:t>
      </w:r>
    </w:p>
    <w:p>
      <w:pPr>
        <w:pStyle w:val="BodyText"/>
        <w:spacing w:line="316" w:lineRule="auto" w:before="54"/>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转让的土地使用权、已出租的建筑物。此外，对于本公司持有以备经营出租的空置建筑物，若董事会作出书面决议，明确表</w:t>
      </w:r>
      <w:r>
        <w:rPr>
          <w:spacing w:val="-67"/>
        </w:rPr>
        <w:t> </w:t>
      </w:r>
      <w:r>
        <w:rPr>
          <w:spacing w:val="-67"/>
        </w:rPr>
      </w:r>
      <w:r>
        <w:rPr/>
        <w:t>示将其用于经营出租且持有意图短期内不再发生变化的，也作为投资性房地产列报。</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本公司的投资性房地产按其成本作为入账价值，外购投资性房地产的成本包括购买价款、相关税费和可直接归属于该资</w:t>
      </w:r>
      <w:r>
        <w:rPr/>
        <w:t> 产的其他支出；自行建造投资性房地产的成本，由建造该项资产达到预定可使用状态前所发生的必要支出构成。</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本公司对投资性房地产采用成本模式进行后续计量，按其预计使用寿命及净残值率对建筑物和土地使用权计提折旧或摊</w:t>
      </w:r>
      <w:r>
        <w:rPr/>
        <w:t> 销。投资性房地产的预计使用寿命、净残值率及年折旧（摊销）率列示如下：</w:t>
      </w:r>
    </w:p>
    <w:p>
      <w:pPr>
        <w:spacing w:line="240" w:lineRule="auto" w:before="7"/>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456"/>
        <w:gridCol w:w="2290"/>
        <w:gridCol w:w="2616"/>
        <w:gridCol w:w="2297"/>
      </w:tblGrid>
      <w:tr>
        <w:trPr>
          <w:trHeight w:val="341" w:hRule="exact"/>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2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29"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70" w:right="0"/>
              <w:jc w:val="left"/>
              <w:rPr>
                <w:rFonts w:ascii="宋体" w:hAnsi="宋体" w:cs="宋体" w:eastAsia="宋体"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20</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4.75%</w:t>
            </w:r>
          </w:p>
        </w:tc>
      </w:tr>
    </w:tbl>
    <w:p>
      <w:pPr>
        <w:spacing w:line="240" w:lineRule="auto" w:before="4"/>
        <w:rPr>
          <w:rFonts w:ascii="宋体" w:hAnsi="宋体" w:cs="宋体" w:eastAsia="宋体" w:hint="default"/>
          <w:sz w:val="9"/>
          <w:szCs w:val="9"/>
        </w:rPr>
      </w:pPr>
    </w:p>
    <w:p>
      <w:pPr>
        <w:pStyle w:val="BodyText"/>
        <w:spacing w:line="316" w:lineRule="auto" w:before="44"/>
        <w:ind w:right="1132" w:firstLine="360"/>
        <w:jc w:val="both"/>
      </w:pPr>
      <w:r>
        <w:rPr>
          <w:spacing w:val="-2"/>
        </w:rPr>
        <w:t>投资性房地产的用途改变为自用时，自改变之日起，本公司将该投资性房地产转换为固定资产或无形资产。自用房地产</w:t>
      </w:r>
      <w:r>
        <w:rPr/>
        <w:t> </w:t>
      </w: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）确认条件</w:t>
      </w:r>
      <w:r>
        <w:rPr>
          <w:b w:val="0"/>
          <w:bCs w:val="0"/>
        </w:rPr>
      </w:r>
    </w:p>
    <w:p>
      <w:pPr>
        <w:pStyle w:val="BodyText"/>
        <w:spacing w:line="450" w:lineRule="atLeast" w:before="143"/>
        <w:ind w:left="513" w:right="986"/>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44"/>
        </w:rPr>
        <w:t> </w:t>
      </w:r>
      <w:r>
        <w:rPr>
          <w:rFonts w:ascii="宋体" w:hAnsi="宋体" w:cs="宋体" w:eastAsia="宋体" w:hint="default"/>
          <w:b/>
          <w:bCs/>
        </w:rPr>
        <w:t>固定资产确认条件</w:t>
      </w:r>
      <w:r>
        <w:rPr>
          <w:rFonts w:ascii="宋体" w:hAnsi="宋体" w:cs="宋体" w:eastAsia="宋体" w:hint="default"/>
          <w:b/>
          <w:bCs/>
          <w:w w:val="99"/>
        </w:rPr>
        <w:t> </w:t>
      </w:r>
      <w:r>
        <w:rPr>
          <w:spacing w:val="-2"/>
        </w:rPr>
        <w:t>固定资产指为生产商品、提供劳务、出租或经营管理而持有，并且使用寿命超过一个会计年度的有形资产。固定资产在</w:t>
      </w:r>
    </w:p>
    <w:p>
      <w:pPr>
        <w:pStyle w:val="BodyText"/>
        <w:spacing w:line="240" w:lineRule="auto" w:before="77"/>
        <w:ind w:right="986"/>
        <w:jc w:val="left"/>
      </w:pPr>
      <w:r>
        <w:rPr/>
        <w:t>同时满足下列条件时予以确认</w:t>
      </w:r>
      <w:r>
        <w:rPr>
          <w:spacing w:val="-132"/>
        </w:rPr>
        <w:t>：</w:t>
      </w:r>
      <w:r>
        <w:rPr/>
        <w:t>（</w:t>
      </w:r>
      <w:r>
        <w:rPr>
          <w:rFonts w:ascii="Times New Roman" w:hAnsi="Times New Roman" w:cs="Times New Roman" w:eastAsia="Times New Roman" w:hint="default"/>
          <w:spacing w:val="1"/>
        </w:rPr>
        <w:t>1</w:t>
      </w:r>
      <w:r>
        <w:rPr>
          <w:spacing w:val="-44"/>
        </w:rPr>
        <w:t>）</w:t>
      </w:r>
      <w:r>
        <w:rPr/>
        <w:t>与该固定资产有关的经济利益很可能流入企业</w:t>
      </w:r>
      <w:r>
        <w:rPr>
          <w:spacing w:val="-135"/>
        </w:rPr>
        <w:t>；</w:t>
      </w:r>
      <w:r>
        <w:rPr/>
        <w:t>（</w:t>
      </w:r>
      <w:r>
        <w:rPr>
          <w:rFonts w:ascii="Times New Roman" w:hAnsi="Times New Roman" w:cs="Times New Roman" w:eastAsia="Times New Roman" w:hint="default"/>
          <w:spacing w:val="1"/>
        </w:rPr>
        <w:t>2</w:t>
      </w:r>
      <w:r>
        <w:rPr>
          <w:spacing w:val="-44"/>
        </w:rPr>
        <w:t>）</w:t>
      </w:r>
      <w:r>
        <w:rPr/>
        <w:t>该固定资产的成本能够可靠地计量。</w:t>
      </w:r>
    </w:p>
    <w:p>
      <w:pPr>
        <w:spacing w:line="240" w:lineRule="auto" w:before="9"/>
        <w:rPr>
          <w:rFonts w:ascii="宋体" w:hAnsi="宋体" w:cs="宋体" w:eastAsia="宋体" w:hint="default"/>
          <w:sz w:val="16"/>
          <w:szCs w:val="16"/>
        </w:rPr>
      </w:pPr>
    </w:p>
    <w:p>
      <w:pPr>
        <w:pStyle w:val="Heading5"/>
        <w:spacing w:line="240" w:lineRule="auto"/>
        <w:ind w:right="98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固定资产初始计量</w:t>
      </w:r>
      <w:r>
        <w:rPr>
          <w:b w:val="0"/>
          <w:bCs w:val="0"/>
        </w:rPr>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304" w:lineRule="auto" w:before="44"/>
        <w:ind w:right="1129" w:firstLine="360"/>
        <w:jc w:val="both"/>
      </w:pPr>
      <w:r>
        <w:rPr>
          <w:spacing w:val="-4"/>
        </w:rPr>
        <w:t>本公司固定资产按成本进行初始计量。（</w:t>
      </w:r>
      <w:r>
        <w:rPr>
          <w:rFonts w:ascii="Times New Roman" w:hAnsi="Times New Roman" w:cs="Times New Roman" w:eastAsia="Times New Roman" w:hint="default"/>
          <w:spacing w:val="-4"/>
        </w:rPr>
        <w:t>1</w:t>
      </w:r>
      <w:r>
        <w:rPr>
          <w:spacing w:val="-4"/>
        </w:rPr>
        <w:t>）外购的固定资产的成本包括买价、进口关税等相关税费，以及为使固定资产</w:t>
      </w:r>
      <w:r>
        <w:rPr/>
        <w:t> </w:t>
      </w:r>
      <w:r>
        <w:rPr>
          <w:spacing w:val="-4"/>
        </w:rPr>
        <w:t>达到预定可使用状态前所发生的可直接归属于该资产的其他支出。（</w:t>
      </w:r>
      <w:r>
        <w:rPr>
          <w:rFonts w:ascii="Times New Roman" w:hAnsi="Times New Roman" w:cs="Times New Roman" w:eastAsia="Times New Roman" w:hint="default"/>
          <w:spacing w:val="-4"/>
        </w:rPr>
        <w:t>2</w:t>
      </w:r>
      <w:r>
        <w:rPr>
          <w:spacing w:val="-4"/>
        </w:rPr>
        <w:t>）自行建造固定资产的成本，由建造该项资产达到预定</w:t>
      </w:r>
      <w:r>
        <w:rPr>
          <w:spacing w:val="-43"/>
        </w:rPr>
        <w:t> </w:t>
      </w:r>
      <w:r>
        <w:rPr>
          <w:spacing w:val="-43"/>
        </w:rPr>
      </w:r>
      <w:r>
        <w:rPr>
          <w:spacing w:val="-4"/>
        </w:rPr>
        <w:t>可使用状态前所发生的必要支出构成。（</w:t>
      </w:r>
      <w:r>
        <w:rPr>
          <w:rFonts w:ascii="Times New Roman" w:hAnsi="Times New Roman" w:cs="Times New Roman" w:eastAsia="Times New Roman" w:hint="default"/>
          <w:spacing w:val="-4"/>
        </w:rPr>
        <w:t>3</w:t>
      </w:r>
      <w:r>
        <w:rPr>
          <w:spacing w:val="-4"/>
        </w:rPr>
        <w:t>）投资者投入的固定资产，按投资合同或协议约定的价值作为入账价值，但合同或</w:t>
      </w:r>
      <w:r>
        <w:rPr>
          <w:spacing w:val="-40"/>
        </w:rPr>
        <w:t> </w:t>
      </w:r>
      <w:r>
        <w:rPr>
          <w:spacing w:val="-40"/>
        </w:rPr>
      </w:r>
      <w:r>
        <w:rPr>
          <w:spacing w:val="-4"/>
        </w:rPr>
        <w:t>协议约定价值不公允的按公允价值入账。（</w:t>
      </w:r>
      <w:r>
        <w:rPr>
          <w:rFonts w:ascii="Times New Roman" w:hAnsi="Times New Roman" w:cs="Times New Roman" w:eastAsia="Times New Roman" w:hint="default"/>
          <w:spacing w:val="-4"/>
        </w:rPr>
        <w:t>4</w:t>
      </w:r>
      <w:r>
        <w:rPr>
          <w:spacing w:val="-4"/>
        </w:rPr>
        <w:t>）购买固定资产的价款超过正常信用条件延期支付，实质上具有融资性质的，固</w:t>
      </w:r>
      <w:r>
        <w:rPr>
          <w:spacing w:val="-43"/>
        </w:rPr>
        <w:t> </w:t>
      </w:r>
      <w:r>
        <w:rPr>
          <w:spacing w:val="-43"/>
        </w:rPr>
      </w:r>
      <w:r>
        <w:rPr>
          <w:spacing w:val="-2"/>
        </w:rPr>
        <w:t>定资产的成本以购买价款的现值为基础确定。实际支付的价款与购买价款的现值之间的差额，除应予资本化的以外，在信用</w:t>
      </w:r>
      <w:r>
        <w:rPr>
          <w:spacing w:val="-66"/>
        </w:rPr>
        <w:t> </w:t>
      </w:r>
      <w:r>
        <w:rPr>
          <w:spacing w:val="-66"/>
        </w:rPr>
      </w:r>
      <w:r>
        <w:rPr/>
        <w:t>期间内计入当期损益。</w:t>
      </w:r>
    </w:p>
    <w:p>
      <w:pPr>
        <w:spacing w:line="240" w:lineRule="auto" w:before="6"/>
        <w:rPr>
          <w:rFonts w:ascii="宋体" w:hAnsi="宋体" w:cs="宋体" w:eastAsia="宋体" w:hint="default"/>
          <w:sz w:val="23"/>
          <w:szCs w:val="23"/>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4"/>
        <w:rPr>
          <w:rFonts w:ascii="宋体" w:hAnsi="宋体" w:cs="宋体" w:eastAsia="宋体" w:hint="default"/>
          <w:b/>
          <w:bCs/>
          <w:sz w:val="9"/>
          <w:szCs w:val="9"/>
        </w:rPr>
      </w:pPr>
    </w:p>
    <w:p>
      <w:pPr>
        <w:pStyle w:val="Heading5"/>
        <w:spacing w:line="240" w:lineRule="auto" w:before="44"/>
        <w:ind w:right="986"/>
        <w:jc w:val="left"/>
        <w:rPr>
          <w:b w:val="0"/>
          <w:bCs w:val="0"/>
        </w:rPr>
      </w:pPr>
      <w:r>
        <w:rPr>
          <w:rFonts w:ascii="Times New Roman" w:hAnsi="Times New Roman" w:cs="Times New Roman" w:eastAsia="Times New Roman" w:hint="default"/>
        </w:rPr>
        <w:t>1.</w:t>
      </w:r>
      <w:r>
        <w:rPr/>
        <w:t>固定资产折旧</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986" w:firstLine="360"/>
        <w:jc w:val="left"/>
      </w:pPr>
      <w:r>
        <w:rPr>
          <w:spacing w:val="-2"/>
        </w:rPr>
        <w:t>固定资产折旧按其入账价值减去预计净残值后在预计使用寿命内计提。对计提了减值准备的固定资产，则在未来期间按</w:t>
      </w:r>
      <w:r>
        <w:rPr/>
        <w:t> 扣除减值准备后的账面价值及依据尚可使用年限确定折旧额；已提足折旧仍继续使用的固定资产不计提折旧。</w:t>
      </w:r>
    </w:p>
    <w:p>
      <w:pPr>
        <w:spacing w:line="240" w:lineRule="auto" w:before="5"/>
        <w:rPr>
          <w:rFonts w:ascii="宋体" w:hAnsi="宋体" w:cs="宋体" w:eastAsia="宋体" w:hint="default"/>
          <w:sz w:val="13"/>
          <w:szCs w:val="13"/>
        </w:rPr>
      </w:pPr>
    </w:p>
    <w:p>
      <w:pPr>
        <w:pStyle w:val="BodyText"/>
        <w:spacing w:line="319" w:lineRule="auto"/>
        <w:ind w:right="986" w:firstLine="360"/>
        <w:jc w:val="left"/>
      </w:pPr>
      <w:r>
        <w:rPr>
          <w:spacing w:val="-2"/>
        </w:rPr>
        <w:t>本公司根据固定资产的性质和使用情况，确定固定资产的使用寿命和预计净残值。并在年度终了，对固定资产的使用寿</w:t>
      </w:r>
      <w:r>
        <w:rPr/>
        <w:t> 命、预计净残值和折旧方法进行复核，如与原先估计数存在差异的，进行相应的调整。</w:t>
      </w:r>
    </w:p>
    <w:p>
      <w:pPr>
        <w:pStyle w:val="BodyText"/>
        <w:spacing w:line="468" w:lineRule="exact" w:before="9"/>
        <w:ind w:left="513" w:right="986"/>
        <w:jc w:val="left"/>
      </w:pPr>
      <w:r>
        <w:rPr>
          <w:rFonts w:ascii="Times New Roman" w:hAnsi="Times New Roman" w:cs="Times New Roman" w:eastAsia="Times New Roman" w:hint="default"/>
          <w:b/>
          <w:bCs/>
        </w:rPr>
        <w:t>2.</w:t>
      </w:r>
      <w:r>
        <w:rPr>
          <w:rFonts w:ascii="宋体" w:hAnsi="宋体" w:cs="宋体" w:eastAsia="宋体" w:hint="default"/>
          <w:b/>
          <w:bCs/>
        </w:rPr>
        <w:t>固定资产的后续支出</w:t>
      </w:r>
      <w:r>
        <w:rPr>
          <w:rFonts w:ascii="宋体" w:hAnsi="宋体" w:cs="宋体" w:eastAsia="宋体" w:hint="default"/>
          <w:b/>
          <w:bCs/>
          <w:w w:val="99"/>
        </w:rPr>
        <w:t> </w:t>
      </w:r>
      <w:r>
        <w:rPr>
          <w:spacing w:val="-2"/>
        </w:rPr>
        <w:t>与固定资产有关的后续支出，符合固定资产确认条件的，计入固定资产成本；不符合固定资产确认条件的，在发生时计</w:t>
      </w:r>
    </w:p>
    <w:p>
      <w:pPr>
        <w:pStyle w:val="BodyText"/>
        <w:spacing w:line="240" w:lineRule="auto" w:before="8"/>
        <w:ind w:right="986"/>
        <w:jc w:val="left"/>
      </w:pPr>
      <w:r>
        <w:rPr/>
        <w:t>入当期损益。</w:t>
      </w:r>
    </w:p>
    <w:p>
      <w:pPr>
        <w:pStyle w:val="BodyText"/>
        <w:spacing w:line="450" w:lineRule="atLeast" w:before="31"/>
        <w:ind w:left="513" w:right="986"/>
        <w:jc w:val="left"/>
      </w:pPr>
      <w:r>
        <w:rPr>
          <w:rFonts w:ascii="Times New Roman" w:hAnsi="Times New Roman" w:cs="Times New Roman" w:eastAsia="Times New Roman" w:hint="default"/>
          <w:b/>
          <w:bCs/>
        </w:rPr>
        <w:t>3.</w:t>
      </w:r>
      <w:r>
        <w:rPr>
          <w:rFonts w:ascii="宋体" w:hAnsi="宋体" w:cs="宋体" w:eastAsia="宋体" w:hint="default"/>
          <w:b/>
          <w:bCs/>
        </w:rPr>
        <w:t>固定资产处置</w:t>
      </w:r>
      <w:r>
        <w:rPr>
          <w:rFonts w:ascii="宋体" w:hAnsi="宋体" w:cs="宋体" w:eastAsia="宋体" w:hint="default"/>
          <w:b/>
          <w:bCs/>
          <w:w w:val="99"/>
        </w:rPr>
        <w:t> </w:t>
      </w:r>
      <w:r>
        <w:rPr>
          <w:spacing w:val="-2"/>
        </w:rPr>
        <w:t>当固定资产被处置、或者预期通过使用或处置不能产生经济利益时，终止确认该固定资产。固定资产出售、转让、报废</w:t>
      </w:r>
    </w:p>
    <w:p>
      <w:pPr>
        <w:pStyle w:val="BodyText"/>
        <w:spacing w:line="240" w:lineRule="auto" w:before="76"/>
        <w:ind w:right="986"/>
        <w:jc w:val="left"/>
      </w:pPr>
      <w:r>
        <w:rPr/>
        <w:t>或毁损的处置收入扣除其账面价值和相关税费后的金额计入当期损益。</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6"/>
        <w:jc w:val="left"/>
      </w:pPr>
      <w:r>
        <w:rPr/>
        <w:t>当本公司租入的固定资产符合下列一项或数项标准时，确认为融资租入固定资产：</w:t>
      </w:r>
    </w:p>
    <w:p>
      <w:pPr>
        <w:spacing w:line="240" w:lineRule="auto" w:before="10"/>
        <w:rPr>
          <w:rFonts w:ascii="宋体" w:hAnsi="宋体" w:cs="宋体" w:eastAsia="宋体" w:hint="default"/>
          <w:sz w:val="17"/>
          <w:szCs w:val="17"/>
        </w:rPr>
      </w:pPr>
    </w:p>
    <w:p>
      <w:pPr>
        <w:pStyle w:val="BodyText"/>
        <w:spacing w:line="240" w:lineRule="auto"/>
        <w:ind w:left="513" w:right="986"/>
        <w:jc w:val="left"/>
      </w:pPr>
      <w:r>
        <w:rPr/>
        <w:t>（</w:t>
      </w:r>
      <w:r>
        <w:rPr>
          <w:rFonts w:ascii="Times New Roman" w:hAnsi="Times New Roman" w:cs="Times New Roman" w:eastAsia="Times New Roman" w:hint="default"/>
        </w:rPr>
        <w:t>1</w:t>
      </w:r>
      <w:r>
        <w:rPr/>
        <w:t>）在租赁期届满时，租赁资产的所有权转移给本公司；</w:t>
      </w:r>
    </w:p>
    <w:p>
      <w:pPr>
        <w:spacing w:line="240" w:lineRule="auto" w:before="9"/>
        <w:rPr>
          <w:rFonts w:ascii="宋体" w:hAnsi="宋体" w:cs="宋体" w:eastAsia="宋体" w:hint="default"/>
          <w:sz w:val="16"/>
          <w:szCs w:val="16"/>
        </w:rPr>
      </w:pPr>
    </w:p>
    <w:p>
      <w:pPr>
        <w:pStyle w:val="BodyText"/>
        <w:spacing w:line="300" w:lineRule="auto"/>
        <w:ind w:right="1124" w:firstLine="360"/>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spacing w:line="240" w:lineRule="auto" w:before="4"/>
        <w:rPr>
          <w:rFonts w:ascii="宋体" w:hAnsi="宋体" w:cs="宋体" w:eastAsia="宋体" w:hint="default"/>
          <w:sz w:val="14"/>
          <w:szCs w:val="14"/>
        </w:rPr>
      </w:pPr>
    </w:p>
    <w:p>
      <w:pPr>
        <w:pStyle w:val="BodyText"/>
        <w:spacing w:line="240" w:lineRule="auto"/>
        <w:ind w:left="513" w:right="986"/>
        <w:jc w:val="left"/>
      </w:pPr>
      <w:r>
        <w:rPr/>
        <w:t>（</w:t>
      </w:r>
      <w:r>
        <w:rPr>
          <w:rFonts w:ascii="Times New Roman" w:hAnsi="Times New Roman" w:cs="Times New Roman" w:eastAsia="Times New Roman" w:hint="default"/>
        </w:rPr>
        <w:t>3</w:t>
      </w:r>
      <w:r>
        <w:rPr/>
        <w:t>）即使资产的所有权不转移，但租赁期占租赁资产使用寿命的大部分；</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spacing w:line="240" w:lineRule="auto" w:before="9"/>
        <w:rPr>
          <w:rFonts w:ascii="宋体" w:hAnsi="宋体" w:cs="宋体" w:eastAsia="宋体" w:hint="default"/>
          <w:sz w:val="16"/>
          <w:szCs w:val="16"/>
        </w:rPr>
      </w:pPr>
    </w:p>
    <w:p>
      <w:pPr>
        <w:pStyle w:val="BodyText"/>
        <w:spacing w:line="309" w:lineRule="auto"/>
        <w:ind w:right="1130" w:firstLine="360"/>
        <w:jc w:val="both"/>
      </w:pPr>
      <w:r>
        <w:rPr/>
        <w:t>（</w:t>
      </w:r>
      <w:r>
        <w:rPr>
          <w:rFonts w:ascii="Times New Roman" w:hAnsi="Times New Roman" w:cs="Times New Roman" w:eastAsia="Times New Roman" w:hint="default"/>
        </w:rPr>
        <w:t>5</w:t>
      </w:r>
      <w:r>
        <w:rPr/>
        <w:t>）租赁资产性质特殊，如果不作较大改造，只有本公司才能使用。融资租赁租入的固定资产，按租赁开始日租赁资 </w:t>
      </w:r>
      <w:r>
        <w:rPr>
          <w:spacing w:val="-2"/>
        </w:rPr>
        <w:t>产公允价值与最低租赁付款额的现值两者中较低者，作为入账价值。最低租赁付款额作为长期应付款的入账价值，其差额作</w:t>
      </w:r>
      <w:r>
        <w:rPr>
          <w:spacing w:val="-63"/>
        </w:rPr>
        <w:t> </w:t>
      </w:r>
      <w:r>
        <w:rPr>
          <w:spacing w:val="-63"/>
        </w:rPr>
      </w:r>
      <w:r>
        <w:rPr>
          <w:spacing w:val="-2"/>
        </w:rPr>
        <w:t>为未确认融资费用。在租赁谈判和签订租赁合同过程中发生的，可归属于租赁项目的手续费、律师费、差旅费、印花税等初</w:t>
      </w:r>
    </w:p>
    <w:p>
      <w:pPr>
        <w:spacing w:after="0" w:line="309"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t>始直接费用，计入租入资产价值。未确认融资费用在租赁期内各个期间采用实际利率法进行分摊。</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3"/>
        </w:rPr>
        <w:t> </w:t>
      </w:r>
      <w:r>
        <w:rPr>
          <w:spacing w:val="-63"/>
        </w:rPr>
      </w:r>
      <w:r>
        <w:rPr/>
        <w:t>用寿命两者中较短的期间内计提折旧。</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spacing w:line="307" w:lineRule="auto" w:before="0"/>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在建工程初始计量</w:t>
      </w:r>
      <w:r>
        <w:rPr>
          <w:rFonts w:ascii="宋体" w:hAnsi="宋体" w:cs="宋体" w:eastAsia="宋体" w:hint="default"/>
          <w:b/>
          <w:bCs/>
          <w:w w:val="99"/>
          <w:sz w:val="18"/>
          <w:szCs w:val="18"/>
        </w:rPr>
        <w:t> </w:t>
      </w:r>
      <w:r>
        <w:rPr>
          <w:rFonts w:ascii="宋体" w:hAnsi="宋体" w:cs="宋体" w:eastAsia="宋体" w:hint="default"/>
          <w:sz w:val="18"/>
          <w:szCs w:val="18"/>
        </w:rPr>
        <w:t>本公司自行建造的在建工程按实际成本计价，实际成本由建造该项资产达到预定可使用状态前所发生的必要支出构成。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在建工程项目按建造该项资产达到预定可使用状态前所发生的全部支出，作为固定资产的入账价值。所建造的在建工程</w:t>
      </w:r>
    </w:p>
    <w:p>
      <w:pPr>
        <w:pStyle w:val="BodyText"/>
        <w:spacing w:line="316" w:lineRule="auto" w:before="26"/>
        <w:ind w:right="986"/>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26</w:t>
      </w:r>
      <w:r>
        <w:rPr/>
        <w:t>、借款费用</w:t>
      </w:r>
      <w:r>
        <w:rPr>
          <w:b w:val="0"/>
          <w:bCs w:val="0"/>
        </w:rPr>
      </w:r>
    </w:p>
    <w:p>
      <w:pPr>
        <w:spacing w:line="450" w:lineRule="atLeast" w:before="141"/>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pStyle w:val="BodyText"/>
        <w:spacing w:line="240" w:lineRule="auto" w:before="76"/>
        <w:ind w:right="986"/>
        <w:jc w:val="left"/>
      </w:pPr>
      <w:r>
        <w:rPr/>
        <w:t>他借款费用，在发生时根据其发生额确认为费用，计入当期损益。</w:t>
      </w:r>
    </w:p>
    <w:p>
      <w:pPr>
        <w:spacing w:line="240" w:lineRule="auto" w:before="10"/>
        <w:rPr>
          <w:rFonts w:ascii="宋体" w:hAnsi="宋体" w:cs="宋体" w:eastAsia="宋体" w:hint="default"/>
          <w:sz w:val="17"/>
          <w:szCs w:val="17"/>
        </w:rPr>
      </w:pPr>
    </w:p>
    <w:p>
      <w:pPr>
        <w:pStyle w:val="BodyText"/>
        <w:spacing w:line="316" w:lineRule="auto"/>
        <w:ind w:right="1125" w:firstLine="360"/>
        <w:jc w:val="both"/>
      </w:pPr>
      <w:r>
        <w:rPr/>
        <w:t>符合资本化条件的资产，是指需要经过相当长时间的购建或者生产活动才能达到预定可使用或者可销售状态的固定资</w:t>
      </w:r>
      <w:r>
        <w:rPr>
          <w:spacing w:val="2"/>
        </w:rPr>
        <w:t> </w:t>
      </w:r>
      <w:r>
        <w:rPr/>
        <w:t>产、投资性房地产和存货等资产。</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借款费用同时满足下列条件时开始资本化：</w:t>
      </w:r>
    </w:p>
    <w:p>
      <w:pPr>
        <w:spacing w:line="240" w:lineRule="auto" w:before="10"/>
        <w:rPr>
          <w:rFonts w:ascii="宋体" w:hAnsi="宋体" w:cs="宋体" w:eastAsia="宋体" w:hint="default"/>
          <w:sz w:val="17"/>
          <w:szCs w:val="17"/>
        </w:rPr>
      </w:pPr>
    </w:p>
    <w:p>
      <w:pPr>
        <w:pStyle w:val="BodyText"/>
        <w:spacing w:line="300" w:lineRule="auto"/>
        <w:ind w:right="1133" w:firstLine="360"/>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spacing w:line="240" w:lineRule="auto" w:before="4"/>
        <w:rPr>
          <w:rFonts w:ascii="宋体" w:hAnsi="宋体" w:cs="宋体" w:eastAsia="宋体" w:hint="default"/>
          <w:sz w:val="14"/>
          <w:szCs w:val="14"/>
        </w:rPr>
      </w:pPr>
    </w:p>
    <w:p>
      <w:pPr>
        <w:pStyle w:val="BodyText"/>
        <w:spacing w:line="240" w:lineRule="auto"/>
        <w:ind w:left="513" w:right="986"/>
        <w:jc w:val="left"/>
      </w:pPr>
      <w:r>
        <w:rPr/>
        <w:t>（</w:t>
      </w:r>
      <w:r>
        <w:rPr>
          <w:rFonts w:ascii="Times New Roman" w:hAnsi="Times New Roman" w:cs="Times New Roman" w:eastAsia="Times New Roman" w:hint="default"/>
        </w:rPr>
        <w:t>2</w:t>
      </w:r>
      <w:r>
        <w:rPr/>
        <w:t>）借款费用已经发生；</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9"/>
        <w:rPr>
          <w:rFonts w:ascii="宋体" w:hAnsi="宋体" w:cs="宋体" w:eastAsia="宋体" w:hint="default"/>
          <w:sz w:val="16"/>
          <w:szCs w:val="16"/>
        </w:rPr>
      </w:pPr>
    </w:p>
    <w:p>
      <w:pPr>
        <w:pStyle w:val="BodyText"/>
        <w:spacing w:line="468" w:lineRule="auto"/>
        <w:ind w:left="513" w:right="986"/>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316" w:lineRule="auto" w:before="61"/>
        <w:ind w:right="1132" w:firstLine="360"/>
        <w:jc w:val="both"/>
      </w:pPr>
      <w:r>
        <w:rPr>
          <w:spacing w:val="-2"/>
        </w:rPr>
        <w:t>购建或者生产的资产的各部分分别完工，但必须等到整体完工后才可使用或可对外销售的，在该资产整体完工时停止借</w:t>
      </w:r>
      <w:r>
        <w:rPr/>
        <w:t> 款费用资本化。</w:t>
      </w:r>
    </w:p>
    <w:p>
      <w:pPr>
        <w:pStyle w:val="BodyText"/>
        <w:spacing w:line="468" w:lineRule="exact" w:before="10"/>
        <w:ind w:left="513" w:right="986"/>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8"/>
        <w:ind w:right="986"/>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Heading5"/>
        <w:spacing w:line="240" w:lineRule="auto" w:before="44"/>
        <w:ind w:right="986"/>
        <w:jc w:val="left"/>
        <w:rPr>
          <w:b w:val="0"/>
          <w:bCs w:val="0"/>
        </w:rPr>
      </w:pPr>
      <w:r>
        <w:rPr>
          <w:rFonts w:ascii="Times New Roman" w:hAnsi="Times New Roman" w:cs="Times New Roman" w:eastAsia="Times New Roman" w:hint="default"/>
        </w:rPr>
        <w:t>4.</w:t>
      </w:r>
      <w:r>
        <w:rPr/>
        <w:t>借款费用资本化金额的计算方法</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1132" w:firstLine="360"/>
        <w:jc w:val="both"/>
      </w:pPr>
      <w:r>
        <w:rPr>
          <w:spacing w:val="-2"/>
        </w:rPr>
        <w:t>专门借款的利息费用（扣除尚未动用的借款资金存入银行取得的利息收入或者进行暂时性投资取得的投资收益）及其辅</w:t>
      </w:r>
      <w:r>
        <w:rPr/>
        <w:t> 助费用在所购建或者生产的符合资本化条件的资产达到预定可使用或者可销售状态前，予以资本化。</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无形资产是指本公司拥有或者控制的没有实物形态的可辨认非货币性资产。无形资产包括土地使用权、软件、非专利技</w:t>
      </w:r>
      <w:r>
        <w:rPr/>
        <w:t> 术、商标。</w:t>
      </w:r>
    </w:p>
    <w:p>
      <w:pPr>
        <w:pStyle w:val="BodyText"/>
        <w:spacing w:line="468" w:lineRule="exact" w:before="10"/>
        <w:ind w:left="513" w:right="986"/>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240" w:lineRule="auto" w:before="8"/>
        <w:ind w:right="986"/>
        <w:jc w:val="left"/>
      </w:pPr>
      <w:r>
        <w:rPr/>
        <w:t>资产的价款超过正常信用条件延期支付，实质上具有融资性质的，无形资产的成本以购买价款的现值为基础确定。</w:t>
      </w:r>
    </w:p>
    <w:p>
      <w:pPr>
        <w:spacing w:line="240" w:lineRule="auto" w:before="10"/>
        <w:rPr>
          <w:rFonts w:ascii="宋体" w:hAnsi="宋体" w:cs="宋体" w:eastAsia="宋体" w:hint="default"/>
          <w:sz w:val="17"/>
          <w:szCs w:val="17"/>
        </w:rPr>
      </w:pPr>
    </w:p>
    <w:p>
      <w:pPr>
        <w:pStyle w:val="BodyText"/>
        <w:spacing w:line="319" w:lineRule="auto"/>
        <w:ind w:right="113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spacing w:line="240" w:lineRule="auto" w:before="3"/>
        <w:rPr>
          <w:rFonts w:ascii="宋体" w:hAnsi="宋体" w:cs="宋体" w:eastAsia="宋体" w:hint="default"/>
          <w:sz w:val="13"/>
          <w:szCs w:val="13"/>
        </w:rPr>
      </w:pPr>
    </w:p>
    <w:p>
      <w:pPr>
        <w:pStyle w:val="BodyText"/>
        <w:spacing w:line="316" w:lineRule="auto"/>
        <w:ind w:right="1132"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3"/>
        </w:rPr>
        <w:t> </w:t>
      </w:r>
      <w:r>
        <w:rPr>
          <w:spacing w:val="-63"/>
        </w:rPr>
      </w:r>
      <w:r>
        <w:rPr/>
        <w:t>提的非货币性资产交换，以换出资产的账面价值和应支付的相关税费作为换入无形资产的成本，不确认损益。</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spacing w:line="240" w:lineRule="auto" w:before="5"/>
        <w:rPr>
          <w:rFonts w:ascii="宋体" w:hAnsi="宋体" w:cs="宋体" w:eastAsia="宋体" w:hint="default"/>
          <w:sz w:val="13"/>
          <w:szCs w:val="13"/>
        </w:rPr>
      </w:pPr>
    </w:p>
    <w:p>
      <w:pPr>
        <w:pStyle w:val="BodyText"/>
        <w:spacing w:line="316" w:lineRule="auto"/>
        <w:ind w:right="1134"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240" w:lineRule="auto" w:before="5"/>
        <w:rPr>
          <w:rFonts w:ascii="宋体" w:hAnsi="宋体" w:cs="宋体" w:eastAsia="宋体" w:hint="default"/>
          <w:sz w:val="13"/>
          <w:szCs w:val="13"/>
        </w:rPr>
      </w:pPr>
    </w:p>
    <w:p>
      <w:pPr>
        <w:spacing w:line="451" w:lineRule="auto" w:before="0"/>
        <w:ind w:left="513" w:right="24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spacing w:after="0" w:line="451"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986"/>
        <w:jc w:val="left"/>
      </w:pPr>
      <w:r>
        <w:rPr/>
        <w:t>（</w:t>
      </w:r>
      <w:r>
        <w:rPr>
          <w:rFonts w:ascii="Times New Roman" w:hAnsi="Times New Roman" w:cs="Times New Roman" w:eastAsia="Times New Roman" w:hint="default"/>
        </w:rPr>
        <w:t>1</w:t>
      </w:r>
      <w:r>
        <w:rPr/>
        <w:t>）使用寿命有限的无形资产</w:t>
      </w:r>
    </w:p>
    <w:p>
      <w:pPr>
        <w:spacing w:line="240" w:lineRule="auto" w:before="9"/>
        <w:rPr>
          <w:rFonts w:ascii="宋体" w:hAnsi="宋体" w:cs="宋体" w:eastAsia="宋体" w:hint="default"/>
          <w:sz w:val="16"/>
          <w:szCs w:val="16"/>
        </w:rPr>
      </w:pPr>
    </w:p>
    <w:p>
      <w:pPr>
        <w:pStyle w:val="BodyText"/>
        <w:spacing w:line="316" w:lineRule="auto"/>
        <w:ind w:right="986" w:firstLine="360"/>
        <w:jc w:val="left"/>
      </w:pPr>
      <w:r>
        <w:rPr>
          <w:spacing w:val="-2"/>
        </w:rPr>
        <w:t>对于使用寿命有限的无形资产，在为企业带来经济利益的期限内按直线法摊销。使用寿命有限的无形资产预计寿命及依</w:t>
      </w:r>
      <w:r>
        <w:rPr/>
        <w:t> 据如下：</w:t>
      </w:r>
    </w:p>
    <w:p>
      <w:pPr>
        <w:spacing w:line="240" w:lineRule="auto" w:before="7"/>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287"/>
        <w:gridCol w:w="1844"/>
        <w:gridCol w:w="6529"/>
      </w:tblGrid>
      <w:tr>
        <w:trPr>
          <w:trHeight w:val="341" w:hRule="exact"/>
        </w:trPr>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6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土地使用权的有效期</w:t>
            </w:r>
          </w:p>
        </w:tc>
        <w:tc>
          <w:tcPr>
            <w:tcW w:w="6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34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6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34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6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34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6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r>
        <w:trPr>
          <w:trHeight w:val="34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6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对于使用寿命有限的无形资产，在为企业带来经济利益的期限内按直线法摊销。</w:t>
            </w:r>
          </w:p>
        </w:tc>
      </w:tr>
    </w:tbl>
    <w:p>
      <w:pPr>
        <w:spacing w:line="240" w:lineRule="auto" w:before="5"/>
        <w:rPr>
          <w:rFonts w:ascii="宋体" w:hAnsi="宋体" w:cs="宋体" w:eastAsia="宋体" w:hint="default"/>
          <w:sz w:val="9"/>
          <w:szCs w:val="9"/>
        </w:rPr>
      </w:pPr>
    </w:p>
    <w:p>
      <w:pPr>
        <w:pStyle w:val="BodyText"/>
        <w:spacing w:line="477" w:lineRule="auto" w:before="44"/>
        <w:ind w:left="513" w:right="1033"/>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451" w:lineRule="auto" w:before="54"/>
        <w:ind w:left="513" w:right="5533"/>
        <w:jc w:val="left"/>
      </w:pPr>
      <w:r>
        <w:rPr/>
        <w:t>（</w:t>
      </w:r>
      <w:r>
        <w:rPr>
          <w:rFonts w:ascii="Times New Roman" w:hAnsi="Times New Roman" w:cs="Times New Roman" w:eastAsia="Times New Roman" w:hint="default"/>
        </w:rPr>
        <w:t>2</w:t>
      </w:r>
      <w:r>
        <w:rPr/>
        <w:t>）使用寿命不确定的无形资产 截至资产负债表日，本公司没有使用寿命不确定的无形资产。</w:t>
      </w:r>
    </w:p>
    <w:p>
      <w:pPr>
        <w:spacing w:line="240" w:lineRule="auto" w:before="1"/>
        <w:rPr>
          <w:rFonts w:ascii="宋体" w:hAnsi="宋体" w:cs="宋体" w:eastAsia="宋体" w:hint="default"/>
          <w:sz w:val="15"/>
          <w:szCs w:val="15"/>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Heading5"/>
        <w:spacing w:line="240" w:lineRule="auto"/>
        <w:ind w:right="986"/>
        <w:jc w:val="left"/>
        <w:rPr>
          <w:b w:val="0"/>
          <w:bCs w:val="0"/>
        </w:rPr>
      </w:pPr>
      <w:r>
        <w:rPr>
          <w:rFonts w:ascii="Times New Roman" w:hAnsi="Times New Roman" w:cs="Times New Roman" w:eastAsia="Times New Roman" w:hint="default"/>
        </w:rPr>
        <w:t>1.</w:t>
      </w:r>
      <w:r>
        <w:rPr/>
        <w:t>划分公司内部研究开发项目的研究阶段和开发阶段具体标准</w:t>
      </w:r>
      <w:r>
        <w:rPr>
          <w:b w:val="0"/>
          <w:bCs w:val="0"/>
        </w:rPr>
      </w:r>
    </w:p>
    <w:p>
      <w:pPr>
        <w:pStyle w:val="BodyText"/>
        <w:spacing w:line="468" w:lineRule="exact" w:before="55"/>
        <w:ind w:left="513" w:right="986"/>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468" w:lineRule="auto" w:before="8"/>
        <w:ind w:left="513" w:right="4453" w:hanging="361"/>
        <w:jc w:val="left"/>
      </w:pPr>
      <w:r>
        <w:rPr/>
        <w:t>进的材料、装置、产品等活动的阶段。 内部研究开发项目研究阶段的支出，在发生时计入当期损益。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BodyText"/>
        <w:spacing w:line="240" w:lineRule="auto" w:before="61"/>
        <w:ind w:left="513" w:right="986"/>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10"/>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300" w:lineRule="auto"/>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spacing w:line="240" w:lineRule="auto" w:before="4"/>
        <w:rPr>
          <w:rFonts w:ascii="宋体" w:hAnsi="宋体" w:cs="宋体" w:eastAsia="宋体" w:hint="default"/>
          <w:sz w:val="14"/>
          <w:szCs w:val="14"/>
        </w:rPr>
      </w:pPr>
    </w:p>
    <w:p>
      <w:pPr>
        <w:pStyle w:val="BodyText"/>
        <w:spacing w:line="240" w:lineRule="auto"/>
        <w:ind w:left="513" w:right="986"/>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450" w:lineRule="atLeast" w:before="18"/>
        <w:ind w:left="513" w:right="986"/>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76"/>
        <w:ind w:right="986"/>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86"/>
        <w:jc w:val="left"/>
      </w:pPr>
      <w:r>
        <w:rPr/>
        <w:t>本公司在资产负债表日判断长期资产是否存在可能发生减值的迹象。如果长期资产存在减值迹象的，以单项资产为基础</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477" w:lineRule="auto" w:before="44"/>
        <w:ind w:left="513" w:right="1033" w:hanging="361"/>
        <w:jc w:val="left"/>
      </w:pPr>
      <w:r>
        <w:rPr/>
        <w:t>估计其可收回金额；难以对单项资产的可收回金额进行估计的，以该资产所属的资产组为基础确定资产组的可收回金额。 资产可收回金额的估计，根据其公允价值减去处置费用后的净额与资产预计未来现金流量的现值两者之间较高者确定。</w:t>
      </w:r>
    </w:p>
    <w:p>
      <w:pPr>
        <w:pStyle w:val="BodyText"/>
        <w:spacing w:line="316" w:lineRule="auto" w:before="54"/>
        <w:ind w:right="1129" w:firstLine="360"/>
        <w:jc w:val="both"/>
      </w:pPr>
      <w:r>
        <w:rPr>
          <w:spacing w:val="-2"/>
        </w:rPr>
        <w:t>可收回金额的计量结果表明，长期资产的可收回金额低于其账面价值的，将长期资产的账面价值减记至可收回金额，减</w:t>
      </w:r>
      <w:r>
        <w:rPr/>
        <w:t> </w:t>
      </w: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468" w:lineRule="exact" w:before="10"/>
        <w:ind w:left="513" w:right="986"/>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8"/>
        <w:ind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3" w:firstLine="360"/>
        <w:jc w:val="both"/>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w:t>
      </w:r>
      <w:r>
        <w:rPr>
          <w:spacing w:val="-2"/>
        </w:rPr>
        <w:t>益期内按直线法分期摊销。如果长期待摊费用项目不能使以后会计期间受益的，则将其尚未摊销的摊余价值全部转入当期损</w:t>
      </w:r>
      <w:r>
        <w:rPr>
          <w:spacing w:val="-64"/>
        </w:rPr>
        <w:t> </w:t>
      </w:r>
      <w:r>
        <w:rPr>
          <w:spacing w:val="-64"/>
        </w:rPr>
      </w:r>
      <w:r>
        <w:rPr/>
        <w:t>益。</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50" w:firstLine="360"/>
        <w:jc w:val="both"/>
      </w:pPr>
      <w:r>
        <w:rPr/>
        <w:t>离职后福利是指本公司为获得职工提供的服务而在职工退休或与企业解除劳动关系后，提供的各种形式的报酬和福利， 短期薪酬和辞退福利除外。</w:t>
      </w:r>
    </w:p>
    <w:p>
      <w:pPr>
        <w:pStyle w:val="BodyText"/>
        <w:spacing w:line="468" w:lineRule="exact" w:before="10"/>
        <w:ind w:left="513" w:right="986"/>
        <w:jc w:val="left"/>
      </w:pPr>
      <w:r>
        <w:rPr/>
        <w:t>本公司的离职后福利计划分类为设定提存计划。 </w:t>
      </w:r>
      <w:r>
        <w:rPr>
          <w:spacing w:val="-2"/>
        </w:rPr>
        <w:t>在职工为公司提供服务的会计期间，将根据设定提存计划计算的应缴存金额确认为负债，并计入当期损益或相关资产成</w:t>
      </w:r>
    </w:p>
    <w:p>
      <w:pPr>
        <w:pStyle w:val="BodyText"/>
        <w:spacing w:line="319" w:lineRule="auto" w:before="8"/>
        <w:ind w:right="1133"/>
        <w:jc w:val="both"/>
      </w:pP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spacing w:after="0" w:line="319"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6"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5"/>
        </w:rPr>
        <w:t> </w:t>
      </w:r>
      <w:r>
        <w:rPr>
          <w:spacing w:val="-65"/>
        </w:rPr>
      </w:r>
      <w:r>
        <w:rPr/>
        <w:t>值。</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468" w:lineRule="exact" w:before="11"/>
        <w:ind w:left="513" w:right="986"/>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40" w:lineRule="auto" w:before="8"/>
        <w:ind w:right="986"/>
        <w:jc w:val="left"/>
      </w:pPr>
      <w:r>
        <w:rPr/>
        <w:t>的差。</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470" w:lineRule="auto"/>
        <w:ind w:left="513" w:right="4813"/>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451" w:lineRule="auto" w:before="59"/>
        <w:ind w:left="513" w:right="4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9" w:lineRule="auto" w:before="74"/>
        <w:ind w:right="1130"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spacing w:line="240" w:lineRule="auto" w:before="3"/>
        <w:rPr>
          <w:rFonts w:ascii="宋体" w:hAnsi="宋体" w:cs="宋体" w:eastAsia="宋体" w:hint="default"/>
          <w:sz w:val="13"/>
          <w:szCs w:val="13"/>
        </w:rPr>
      </w:pPr>
    </w:p>
    <w:p>
      <w:pPr>
        <w:pStyle w:val="BodyText"/>
        <w:spacing w:line="240" w:lineRule="auto"/>
        <w:ind w:left="513" w:right="986"/>
        <w:jc w:val="left"/>
      </w:pPr>
      <w:r>
        <w:rPr/>
        <w:t>最佳估计数分别以下情况处理：</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firstLine="360"/>
        <w:jc w:val="both"/>
      </w:pPr>
      <w:r>
        <w:rPr>
          <w:spacing w:val="-2"/>
        </w:rPr>
        <w:t>所需支出存在一个连续范围（或区间），且该范围内各种结果发生的可能性相同的，则最佳估计数按照该范围的中间值</w:t>
      </w:r>
      <w:r>
        <w:rPr/>
        <w:t> 即上下限金额的平均数确定。</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spacing w:line="240" w:lineRule="auto" w:before="5"/>
        <w:rPr>
          <w:rFonts w:ascii="宋体" w:hAnsi="宋体" w:cs="宋体" w:eastAsia="宋体" w:hint="default"/>
          <w:sz w:val="13"/>
          <w:szCs w:val="13"/>
        </w:rPr>
      </w:pPr>
    </w:p>
    <w:p>
      <w:pPr>
        <w:pStyle w:val="BodyText"/>
        <w:spacing w:line="316" w:lineRule="auto"/>
        <w:ind w:right="105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5"/>
        <w:rPr>
          <w:rFonts w:ascii="宋体" w:hAnsi="宋体" w:cs="宋体" w:eastAsia="宋体" w:hint="default"/>
          <w:b/>
          <w:bCs/>
          <w:sz w:val="26"/>
          <w:szCs w:val="26"/>
        </w:rPr>
      </w:pPr>
    </w:p>
    <w:p>
      <w:pPr>
        <w:spacing w:line="463" w:lineRule="auto" w:before="0"/>
        <w:ind w:left="513" w:right="46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09" w:lineRule="auto" w:before="33"/>
        <w:ind w:right="1040"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3"/>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9" w:lineRule="auto" w:before="161"/>
        <w:ind w:right="1131"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4"/>
        </w:rPr>
        <w:t> </w:t>
      </w:r>
      <w:r>
        <w:rPr>
          <w:spacing w:val="-64"/>
        </w:rPr>
      </w:r>
      <w:r>
        <w:rPr/>
        <w:t>相对应的成本费用。</w:t>
      </w:r>
    </w:p>
    <w:p>
      <w:pPr>
        <w:spacing w:line="468" w:lineRule="exact" w:before="9"/>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pStyle w:val="BodyText"/>
        <w:spacing w:line="240" w:lineRule="auto" w:before="8"/>
        <w:ind w:right="0"/>
        <w:jc w:val="both"/>
      </w:pPr>
      <w:r>
        <w:rPr/>
        <w:t>具数量。在可行权日，最终预计可行权权益工具的数量与实际可行权数量一致。</w:t>
      </w:r>
    </w:p>
    <w:p>
      <w:pPr>
        <w:pStyle w:val="BodyText"/>
        <w:spacing w:line="450" w:lineRule="atLeast" w:before="31"/>
        <w:ind w:left="513" w:right="986"/>
        <w:jc w:val="left"/>
      </w:pP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2"/>
        </w:rPr>
        <w:t>以权益结算的股份支付，按授予职工权益工具的公允价值计量。授予后立即可行权的，在授予日按照权益工具的公允价</w:t>
      </w:r>
    </w:p>
    <w:p>
      <w:pPr>
        <w:pStyle w:val="BodyText"/>
        <w:spacing w:line="316" w:lineRule="auto" w:before="76"/>
        <w:ind w:right="1129"/>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2"/>
        </w:rPr>
        <w:t> </w:t>
      </w:r>
      <w:r>
        <w:rPr>
          <w:spacing w:val="-62"/>
        </w:rPr>
      </w:r>
      <w:r>
        <w:rPr/>
        <w:t>本或费用和资本公积。在可行权日之后不再对已确认的相关成本或费用和所有者权益总额进行调整。</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3"/>
        </w:rPr>
        <w:t> </w:t>
      </w:r>
      <w:r>
        <w:rPr>
          <w:spacing w:val="-63"/>
        </w:rPr>
      </w:r>
      <w:r>
        <w:rPr/>
        <w:t>日以及结算日，对负债的公允价值重新计量，其变动计入当期损益。</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footerReference w:type="default" r:id="rId22"/>
          <w:pgSz w:w="11910" w:h="16840"/>
          <w:pgMar w:footer="979" w:header="748" w:top="1060" w:bottom="1160" w:left="980" w:right="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40</w:t>
      </w:r>
      <w:r>
        <w:rPr/>
        <w:t>、政府补助</w:t>
      </w:r>
      <w:r>
        <w:rPr>
          <w:b w:val="0"/>
          <w:bCs w:val="0"/>
        </w:rPr>
      </w:r>
    </w:p>
    <w:p>
      <w:pPr>
        <w:pStyle w:val="BodyText"/>
        <w:spacing w:line="450" w:lineRule="atLeast" w:before="141"/>
        <w:ind w:left="513" w:right="986"/>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2"/>
        </w:rPr>
        <w:t>政府补助，是本公司从政府无偿取得的货币性资产与非货币性资产。根据相关政府文件规定的补助对象，将政府补助划</w:t>
      </w:r>
    </w:p>
    <w:p>
      <w:pPr>
        <w:pStyle w:val="BodyText"/>
        <w:spacing w:line="240" w:lineRule="auto" w:before="76"/>
        <w:ind w:right="986"/>
        <w:jc w:val="left"/>
      </w:pPr>
      <w:r>
        <w:rPr/>
        <w:t>分为与资产相关的政府补助和与收益相关的政府补助。</w:t>
      </w:r>
    </w:p>
    <w:p>
      <w:pPr>
        <w:spacing w:line="240" w:lineRule="auto" w:before="10"/>
        <w:rPr>
          <w:rFonts w:ascii="宋体" w:hAnsi="宋体" w:cs="宋体" w:eastAsia="宋体" w:hint="default"/>
          <w:sz w:val="17"/>
          <w:szCs w:val="17"/>
        </w:rPr>
      </w:pPr>
    </w:p>
    <w:p>
      <w:pPr>
        <w:pStyle w:val="BodyText"/>
        <w:spacing w:line="319" w:lineRule="auto"/>
        <w:ind w:right="986" w:firstLine="360"/>
        <w:jc w:val="left"/>
      </w:pPr>
      <w:r>
        <w:rPr>
          <w:spacing w:val="-4"/>
        </w:rPr>
        <w:t>与资产相关的政府补助，是指本公司取得的、用于购建或以其他方式形成长期资产的政府补助。与收益相关的政府补助，</w:t>
      </w:r>
      <w:r>
        <w:rPr/>
        <w:t> 是指除与资产相关的政府补助之外的政府补助。</w:t>
      </w:r>
    </w:p>
    <w:p>
      <w:pPr>
        <w:pStyle w:val="BodyText"/>
        <w:spacing w:line="468" w:lineRule="exact" w:before="9"/>
        <w:ind w:left="513" w:right="986"/>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对期末有证据表明公司能够符合财政扶持政策规定的相关条件且预计能够收到财政扶持资金的，按应收金额确认政府补</w:t>
      </w:r>
    </w:p>
    <w:p>
      <w:pPr>
        <w:pStyle w:val="BodyText"/>
        <w:spacing w:line="240" w:lineRule="auto" w:before="8"/>
        <w:ind w:right="986"/>
        <w:jc w:val="left"/>
      </w:pPr>
      <w:r>
        <w:rPr/>
        <w:t>助。除此之外，政府补助均在实际收到时确认。</w:t>
      </w:r>
    </w:p>
    <w:p>
      <w:pPr>
        <w:spacing w:line="240" w:lineRule="auto" w:before="10"/>
        <w:rPr>
          <w:rFonts w:ascii="宋体" w:hAnsi="宋体" w:cs="宋体" w:eastAsia="宋体" w:hint="default"/>
          <w:sz w:val="17"/>
          <w:szCs w:val="17"/>
        </w:rPr>
      </w:pPr>
    </w:p>
    <w:p>
      <w:pPr>
        <w:pStyle w:val="BodyText"/>
        <w:spacing w:line="316" w:lineRule="auto"/>
        <w:ind w:right="986" w:firstLine="360"/>
        <w:jc w:val="left"/>
      </w:pPr>
      <w:r>
        <w:rPr>
          <w:spacing w:val="-2"/>
        </w:rPr>
        <w:t>政府补助为货币性资产的，按照收到或应收的金额计量。政府补助为非货币性资产的，按照公允价值计量；公允价值不</w:t>
      </w:r>
      <w:r>
        <w:rPr/>
        <w:t> 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Heading5"/>
        <w:spacing w:line="240" w:lineRule="auto" w:before="155"/>
        <w:ind w:right="986"/>
        <w:jc w:val="left"/>
        <w:rPr>
          <w:b w:val="0"/>
          <w:bCs w:val="0"/>
        </w:rPr>
      </w:pPr>
      <w:r>
        <w:rPr>
          <w:rFonts w:ascii="Times New Roman" w:hAnsi="Times New Roman" w:cs="Times New Roman" w:eastAsia="Times New Roman" w:hint="default"/>
        </w:rPr>
        <w:t>3.</w:t>
      </w:r>
      <w:r>
        <w:rPr/>
        <w:t>会计处理方法</w:t>
      </w:r>
      <w:r>
        <w:rPr>
          <w:b w:val="0"/>
          <w:bCs w:val="0"/>
        </w:rPr>
      </w:r>
    </w:p>
    <w:p>
      <w:pPr>
        <w:spacing w:line="240" w:lineRule="auto" w:before="9"/>
        <w:rPr>
          <w:rFonts w:ascii="宋体" w:hAnsi="宋体" w:cs="宋体" w:eastAsia="宋体" w:hint="default"/>
          <w:b/>
          <w:bCs/>
          <w:sz w:val="16"/>
          <w:szCs w:val="16"/>
        </w:rPr>
      </w:pPr>
    </w:p>
    <w:p>
      <w:pPr>
        <w:pStyle w:val="BodyText"/>
        <w:spacing w:line="319" w:lineRule="auto"/>
        <w:ind w:right="1034" w:firstLine="360"/>
        <w:jc w:val="left"/>
      </w:pPr>
      <w:r>
        <w:rPr/>
        <w:t>与资产相关的政府补助，应当冲减相关资产的账面价值或确认为递延收益。与资产相关的政府补助确认为递延收益的， 在所建造或购买资产使用使用寿命内按照合理、系统的方法分期计入损益。</w:t>
      </w:r>
    </w:p>
    <w:p>
      <w:pPr>
        <w:spacing w:line="240" w:lineRule="auto" w:before="3"/>
        <w:rPr>
          <w:rFonts w:ascii="宋体" w:hAnsi="宋体" w:cs="宋体" w:eastAsia="宋体" w:hint="default"/>
          <w:sz w:val="13"/>
          <w:szCs w:val="13"/>
        </w:rPr>
      </w:pPr>
    </w:p>
    <w:p>
      <w:pPr>
        <w:pStyle w:val="BodyText"/>
        <w:spacing w:line="316" w:lineRule="auto"/>
        <w:ind w:right="986" w:firstLine="360"/>
        <w:jc w:val="left"/>
      </w:pPr>
      <w:r>
        <w:rPr>
          <w:spacing w:val="-2"/>
        </w:rPr>
        <w:t>与收益相关的政府补助，用于补偿企业以后期间的相关费用或损失的，确认为递延收益，在确认相关费用或损失的期间</w:t>
      </w:r>
      <w:r>
        <w:rPr/>
        <w:t> 计入当期损益或冲减相关成本；用于补偿企业已发生的相关费用或损失的，取得时直接计入当期损益或冲减相关成本。</w:t>
      </w:r>
    </w:p>
    <w:p>
      <w:pPr>
        <w:pStyle w:val="BodyText"/>
        <w:spacing w:line="468" w:lineRule="exact" w:before="10"/>
        <w:ind w:left="513" w:right="1033"/>
        <w:jc w:val="left"/>
      </w:pPr>
      <w:r>
        <w:rPr/>
        <w:t>与企业日常活动相关的政府补助计入其他收益或冲减相关成本费用；与企业日常活动无关的政府补助计入营业外收支。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240" w:lineRule="auto" w:before="8"/>
        <w:ind w:right="986"/>
        <w:jc w:val="left"/>
      </w:pPr>
      <w:r>
        <w:rPr/>
        <w:t>到的借款金额作为借款的入账价值，按照借款本金和该政策性优惠利率计算相关借款费用</w:t>
      </w:r>
    </w:p>
    <w:p>
      <w:pPr>
        <w:spacing w:line="240" w:lineRule="auto" w:before="10"/>
        <w:rPr>
          <w:rFonts w:ascii="宋体" w:hAnsi="宋体" w:cs="宋体" w:eastAsia="宋体" w:hint="default"/>
          <w:sz w:val="17"/>
          <w:szCs w:val="17"/>
        </w:rPr>
      </w:pPr>
    </w:p>
    <w:p>
      <w:pPr>
        <w:pStyle w:val="BodyText"/>
        <w:spacing w:line="316" w:lineRule="auto"/>
        <w:ind w:right="1034" w:firstLine="360"/>
        <w:jc w:val="left"/>
      </w:pPr>
      <w:r>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6"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468" w:lineRule="exact" w:before="2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8"/>
        <w:ind w:right="1034"/>
        <w:jc w:val="left"/>
      </w:pPr>
      <w:r>
        <w:rPr>
          <w:spacing w:val="-2"/>
        </w:rPr>
        <w:t>认由可抵扣暂时性差异产生的递延所得税资产。但是，同时具有下列特征的交易中因资产或负债的初始确认所产生的递延所</w:t>
      </w:r>
      <w:r>
        <w:rPr>
          <w:spacing w:val="-63"/>
        </w:rPr>
        <w:t> </w:t>
      </w:r>
      <w:r>
        <w:rPr>
          <w:spacing w:val="-63"/>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before="155"/>
        <w:ind w:right="986"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after="0" w:line="316"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spacing w:line="451" w:lineRule="auto" w:before="44"/>
        <w:ind w:left="513" w:right="33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74"/>
        <w:ind w:left="513" w:right="986"/>
        <w:jc w:val="left"/>
      </w:pPr>
      <w:r>
        <w:rPr/>
        <w:t>（</w:t>
      </w:r>
      <w:r>
        <w:rPr>
          <w:rFonts w:ascii="Times New Roman" w:hAnsi="Times New Roman" w:cs="Times New Roman" w:eastAsia="Times New Roman" w:hint="default"/>
        </w:rPr>
        <w:t>1</w:t>
      </w:r>
      <w:r>
        <w:rPr/>
        <w:t>）商誉的初始确认所形成的暂时性差异；</w:t>
      </w:r>
    </w:p>
    <w:p>
      <w:pPr>
        <w:spacing w:line="240" w:lineRule="auto" w:before="9"/>
        <w:rPr>
          <w:rFonts w:ascii="宋体" w:hAnsi="宋体" w:cs="宋体" w:eastAsia="宋体" w:hint="default"/>
          <w:sz w:val="16"/>
          <w:szCs w:val="16"/>
        </w:rPr>
      </w:pPr>
    </w:p>
    <w:p>
      <w:pPr>
        <w:pStyle w:val="BodyText"/>
        <w:spacing w:line="300" w:lineRule="auto"/>
        <w:ind w:right="112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spacing w:line="240" w:lineRule="auto" w:before="4"/>
        <w:rPr>
          <w:rFonts w:ascii="宋体" w:hAnsi="宋体" w:cs="宋体" w:eastAsia="宋体" w:hint="default"/>
          <w:sz w:val="14"/>
          <w:szCs w:val="14"/>
        </w:rPr>
      </w:pPr>
    </w:p>
    <w:p>
      <w:pPr>
        <w:pStyle w:val="BodyText"/>
        <w:spacing w:line="300" w:lineRule="auto"/>
        <w:ind w:right="112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spacing w:line="240" w:lineRule="auto" w:before="4"/>
        <w:rPr>
          <w:rFonts w:ascii="宋体" w:hAnsi="宋体" w:cs="宋体" w:eastAsia="宋体" w:hint="default"/>
          <w:sz w:val="14"/>
          <w:szCs w:val="14"/>
        </w:rPr>
      </w:pPr>
    </w:p>
    <w:p>
      <w:pPr>
        <w:pStyle w:val="Heading5"/>
        <w:spacing w:line="240" w:lineRule="auto"/>
        <w:ind w:right="986"/>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spacing w:line="240" w:lineRule="auto" w:before="9"/>
        <w:rPr>
          <w:rFonts w:ascii="宋体" w:hAnsi="宋体" w:cs="宋体" w:eastAsia="宋体" w:hint="default"/>
          <w:sz w:val="16"/>
          <w:szCs w:val="16"/>
        </w:rPr>
      </w:pPr>
    </w:p>
    <w:p>
      <w:pPr>
        <w:pStyle w:val="BodyText"/>
        <w:spacing w:line="309" w:lineRule="auto"/>
        <w:ind w:right="1132"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3"/>
        </w:rPr>
        <w:t> </w:t>
      </w:r>
      <w:r>
        <w:rPr>
          <w:spacing w:val="-63"/>
        </w:rPr>
      </w:r>
      <w:r>
        <w:rPr/>
        <w:t>期所得税资产及当期所得税负债或是同时取得资产、清偿债务。</w:t>
      </w:r>
    </w:p>
    <w:p>
      <w:pPr>
        <w:spacing w:line="240" w:lineRule="auto" w:before="3"/>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50" w:lineRule="atLeast" w:before="141"/>
        <w:ind w:left="513" w:right="986"/>
        <w:jc w:val="left"/>
      </w:pPr>
      <w:r>
        <w:rPr>
          <w:rFonts w:ascii="Times New Roman" w:hAnsi="Times New Roman" w:cs="Times New Roman" w:eastAsia="Times New Roman" w:hint="default"/>
          <w:b/>
          <w:bCs/>
        </w:rPr>
        <w:t>1.</w:t>
      </w:r>
      <w:r>
        <w:rPr>
          <w:rFonts w:ascii="宋体" w:hAnsi="宋体" w:cs="宋体" w:eastAsia="宋体" w:hint="default"/>
          <w:b/>
          <w:bCs/>
        </w:rPr>
        <w:t>经营租入资产</w:t>
      </w:r>
      <w:r>
        <w:rPr>
          <w:rFonts w:ascii="宋体" w:hAnsi="宋体" w:cs="宋体" w:eastAsia="宋体" w:hint="default"/>
          <w:b/>
          <w:bCs/>
          <w:w w:val="99"/>
        </w:rPr>
        <w:t> </w:t>
      </w:r>
      <w:r>
        <w:rPr>
          <w:spacing w:val="-2"/>
        </w:rPr>
        <w:t>公司租入资产所支付的租赁费，在不扣除免租期的整个租赁期内，按直线法进行分摊，计入当期费用。公司支付的与租</w:t>
      </w:r>
    </w:p>
    <w:p>
      <w:pPr>
        <w:pStyle w:val="BodyText"/>
        <w:spacing w:line="240" w:lineRule="auto" w:before="76"/>
        <w:ind w:right="986"/>
        <w:jc w:val="left"/>
      </w:pPr>
      <w:r>
        <w:rPr/>
        <w:t>赁交易相关的初始直接费用，计入当期费用。</w:t>
      </w:r>
    </w:p>
    <w:p>
      <w:pPr>
        <w:spacing w:line="240" w:lineRule="auto" w:before="10"/>
        <w:rPr>
          <w:rFonts w:ascii="宋体" w:hAnsi="宋体" w:cs="宋体" w:eastAsia="宋体" w:hint="default"/>
          <w:sz w:val="17"/>
          <w:szCs w:val="17"/>
        </w:rPr>
      </w:pPr>
    </w:p>
    <w:p>
      <w:pPr>
        <w:pStyle w:val="BodyText"/>
        <w:spacing w:line="316" w:lineRule="auto"/>
        <w:ind w:right="986"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468" w:lineRule="exact" w:before="10"/>
        <w:ind w:left="513" w:right="986"/>
        <w:jc w:val="left"/>
      </w:pPr>
      <w:r>
        <w:rPr>
          <w:rFonts w:ascii="Times New Roman" w:hAnsi="Times New Roman" w:cs="Times New Roman" w:eastAsia="Times New Roman" w:hint="default"/>
          <w:b/>
          <w:bCs/>
        </w:rPr>
        <w:t>2.</w:t>
      </w:r>
      <w:r>
        <w:rPr>
          <w:rFonts w:ascii="宋体" w:hAnsi="宋体" w:cs="宋体" w:eastAsia="宋体" w:hint="default"/>
          <w:b/>
          <w:bCs/>
        </w:rPr>
        <w:t>经营租出资产</w:t>
      </w:r>
      <w:r>
        <w:rPr>
          <w:rFonts w:ascii="宋体" w:hAnsi="宋体" w:cs="宋体" w:eastAsia="宋体" w:hint="default"/>
          <w:b/>
          <w:bCs/>
          <w:w w:val="99"/>
        </w:rPr>
        <w:t> </w:t>
      </w:r>
      <w:r>
        <w:rPr>
          <w:spacing w:val="-2"/>
        </w:rPr>
        <w:t>公司出租资产所收取的租赁费，在不扣除免租期的整个租赁期内，按直线法进行分摊，确认为租赁收入。公司支付的与</w:t>
      </w:r>
    </w:p>
    <w:p>
      <w:pPr>
        <w:pStyle w:val="BodyText"/>
        <w:spacing w:line="316" w:lineRule="auto" w:before="8"/>
        <w:ind w:right="986"/>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spacing w:line="240" w:lineRule="auto" w:before="5"/>
        <w:rPr>
          <w:rFonts w:ascii="宋体" w:hAnsi="宋体" w:cs="宋体" w:eastAsia="宋体" w:hint="default"/>
          <w:sz w:val="13"/>
          <w:szCs w:val="13"/>
        </w:rPr>
      </w:pPr>
    </w:p>
    <w:p>
      <w:pPr>
        <w:pStyle w:val="BodyText"/>
        <w:spacing w:line="316" w:lineRule="auto"/>
        <w:ind w:right="986"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50" w:lineRule="atLeast" w:before="143"/>
        <w:ind w:left="513" w:right="986"/>
        <w:jc w:val="left"/>
      </w:pPr>
      <w:r>
        <w:rPr>
          <w:rFonts w:ascii="Times New Roman" w:hAnsi="Times New Roman" w:cs="Times New Roman" w:eastAsia="Times New Roman" w:hint="default"/>
          <w:b/>
          <w:bCs/>
        </w:rPr>
        <w:t>1.</w:t>
      </w:r>
      <w:r>
        <w:rPr>
          <w:rFonts w:ascii="宋体" w:hAnsi="宋体" w:cs="宋体" w:eastAsia="宋体" w:hint="default"/>
          <w:b/>
          <w:bCs/>
        </w:rPr>
        <w:t>融资租入资产</w:t>
      </w:r>
      <w:r>
        <w:rPr>
          <w:rFonts w:ascii="宋体" w:hAnsi="宋体" w:cs="宋体" w:eastAsia="宋体" w:hint="default"/>
          <w:b/>
          <w:bCs/>
          <w:w w:val="99"/>
        </w:rPr>
        <w:t> </w:t>
      </w:r>
      <w:r>
        <w:rPr>
          <w:spacing w:val="-2"/>
        </w:rPr>
        <w:t>公司在承租开始日，将租赁资产公允价值与最低租赁付款额现值两者中较低者作为租入资产的入账价值，将最低租赁付</w:t>
      </w:r>
    </w:p>
    <w:p>
      <w:pPr>
        <w:pStyle w:val="BodyText"/>
        <w:tabs>
          <w:tab w:pos="5614" w:val="left" w:leader="none"/>
        </w:tabs>
        <w:spacing w:line="316" w:lineRule="auto" w:before="76"/>
        <w:ind w:right="1133"/>
        <w:jc w:val="left"/>
      </w:pPr>
      <w:r>
        <w:rPr/>
        <w:t>款额作为长期应付款的入账价值，其差额作为未确认的融资费用。</w:t>
        <w:tab/>
        <w:t>融资租入资产的认定依据、计价和折旧方法详见本附</w:t>
      </w:r>
      <w:r>
        <w:rPr>
          <w:spacing w:val="-57"/>
        </w:rPr>
        <w:t> </w:t>
      </w:r>
      <w:r>
        <w:rPr>
          <w:spacing w:val="-57"/>
        </w:rPr>
      </w:r>
      <w:r>
        <w:rPr/>
        <w:t>注四／（二十一）固定资产。</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公司采用实际利率法对未确认的融资费用，在资产租赁期间内摊销，计入财务费用。</w:t>
      </w:r>
    </w:p>
    <w:p>
      <w:pPr>
        <w:spacing w:line="240" w:lineRule="auto" w:before="10"/>
        <w:rPr>
          <w:rFonts w:ascii="宋体" w:hAnsi="宋体" w:cs="宋体" w:eastAsia="宋体" w:hint="default"/>
          <w:sz w:val="17"/>
          <w:szCs w:val="17"/>
        </w:rPr>
      </w:pPr>
    </w:p>
    <w:p>
      <w:pPr>
        <w:pStyle w:val="Heading5"/>
        <w:spacing w:line="240" w:lineRule="auto"/>
        <w:ind w:right="986"/>
        <w:jc w:val="left"/>
        <w:rPr>
          <w:b w:val="0"/>
          <w:bCs w:val="0"/>
        </w:rPr>
      </w:pPr>
      <w:r>
        <w:rPr>
          <w:rFonts w:ascii="Times New Roman" w:hAnsi="Times New Roman" w:cs="Times New Roman" w:eastAsia="Times New Roman" w:hint="default"/>
        </w:rPr>
        <w:t>2.</w:t>
      </w:r>
      <w:r>
        <w:rPr/>
        <w:t>融资租出资产</w:t>
      </w:r>
      <w:r>
        <w:rPr>
          <w:b w:val="0"/>
          <w:bCs w:val="0"/>
        </w:rPr>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0" w:firstLine="360"/>
        <w:jc w:val="both"/>
      </w:pPr>
      <w:r>
        <w:rPr>
          <w:spacing w:val="-2"/>
        </w:rPr>
        <w:t>公司在租赁开始日，将应收融资租赁款，未担保余值之和与其现值的差额确认为未实现融资收益，在将来收到租金的各</w:t>
      </w:r>
      <w:r>
        <w:rPr/>
        <w:t> </w:t>
      </w:r>
      <w:r>
        <w:rPr>
          <w:spacing w:val="-2"/>
        </w:rPr>
        <w:t>期间内确认为租赁收入，公司发生的与出租交易相关的初始直接费用，计入应收融资租赁款的初始计量中，并减少租赁期内</w:t>
      </w:r>
      <w:r>
        <w:rPr>
          <w:spacing w:val="-63"/>
        </w:rPr>
        <w:t> </w:t>
      </w:r>
      <w:r>
        <w:rPr>
          <w:spacing w:val="-63"/>
        </w:rPr>
      </w:r>
      <w:r>
        <w:rPr/>
        <w:t>确认的收益金额。</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pStyle w:val="BodyText"/>
        <w:spacing w:line="450" w:lineRule="atLeast" w:before="143"/>
        <w:ind w:left="513" w:right="986"/>
        <w:jc w:val="left"/>
      </w:pPr>
      <w:r>
        <w:rPr>
          <w:rFonts w:ascii="Times New Roman" w:hAnsi="Times New Roman" w:cs="Times New Roman" w:eastAsia="Times New Roman" w:hint="default"/>
          <w:b/>
          <w:bCs/>
        </w:rPr>
        <w:t>1.</w:t>
      </w:r>
      <w:r>
        <w:rPr>
          <w:rFonts w:ascii="宋体" w:hAnsi="宋体" w:cs="宋体" w:eastAsia="宋体" w:hint="default"/>
          <w:b/>
          <w:bCs/>
        </w:rPr>
        <w:t>终止经营</w:t>
      </w:r>
      <w:r>
        <w:rPr>
          <w:rFonts w:ascii="宋体" w:hAnsi="宋体" w:cs="宋体" w:eastAsia="宋体" w:hint="default"/>
          <w:b/>
          <w:bCs/>
          <w:w w:val="99"/>
        </w:rPr>
        <w:t> </w:t>
      </w:r>
      <w:r>
        <w:rPr>
          <w:spacing w:val="-2"/>
        </w:rPr>
        <w:t>本公司将满足下列条件之一的，且该组成部分已经处置或划归为持有待售类别的、能够单独区分的组成部分确认为终止</w:t>
      </w:r>
    </w:p>
    <w:p>
      <w:pPr>
        <w:pStyle w:val="BodyText"/>
        <w:spacing w:line="240" w:lineRule="auto" w:before="76"/>
        <w:ind w:right="986"/>
        <w:jc w:val="left"/>
      </w:pPr>
      <w:r>
        <w:rPr/>
        <w:t>经营组成部分：</w:t>
      </w:r>
    </w:p>
    <w:p>
      <w:pPr>
        <w:spacing w:line="240" w:lineRule="auto" w:before="10"/>
        <w:rPr>
          <w:rFonts w:ascii="宋体" w:hAnsi="宋体" w:cs="宋体" w:eastAsia="宋体" w:hint="default"/>
          <w:sz w:val="17"/>
          <w:szCs w:val="17"/>
        </w:rPr>
      </w:pPr>
    </w:p>
    <w:p>
      <w:pPr>
        <w:pStyle w:val="BodyText"/>
        <w:spacing w:line="240" w:lineRule="auto"/>
        <w:ind w:left="513" w:right="986"/>
        <w:jc w:val="left"/>
      </w:pPr>
      <w:r>
        <w:rPr/>
        <w:t>（</w:t>
      </w:r>
      <w:r>
        <w:rPr>
          <w:rFonts w:ascii="Times New Roman" w:hAnsi="Times New Roman" w:cs="Times New Roman" w:eastAsia="Times New Roman" w:hint="default"/>
        </w:rPr>
        <w:t>1</w:t>
      </w:r>
      <w:r>
        <w:rPr/>
        <w:t>）该组成部分代表一项独立的主要业务或一个单独的主要经营地区。</w:t>
      </w:r>
    </w:p>
    <w:p>
      <w:pPr>
        <w:spacing w:line="240" w:lineRule="auto" w:before="10"/>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spacing w:line="240" w:lineRule="auto" w:before="9"/>
        <w:rPr>
          <w:rFonts w:ascii="宋体" w:hAnsi="宋体" w:cs="宋体" w:eastAsia="宋体" w:hint="default"/>
          <w:sz w:val="16"/>
          <w:szCs w:val="16"/>
        </w:rPr>
      </w:pPr>
    </w:p>
    <w:p>
      <w:pPr>
        <w:pStyle w:val="BodyText"/>
        <w:spacing w:line="458" w:lineRule="auto"/>
        <w:ind w:left="513" w:right="2833"/>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 </w:t>
      </w:r>
      <w:r>
        <w:rPr>
          <w:rFonts w:ascii="Times New Roman" w:hAnsi="Times New Roman" w:cs="Times New Roman" w:eastAsia="Times New Roman" w:hint="default"/>
          <w:b/>
          <w:bCs/>
        </w:rPr>
        <w:t>2.</w:t>
      </w:r>
      <w:r>
        <w:rPr>
          <w:rFonts w:ascii="宋体" w:hAnsi="宋体" w:cs="宋体" w:eastAsia="宋体" w:hint="default"/>
          <w:b/>
          <w:bCs/>
        </w:rPr>
        <w:t>回购本公司股份</w:t>
      </w:r>
      <w:r>
        <w:rPr>
          <w:rFonts w:ascii="宋体" w:hAnsi="宋体" w:cs="宋体" w:eastAsia="宋体" w:hint="default"/>
          <w:b/>
          <w:bCs/>
          <w:w w:val="99"/>
        </w:rPr>
        <w:t> </w:t>
      </w:r>
      <w:r>
        <w:rPr/>
        <w:t>为减少注册资本或奖励本公司职工等原因而收购本公司股份时，按实际支付的金额记入库存股。</w:t>
      </w:r>
    </w:p>
    <w:p>
      <w:pPr>
        <w:pStyle w:val="BodyText"/>
        <w:spacing w:line="316" w:lineRule="auto" w:before="68"/>
        <w:ind w:right="986" w:firstLine="360"/>
        <w:jc w:val="left"/>
      </w:pPr>
      <w:r>
        <w:rPr>
          <w:spacing w:val="-2"/>
        </w:rPr>
        <w:t>根据以权益结算的股份支付协议将收购的股份奖励给本公司职工时，按奖励库存股账面余额与职工所支付现金及授予权</w:t>
      </w:r>
      <w:r>
        <w:rPr/>
        <w:t> 益工具时确认的资本公积之间的差额，计入资本公积（股本溢价）。</w:t>
      </w:r>
    </w:p>
    <w:p>
      <w:pPr>
        <w:spacing w:line="240" w:lineRule="auto" w:before="5"/>
        <w:rPr>
          <w:rFonts w:ascii="宋体" w:hAnsi="宋体" w:cs="宋体" w:eastAsia="宋体" w:hint="default"/>
          <w:sz w:val="13"/>
          <w:szCs w:val="13"/>
        </w:rPr>
      </w:pPr>
    </w:p>
    <w:p>
      <w:pPr>
        <w:pStyle w:val="BodyText"/>
        <w:spacing w:line="240" w:lineRule="auto"/>
        <w:ind w:left="513" w:right="986"/>
        <w:jc w:val="left"/>
      </w:pPr>
      <w:r>
        <w:rPr/>
        <w:t>注销库存股时，按所注销库存股面值总额注销股本，按所注销库存股的账面余额，冲减库存股，按其差额冲减资本公积</w:t>
      </w:r>
    </w:p>
    <w:p>
      <w:pPr>
        <w:pStyle w:val="BodyText"/>
        <w:spacing w:line="240" w:lineRule="auto" w:before="76"/>
        <w:ind w:right="986"/>
        <w:jc w:val="left"/>
      </w:pPr>
      <w:r>
        <w:rPr/>
        <w:t>（股本溢价），股本溢价不足冲减的，调整留存收益。</w:t>
      </w:r>
    </w:p>
    <w:p>
      <w:pPr>
        <w:spacing w:line="240" w:lineRule="auto" w:before="10"/>
        <w:rPr>
          <w:rFonts w:ascii="宋体" w:hAnsi="宋体" w:cs="宋体" w:eastAsia="宋体" w:hint="default"/>
          <w:sz w:val="17"/>
          <w:szCs w:val="17"/>
        </w:rPr>
      </w:pPr>
    </w:p>
    <w:p>
      <w:pPr>
        <w:pStyle w:val="Heading5"/>
        <w:spacing w:line="240" w:lineRule="auto"/>
        <w:ind w:right="986"/>
        <w:jc w:val="left"/>
        <w:rPr>
          <w:b w:val="0"/>
          <w:bCs w:val="0"/>
        </w:rPr>
      </w:pPr>
      <w:r>
        <w:rPr>
          <w:rFonts w:ascii="Times New Roman" w:hAnsi="Times New Roman" w:cs="Times New Roman" w:eastAsia="Times New Roman" w:hint="default"/>
        </w:rPr>
        <w:t>3.</w:t>
      </w:r>
      <w:r>
        <w:rPr/>
        <w:t>持有待售的非流动资产及处置组</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4453"/>
        <w:jc w:val="left"/>
      </w:pPr>
      <w:r>
        <w:rPr>
          <w:rFonts w:ascii="Times New Roman" w:hAnsi="Times New Roman" w:cs="Times New Roman" w:eastAsia="Times New Roman" w:hint="default"/>
        </w:rPr>
        <w:t>1</w:t>
      </w:r>
      <w:r>
        <w:rPr/>
        <w:t>、持有待售的非流动资产及处置组标准 将同时符合下列条件的非流动资产确认为持有待售的非流动资产及处置组：</w:t>
      </w:r>
    </w:p>
    <w:p>
      <w:pPr>
        <w:pStyle w:val="BodyText"/>
        <w:spacing w:line="240" w:lineRule="auto" w:before="74"/>
        <w:ind w:left="513" w:right="986"/>
        <w:jc w:val="left"/>
      </w:pPr>
      <w:r>
        <w:rPr/>
        <w:t>（</w:t>
      </w:r>
      <w:r>
        <w:rPr>
          <w:rFonts w:ascii="Times New Roman" w:hAnsi="Times New Roman" w:cs="Times New Roman" w:eastAsia="Times New Roman" w:hint="default"/>
        </w:rPr>
        <w:t>1</w:t>
      </w:r>
      <w:r>
        <w:rPr/>
        <w:t>）公司已就该资产出售事项作出决议；</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）公司已与对方签订了不可撤消的转让协议；</w:t>
      </w:r>
    </w:p>
    <w:p>
      <w:pPr>
        <w:spacing w:line="240" w:lineRule="auto" w:before="10"/>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3</w:t>
      </w:r>
      <w:r>
        <w:rPr/>
        <w:t>）该资产转让将在一年内完成。</w:t>
      </w:r>
    </w:p>
    <w:p>
      <w:pPr>
        <w:pStyle w:val="BodyText"/>
        <w:spacing w:line="460" w:lineRule="atLeast" w:before="8"/>
        <w:ind w:left="513" w:right="986"/>
        <w:jc w:val="left"/>
      </w:pPr>
      <w:r>
        <w:rPr>
          <w:rFonts w:ascii="Times New Roman" w:hAnsi="Times New Roman" w:cs="Times New Roman" w:eastAsia="Times New Roman" w:hint="default"/>
        </w:rPr>
        <w:t>2</w:t>
      </w:r>
      <w:r>
        <w:rPr/>
        <w:t>、持有待售的非流动资产及处置组的会计处理方法 </w:t>
      </w:r>
      <w:r>
        <w:rPr>
          <w:spacing w:val="2"/>
        </w:rPr>
        <w:t>符合持有待售条件的非流动资产被划分为持有待售的非流动资产及被划分为持有待售的处置组中的资产</w:t>
      </w:r>
      <w:r>
        <w:rPr>
          <w:spacing w:val="23"/>
        </w:rPr>
        <w:t> </w:t>
      </w:r>
      <w:r>
        <w:rPr>
          <w:rFonts w:ascii="Times New Roman" w:hAnsi="Times New Roman" w:cs="Times New Roman" w:eastAsia="Times New Roman" w:hint="default"/>
        </w:rPr>
        <w:t>(</w:t>
      </w:r>
      <w:r>
        <w:rPr/>
        <w:t>不包括金融</w:t>
      </w:r>
    </w:p>
    <w:p>
      <w:pPr>
        <w:pStyle w:val="BodyText"/>
        <w:spacing w:line="300" w:lineRule="auto" w:before="63"/>
        <w:ind w:right="986"/>
        <w:jc w:val="left"/>
      </w:pPr>
      <w:r>
        <w:rPr/>
        <w:t>资产及递延所得税资产</w:t>
      </w:r>
      <w:r>
        <w:rPr>
          <w:rFonts w:ascii="Times New Roman" w:hAnsi="Times New Roman" w:cs="Times New Roman" w:eastAsia="Times New Roman" w:hint="default"/>
        </w:rPr>
        <w:t>)</w:t>
      </w:r>
      <w:r>
        <w:rPr/>
        <w:t>，不计提折旧或进行摊销，以账面价值与公允价值减去处置费用孰低的金额列示。公允价值减去处</w:t>
      </w:r>
      <w:r>
        <w:rPr>
          <w:spacing w:val="-59"/>
        </w:rPr>
        <w:t> </w:t>
      </w:r>
      <w:r>
        <w:rPr>
          <w:spacing w:val="-59"/>
        </w:rPr>
      </w:r>
      <w:r>
        <w:rPr/>
        <w:t>置费用低于原账面价值的金额，确认为资产减值损失。</w:t>
      </w:r>
    </w:p>
    <w:p>
      <w:pPr>
        <w:pStyle w:val="BodyText"/>
        <w:spacing w:line="468" w:lineRule="exact" w:before="23"/>
        <w:ind w:left="513" w:right="986"/>
        <w:jc w:val="left"/>
      </w:pPr>
      <w:r>
        <w:rPr>
          <w:rFonts w:ascii="Times New Roman" w:hAnsi="Times New Roman" w:cs="Times New Roman" w:eastAsia="Times New Roman" w:hint="default"/>
          <w:b/>
          <w:bCs/>
        </w:rPr>
        <w:t>4.</w:t>
      </w:r>
      <w:r>
        <w:rPr>
          <w:rFonts w:ascii="宋体" w:hAnsi="宋体" w:cs="宋体" w:eastAsia="宋体" w:hint="default"/>
          <w:b/>
          <w:bCs/>
        </w:rPr>
        <w:t>分部报告</w:t>
      </w:r>
      <w:r>
        <w:rPr>
          <w:rFonts w:ascii="宋体" w:hAnsi="宋体" w:cs="宋体" w:eastAsia="宋体" w:hint="default"/>
          <w:b/>
          <w:bCs/>
          <w:w w:val="99"/>
        </w:rPr>
        <w:t> </w:t>
      </w:r>
      <w:r>
        <w:rPr>
          <w:spacing w:val="-2"/>
        </w:rPr>
        <w:t>以内部组织结构、管理要求、内部报告制度为依据确定经营分部，以经营分部为基础确定报告分部。经营分部，是指公</w:t>
      </w:r>
    </w:p>
    <w:p>
      <w:pPr>
        <w:pStyle w:val="BodyText"/>
        <w:spacing w:line="240" w:lineRule="auto" w:before="8"/>
        <w:ind w:right="986"/>
        <w:jc w:val="left"/>
      </w:pPr>
      <w:r>
        <w:rPr/>
        <w:t>司内同时满足下列条件的组成部分：</w:t>
      </w:r>
    </w:p>
    <w:p>
      <w:pPr>
        <w:spacing w:line="240" w:lineRule="auto" w:before="10"/>
        <w:rPr>
          <w:rFonts w:ascii="宋体" w:hAnsi="宋体" w:cs="宋体" w:eastAsia="宋体" w:hint="default"/>
          <w:sz w:val="17"/>
          <w:szCs w:val="17"/>
        </w:rPr>
      </w:pPr>
    </w:p>
    <w:p>
      <w:pPr>
        <w:pStyle w:val="BodyText"/>
        <w:spacing w:line="240" w:lineRule="auto"/>
        <w:ind w:left="513" w:right="986"/>
        <w:jc w:val="left"/>
      </w:pPr>
      <w:r>
        <w:rPr>
          <w:rFonts w:ascii="Times New Roman" w:hAnsi="Times New Roman" w:cs="Times New Roman" w:eastAsia="Times New Roman" w:hint="default"/>
        </w:rPr>
        <w:t>1</w:t>
      </w:r>
      <w:r>
        <w:rPr/>
        <w:t>、该组成部分能够在日常活动中产生收入、发生费用；</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2</w:t>
      </w:r>
      <w:r>
        <w:rPr/>
        <w:t>、公司管理层能够定期评价该组成部分的经营成果，以决定向其配置资源、评价其业绩；</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451" w:lineRule="auto" w:before="44"/>
        <w:ind w:left="513" w:right="1573"/>
        <w:jc w:val="left"/>
      </w:pPr>
      <w:r>
        <w:rPr>
          <w:rFonts w:ascii="Times New Roman" w:hAnsi="Times New Roman" w:cs="Times New Roman" w:eastAsia="Times New Roman" w:hint="default"/>
        </w:rPr>
        <w:t>3</w:t>
      </w:r>
      <w:r>
        <w:rPr/>
        <w:t>、公司能够取得该组成部分的财务状况、经营成果和现金流量等有关会计信息。 如果两个或多个经营分部存在相似经济特征且同时在以下方面具有相同或相似性的，可以合并为一个经营分部：</w:t>
      </w:r>
    </w:p>
    <w:p>
      <w:pPr>
        <w:pStyle w:val="BodyText"/>
        <w:spacing w:line="240" w:lineRule="auto" w:before="74"/>
        <w:ind w:left="513" w:right="986"/>
        <w:jc w:val="left"/>
      </w:pPr>
      <w:r>
        <w:rPr/>
        <w:t>（</w:t>
      </w:r>
      <w:r>
        <w:rPr>
          <w:rFonts w:ascii="Times New Roman" w:hAnsi="Times New Roman" w:cs="Times New Roman" w:eastAsia="Times New Roman" w:hint="default"/>
        </w:rPr>
        <w:t>1</w:t>
      </w:r>
      <w:r>
        <w:rPr/>
        <w:t>）各单项产品或劳务的性质；</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2</w:t>
      </w:r>
      <w:r>
        <w:rPr/>
        <w:t>）生产过程的性质；</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3</w:t>
      </w:r>
      <w:r>
        <w:rPr/>
        <w:t>）产品或劳务的客户类型；</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4</w:t>
      </w:r>
      <w:r>
        <w:rPr/>
        <w:t>）销售产品或提供劳务的方式；</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t>（</w:t>
      </w:r>
      <w:r>
        <w:rPr>
          <w:rFonts w:ascii="Times New Roman" w:hAnsi="Times New Roman" w:cs="Times New Roman" w:eastAsia="Times New Roman" w:hint="default"/>
        </w:rPr>
        <w:t>5</w:t>
      </w:r>
      <w:r>
        <w:rPr/>
        <w:t>）生产产品及提供劳务受法律、行政法规的影响。</w:t>
      </w:r>
    </w:p>
    <w:p>
      <w:pPr>
        <w:spacing w:line="470" w:lineRule="atLeast" w:before="0"/>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财务报表列报项目变更说明</w:t>
      </w:r>
      <w:r>
        <w:rPr>
          <w:rFonts w:ascii="宋体" w:hAnsi="宋体" w:cs="宋体" w:eastAsia="宋体" w:hint="default"/>
          <w:b/>
          <w:bCs/>
          <w:w w:val="99"/>
          <w:sz w:val="18"/>
          <w:szCs w:val="18"/>
        </w:rPr>
        <w:t> </w:t>
      </w: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年发布了《关于修订印发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年度一般企业财务报表格式的通知》（财会〔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号）和《关于修订印</w:t>
      </w:r>
    </w:p>
    <w:p>
      <w:pPr>
        <w:pStyle w:val="BodyText"/>
        <w:spacing w:line="309" w:lineRule="auto" w:before="63"/>
        <w:ind w:right="1131"/>
        <w:jc w:val="both"/>
      </w:pPr>
      <w:r>
        <w:rPr>
          <w:spacing w:val="-1"/>
        </w:rPr>
        <w:t>发合并财务报表格式</w:t>
      </w:r>
      <w:r>
        <w:rPr>
          <w:rFonts w:ascii="Times New Roman" w:hAnsi="Times New Roman" w:cs="Times New Roman" w:eastAsia="Times New Roman" w:hint="default"/>
          <w:spacing w:val="-1"/>
        </w:rPr>
        <w:t>(2019</w:t>
      </w:r>
      <w:r>
        <w:rPr>
          <w:spacing w:val="-1"/>
        </w:rPr>
        <w:t>版</w:t>
      </w:r>
      <w:r>
        <w:rPr>
          <w:rFonts w:ascii="Times New Roman" w:hAnsi="Times New Roman" w:cs="Times New Roman" w:eastAsia="Times New Roman" w:hint="default"/>
          <w:spacing w:val="-1"/>
        </w:rPr>
        <w:t>)</w:t>
      </w:r>
      <w:r>
        <w:rPr>
          <w:spacing w:val="-1"/>
        </w:rPr>
        <w:t>的通知》（财会〔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16</w:t>
      </w:r>
      <w:r>
        <w:rPr>
          <w:spacing w:val="-1"/>
        </w:rPr>
        <w:t>号），对一般企业财务报表格式进行了修订，拆分部分资产负债表</w:t>
      </w:r>
      <w:r>
        <w:rPr>
          <w:spacing w:val="-60"/>
        </w:rPr>
        <w:t> </w:t>
      </w:r>
      <w:r>
        <w:rPr>
          <w:spacing w:val="-60"/>
        </w:rPr>
      </w:r>
      <w:r>
        <w:rPr>
          <w:spacing w:val="-2"/>
        </w:rPr>
        <w:t>项目和部分利润表项目等。本公司已经根据新的企业财务报表格式的要求编制财务报表，财务报表的列报项目因此发生变更</w:t>
      </w:r>
      <w:r>
        <w:rPr>
          <w:spacing w:val="-64"/>
        </w:rPr>
        <w:t> </w:t>
      </w:r>
      <w:r>
        <w:rPr>
          <w:spacing w:val="-64"/>
        </w:rPr>
      </w:r>
      <w:r>
        <w:rPr/>
        <w:t>的，已经按照《企业会计准则第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40" w:lineRule="auto" w:before="161"/>
        <w:ind w:left="513" w:right="986"/>
        <w:jc w:val="left"/>
      </w:pPr>
      <w:r>
        <w:rPr/>
        <w:t>对可比期间的财务报表列报项目及金额的影响如下：</w:t>
      </w:r>
    </w:p>
    <w:p>
      <w:pPr>
        <w:spacing w:line="240" w:lineRule="auto" w:before="13"/>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2165"/>
        <w:gridCol w:w="1834"/>
        <w:gridCol w:w="1997"/>
        <w:gridCol w:w="1997"/>
        <w:gridCol w:w="1666"/>
      </w:tblGrid>
      <w:tr>
        <w:trPr>
          <w:trHeight w:val="341" w:hRule="exact"/>
        </w:trPr>
        <w:tc>
          <w:tcPr>
            <w:tcW w:w="2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1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33"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53,165,741.89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53,165,741.89</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5,560,938,612.15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5,560,938,612.15</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5,614,104,354.04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-5,614,104,354.04</w:t>
            </w:r>
          </w:p>
        </w:tc>
        <w:tc>
          <w:tcPr>
            <w:tcW w:w="199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130,450,667.50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130,450,667.50</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4"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1,259,030,712.02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1,259,030,712.02</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1,389,481,379.52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-1,389,481,379.52</w:t>
            </w:r>
          </w:p>
        </w:tc>
        <w:tc>
          <w:tcPr>
            <w:tcW w:w="199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16"/>
          <w:szCs w:val="16"/>
        </w:rPr>
      </w:pPr>
    </w:p>
    <w:p>
      <w:pPr>
        <w:pStyle w:val="Heading5"/>
        <w:spacing w:line="240" w:lineRule="auto"/>
        <w:ind w:right="986"/>
        <w:jc w:val="left"/>
        <w:rPr>
          <w:b w:val="0"/>
          <w:bCs w:val="0"/>
        </w:rPr>
      </w:pPr>
      <w:r>
        <w:rPr>
          <w:rFonts w:ascii="Times New Roman" w:hAnsi="Times New Roman" w:cs="Times New Roman" w:eastAsia="Times New Roman" w:hint="default"/>
        </w:rPr>
        <w:t>1.</w:t>
      </w:r>
      <w:r>
        <w:rPr/>
        <w:t>会计政策变更</w:t>
      </w:r>
      <w:r>
        <w:rPr>
          <w:b w:val="0"/>
          <w:bCs w:val="0"/>
        </w:rPr>
      </w:r>
    </w:p>
    <w:p>
      <w:pPr>
        <w:spacing w:line="240" w:lineRule="auto" w:before="12"/>
        <w:rPr>
          <w:rFonts w:ascii="宋体" w:hAnsi="宋体" w:cs="宋体" w:eastAsia="宋体" w:hint="default"/>
          <w:b/>
          <w:bCs/>
          <w:sz w:val="16"/>
          <w:szCs w:val="16"/>
        </w:rPr>
      </w:pPr>
    </w:p>
    <w:p>
      <w:pPr>
        <w:pStyle w:val="BodyText"/>
        <w:spacing w:line="300" w:lineRule="auto"/>
        <w:ind w:right="1129" w:firstLine="360"/>
        <w:jc w:val="both"/>
      </w:pPr>
      <w:r>
        <w:rPr>
          <w:spacing w:val="-1"/>
        </w:rPr>
        <w:t>（</w:t>
      </w:r>
      <w:r>
        <w:rPr>
          <w:rFonts w:ascii="Times New Roman" w:hAnsi="Times New Roman" w:cs="Times New Roman" w:eastAsia="Times New Roman" w:hint="default"/>
          <w:spacing w:val="-1"/>
        </w:rPr>
        <w:t>1</w:t>
      </w:r>
      <w:r>
        <w:rPr>
          <w:spacing w:val="-1"/>
        </w:rPr>
        <w:t>）本公司自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日起执行财政部</w:t>
      </w:r>
      <w:r>
        <w:rPr>
          <w:rFonts w:ascii="Times New Roman" w:hAnsi="Times New Roman" w:cs="Times New Roman" w:eastAsia="Times New Roman" w:hint="default"/>
          <w:spacing w:val="-1"/>
        </w:rPr>
        <w:t>2017</w:t>
      </w:r>
      <w:r>
        <w:rPr>
          <w:spacing w:val="-1"/>
        </w:rPr>
        <w:t>年修订的《企业会计准则第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金融工具确认和计量》、《企业会计准</w:t>
      </w:r>
      <w:r>
        <w:rPr/>
        <w:t> 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 </w:t>
      </w:r>
      <w:r>
        <w:rPr/>
        <w:t>新金融工具准则</w:t>
      </w:r>
      <w:r>
        <w:rPr>
          <w:rFonts w:ascii="Times New Roman" w:hAnsi="Times New Roman" w:cs="Times New Roman" w:eastAsia="Times New Roman" w:hint="default"/>
        </w:rPr>
        <w:t>&gt;</w:t>
      </w:r>
      <w:r>
        <w:rPr/>
        <w:t>），变更后的会计政策详见附注四。</w:t>
      </w:r>
    </w:p>
    <w:p>
      <w:pPr>
        <w:spacing w:line="468" w:lineRule="exact" w:before="5"/>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执行新金融工具准则对本公司的影响</w:t>
      </w:r>
      <w:r>
        <w:rPr>
          <w:rFonts w:ascii="宋体" w:hAnsi="宋体" w:cs="宋体" w:eastAsia="宋体" w:hint="default"/>
          <w:b/>
          <w:bCs/>
          <w:w w:val="99"/>
          <w:sz w:val="18"/>
          <w:szCs w:val="18"/>
        </w:rPr>
        <w:t> </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日之前的金融工具确认和计量与新金融工具准则要求不一致的，本公司按照新金融工具准则的要求进行衔</w:t>
      </w:r>
    </w:p>
    <w:p>
      <w:pPr>
        <w:pStyle w:val="BodyText"/>
        <w:spacing w:line="316" w:lineRule="auto" w:before="8"/>
        <w:ind w:right="986"/>
        <w:jc w:val="left"/>
      </w:pPr>
      <w:r>
        <w:rPr>
          <w:spacing w:val="-2"/>
        </w:rPr>
        <w:t>接调整。涉及前期比较财务报表数据与新金融工具准则要求不一致的，本公司未调整可比期间信息。金融工具原账面价值和</w:t>
      </w:r>
      <w:r>
        <w:rPr>
          <w:spacing w:val="-63"/>
        </w:rPr>
        <w:t> </w:t>
      </w:r>
      <w:r>
        <w:rPr>
          <w:spacing w:val="-63"/>
        </w:rPr>
      </w: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155"/>
        <w:ind w:left="513" w:right="986"/>
        <w:jc w:val="left"/>
      </w:pPr>
      <w:r>
        <w:rPr/>
        <w:t>执行新金融工具准则对本期期初资产负债表相关项目的影响列示如下：</w:t>
      </w:r>
    </w:p>
    <w:p>
      <w:pPr>
        <w:spacing w:line="240" w:lineRule="auto" w:before="13"/>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2064"/>
        <w:gridCol w:w="1801"/>
        <w:gridCol w:w="4105"/>
        <w:gridCol w:w="1690"/>
      </w:tblGrid>
      <w:tr>
        <w:trPr>
          <w:trHeight w:val="341"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064"/>
        <w:gridCol w:w="1801"/>
        <w:gridCol w:w="1368"/>
        <w:gridCol w:w="1368"/>
        <w:gridCol w:w="1369"/>
        <w:gridCol w:w="1690"/>
      </w:tblGrid>
      <w:tr>
        <w:trPr>
          <w:trHeight w:val="965"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319" w:right="317" w:firstLine="88"/>
              <w:jc w:val="left"/>
              <w:rPr>
                <w:rFonts w:ascii="宋体" w:hAnsi="宋体" w:cs="宋体" w:eastAsia="宋体" w:hint="default"/>
                <w:sz w:val="18"/>
                <w:szCs w:val="18"/>
              </w:rPr>
            </w:pPr>
            <w:r>
              <w:rPr>
                <w:rFonts w:ascii="宋体" w:hAnsi="宋体" w:cs="宋体" w:eastAsia="宋体" w:hint="default"/>
                <w:sz w:val="18"/>
                <w:szCs w:val="18"/>
              </w:rPr>
              <w:t>分类和 计量影响</w:t>
            </w:r>
          </w:p>
          <w:p>
            <w:pPr>
              <w:pStyle w:val="TableParagraph"/>
              <w:spacing w:line="240" w:lineRule="auto" w:before="7"/>
              <w:ind w:left="362" w:right="0"/>
              <w:jc w:val="left"/>
              <w:rPr>
                <w:rFonts w:ascii="宋体" w:hAnsi="宋体" w:cs="宋体" w:eastAsia="宋体" w:hint="default"/>
                <w:sz w:val="19"/>
                <w:szCs w:val="19"/>
              </w:rPr>
            </w:pPr>
            <w:r>
              <w:rPr>
                <w:rFonts w:ascii="宋体" w:hAnsi="宋体" w:cs="宋体" w:eastAsia="宋体" w:hint="default"/>
                <w:i/>
                <w:sz w:val="19"/>
                <w:szCs w:val="19"/>
              </w:rPr>
              <w:t>（注</w:t>
            </w:r>
            <w:r>
              <w:rPr>
                <w:rFonts w:ascii="Times New Roman" w:hAnsi="Times New Roman" w:cs="Times New Roman" w:eastAsia="Times New Roman" w:hint="default"/>
                <w:i/>
                <w:sz w:val="18"/>
                <w:szCs w:val="18"/>
              </w:rPr>
              <w:t>1</w:t>
            </w:r>
            <w:r>
              <w:rPr>
                <w:rFonts w:ascii="宋体" w:hAnsi="宋体" w:cs="宋体" w:eastAsia="宋体" w:hint="default"/>
                <w:i/>
                <w:sz w:val="19"/>
                <w:szCs w:val="19"/>
              </w:rPr>
              <w:t>）</w:t>
            </w:r>
            <w:r>
              <w:rPr>
                <w:rFonts w:ascii="宋体" w:hAnsi="宋体" w:cs="宋体" w:eastAsia="宋体" w:hint="default"/>
                <w:sz w:val="19"/>
                <w:szCs w:val="19"/>
              </w:rPr>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321" w:right="314"/>
              <w:jc w:val="left"/>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7"/>
              <w:ind w:left="364" w:right="0"/>
              <w:jc w:val="left"/>
              <w:rPr>
                <w:rFonts w:ascii="宋体" w:hAnsi="宋体" w:cs="宋体" w:eastAsia="宋体" w:hint="default"/>
                <w:sz w:val="19"/>
                <w:szCs w:val="19"/>
              </w:rPr>
            </w:pPr>
            <w:r>
              <w:rPr>
                <w:rFonts w:ascii="宋体" w:hAnsi="宋体" w:cs="宋体" w:eastAsia="宋体" w:hint="default"/>
                <w:i/>
                <w:sz w:val="19"/>
                <w:szCs w:val="19"/>
              </w:rPr>
              <w:t>（注</w:t>
            </w:r>
            <w:r>
              <w:rPr>
                <w:rFonts w:ascii="Times New Roman" w:hAnsi="Times New Roman" w:cs="Times New Roman" w:eastAsia="Times New Roman" w:hint="default"/>
                <w:i/>
                <w:sz w:val="18"/>
                <w:szCs w:val="18"/>
              </w:rPr>
              <w:t>2</w:t>
            </w:r>
            <w:r>
              <w:rPr>
                <w:rFonts w:ascii="宋体" w:hAnsi="宋体" w:cs="宋体" w:eastAsia="宋体" w:hint="default"/>
                <w:i/>
                <w:sz w:val="19"/>
                <w:szCs w:val="19"/>
              </w:rPr>
              <w:t>）</w:t>
            </w:r>
            <w:r>
              <w:rPr>
                <w:rFonts w:ascii="宋体" w:hAnsi="宋体" w:cs="宋体" w:eastAsia="宋体" w:hint="default"/>
                <w:sz w:val="19"/>
                <w:szCs w:val="19"/>
              </w:rPr>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9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651,564,110.01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-651,564,110.01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-651,564,110.01</w:t>
            </w:r>
          </w:p>
        </w:tc>
        <w:tc>
          <w:tcPr>
            <w:tcW w:w="169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731,559,631.74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731,559,631.74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731,559,631.74</w:t>
            </w:r>
          </w:p>
        </w:tc>
      </w:tr>
      <w:tr>
        <w:trPr>
          <w:trHeight w:val="34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65,997,709.57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3,337,546.48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3,337,546.48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69,335,256.05</w:t>
            </w:r>
          </w:p>
        </w:tc>
      </w:tr>
      <w:tr>
        <w:trPr>
          <w:trHeight w:val="34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16,005,650,937.10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83,333,068.21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83,333,068.21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16,088,984,005.31</w:t>
            </w:r>
          </w:p>
        </w:tc>
      </w:tr>
      <w:tr>
        <w:trPr>
          <w:trHeight w:val="34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1,948,885.01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11,337,098.65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11,337,098.65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13,285,983.66</w:t>
            </w:r>
          </w:p>
        </w:tc>
      </w:tr>
      <w:tr>
        <w:trPr>
          <w:trHeight w:val="34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6,734,876,202.44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11,337,098.65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11,337,098.65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6,746,213,301.09</w:t>
            </w:r>
          </w:p>
        </w:tc>
      </w:tr>
      <w:tr>
        <w:trPr>
          <w:trHeight w:val="34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3,282,424,450.60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71,995,969.56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71,995,969.56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3,354,420,420.16</w:t>
            </w:r>
          </w:p>
        </w:tc>
      </w:tr>
      <w:tr>
        <w:trPr>
          <w:trHeight w:val="34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归属于母公司的股东权益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9,175,030,210.24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71,995,969.56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71,995,969.56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9,247,026,179.80</w:t>
            </w:r>
          </w:p>
        </w:tc>
      </w:tr>
      <w:tr>
        <w:trPr>
          <w:trHeight w:val="34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9,270,774,734.66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71,995,969.56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71,995,969.56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9,342,770,704.22</w:t>
            </w:r>
          </w:p>
        </w:tc>
      </w:tr>
    </w:tbl>
    <w:p>
      <w:pPr>
        <w:spacing w:line="240" w:lineRule="auto" w:before="4"/>
        <w:rPr>
          <w:rFonts w:ascii="宋体" w:hAnsi="宋体" w:cs="宋体" w:eastAsia="宋体" w:hint="default"/>
          <w:sz w:val="9"/>
          <w:szCs w:val="9"/>
        </w:rPr>
      </w:pPr>
    </w:p>
    <w:p>
      <w:pPr>
        <w:pStyle w:val="BodyText"/>
        <w:spacing w:line="300" w:lineRule="auto" w:before="44"/>
        <w:ind w:right="1132" w:firstLine="360"/>
        <w:jc w:val="both"/>
      </w:pPr>
      <w:r>
        <w:rPr>
          <w:spacing w:val="-1"/>
        </w:rPr>
        <w:t>注</w:t>
      </w:r>
      <w:r>
        <w:rPr>
          <w:rFonts w:ascii="Times New Roman" w:hAnsi="Times New Roman" w:cs="Times New Roman" w:eastAsia="Times New Roman" w:hint="default"/>
          <w:spacing w:val="-1"/>
        </w:rPr>
        <w:t>1</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日，将账面价值</w:t>
      </w:r>
      <w:r>
        <w:rPr>
          <w:rFonts w:ascii="Times New Roman" w:hAnsi="Times New Roman" w:cs="Times New Roman" w:eastAsia="Times New Roman" w:hint="default"/>
          <w:spacing w:val="-1"/>
        </w:rPr>
        <w:t>651,564,110.01</w:t>
      </w:r>
      <w:r>
        <w:rPr>
          <w:spacing w:val="-1"/>
        </w:rPr>
        <w:t>元可供出售金融资产重分类至其他非流动金融资产，因采用公允价值</w:t>
      </w:r>
      <w:r>
        <w:rPr/>
        <w:t> 计量调整期初未分配利润</w:t>
      </w:r>
      <w:r>
        <w:rPr>
          <w:rFonts w:ascii="Times New Roman" w:hAnsi="Times New Roman" w:cs="Times New Roman" w:eastAsia="Times New Roman" w:hint="default"/>
        </w:rPr>
        <w:t>71,995,969.56</w:t>
      </w:r>
      <w:r>
        <w:rPr/>
        <w:t>元、递延所得税资产</w:t>
      </w:r>
      <w:r>
        <w:rPr>
          <w:rFonts w:ascii="Times New Roman" w:hAnsi="Times New Roman" w:cs="Times New Roman" w:eastAsia="Times New Roman" w:hint="default"/>
        </w:rPr>
        <w:t>3,337,546.48</w:t>
      </w:r>
      <w:r>
        <w:rPr/>
        <w:t>元，递延所得税负债</w:t>
      </w:r>
      <w:r>
        <w:rPr>
          <w:rFonts w:ascii="Times New Roman" w:hAnsi="Times New Roman" w:cs="Times New Roman" w:eastAsia="Times New Roman" w:hint="default"/>
        </w:rPr>
        <w:t>7,999,552.17</w:t>
      </w:r>
      <w:r>
        <w:rPr/>
        <w:t>元。</w:t>
      </w:r>
    </w:p>
    <w:p>
      <w:pPr>
        <w:spacing w:line="240" w:lineRule="auto" w:before="12"/>
        <w:rPr>
          <w:rFonts w:ascii="宋体" w:hAnsi="宋体" w:cs="宋体" w:eastAsia="宋体" w:hint="default"/>
          <w:sz w:val="12"/>
          <w:szCs w:val="12"/>
        </w:rPr>
      </w:pPr>
    </w:p>
    <w:p>
      <w:pPr>
        <w:pStyle w:val="BodyText"/>
        <w:spacing w:line="300" w:lineRule="auto"/>
        <w:ind w:right="1130" w:firstLine="360"/>
        <w:jc w:val="both"/>
      </w:pPr>
      <w:r>
        <w:rPr/>
        <w:t>（</w:t>
      </w:r>
      <w:r>
        <w:rPr>
          <w:rFonts w:ascii="Times New Roman" w:hAnsi="Times New Roman" w:cs="Times New Roman" w:eastAsia="Times New Roman" w:hint="default"/>
        </w:rPr>
        <w:t>2</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17</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债务重组》。该项会计政策变更采用未来适用法处理，并根 </w:t>
      </w:r>
      <w:r>
        <w:rPr>
          <w:spacing w:val="-2"/>
        </w:rPr>
        <w:t>据准则的规定对于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日至准则实施日之间发生的非货币性资产交换和债务重组进行调整。本公司执行上述准则对本</w:t>
      </w:r>
      <w:r>
        <w:rPr>
          <w:spacing w:val="-61"/>
        </w:rPr>
        <w:t> </w:t>
      </w:r>
      <w:r>
        <w:rPr>
          <w:spacing w:val="-61"/>
        </w:rPr>
      </w:r>
      <w:r>
        <w:rPr/>
        <w:t>报告期内财务报表无重大影响。</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9"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2,086,641,271.60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2,086,641,271.60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53,165,741.89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53,165,741.89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5,560,938,612.15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5,560,938,612.15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732,496,302.70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732,496,302.70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549,284,862.70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549,284,862.70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4,636,520,569.72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4,636,520,569.72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142,981,032.43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142,981,032.43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13,762,028,393.19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13,762,028,393.19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651,564,110.01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-651,564,110.01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78,720,446.17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78,720,446.17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220,607,273.97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220,607,273.97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731,559,631.74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731,559,631.74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5,757,183.93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5,757,183.93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277,851,299.56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277,851,299.56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25,799,394.13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25,799,394.13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132,152,912.00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132,152,912.00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781,400,416.80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781,400,416.80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3,671,997.77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3,671,997.77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65,997,709.57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69,335,256.05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3,337,546.48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2,243,622,543.91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2,326,955,612.12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83,333,068.21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16,005,650,937.10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16,088,984,005.31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83,333,068.21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1,845,260,277.48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1,845,260,277.48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130,450,667.50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130,450,667.50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1,259,030,712.02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1,259,030,712.02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1,226,465,240.61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1,226,465,240.61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8,300,124.07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8,300,124.07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103,458,810.22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103,458,810.22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2,095,499,728.18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2,095,499,728.18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438,934,312.27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438,934,312.27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6,672,465,560.08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6,672,465,560.08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60,461,757.35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60,461,757.35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1,948,885.01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13,285,983.66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11,337,098.65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62,410,642.36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73,747,741.04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11,337,098.65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6,734,876,202.44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6,746,213,301.09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11,337,098.65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3,115,482,375.00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3,115,482,375.00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2,154,182,656.86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2,154,182,656.86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367,438.39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367,438.39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622,573,289.39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622,573,289.39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3,282,424,450.60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3,354,420,420.16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71,995,969.56</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9,175,030,210.24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9,247,026,179.80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71,995,969.56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95,744,524.42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95,744,524.42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9,270,774,734.66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9,342,770,704.22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71,995,969.56</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16,005,650,937.10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16,088,984,005.31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71,995,969.56</w:t>
            </w:r>
          </w:p>
        </w:tc>
      </w:tr>
    </w:tbl>
    <w:p>
      <w:pPr>
        <w:pStyle w:val="BodyText"/>
        <w:spacing w:line="240" w:lineRule="auto" w:before="49"/>
        <w:ind w:right="986"/>
        <w:jc w:val="left"/>
      </w:pPr>
      <w:r>
        <w:rPr/>
        <w:t>母公司资产负债表</w:t>
      </w:r>
    </w:p>
    <w:p>
      <w:pPr>
        <w:pStyle w:val="BodyText"/>
        <w:spacing w:line="240" w:lineRule="auto" w:before="117"/>
        <w:ind w:left="0" w:right="1131"/>
        <w:jc w:val="right"/>
      </w:pPr>
      <w:r>
        <w:rPr/>
        <w:t>单位：元</w:t>
      </w:r>
    </w:p>
    <w:p>
      <w:pPr>
        <w:spacing w:after="0" w:line="240" w:lineRule="auto"/>
        <w:jc w:val="right"/>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1,284,074,301.69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1,284,074,301.69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15,394,152.26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15,394,152.26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3,577,115,134.27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3,577,115,134.27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187,586,703.67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187,586,703.67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1,267,434,141.69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1,267,434,141.69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2,598,978,884.01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2,598,978,884.01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47,682,378.38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47,682,378.38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8,978,265,695.97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8,978,265,695.97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501,544,976.10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-501,544,976.10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78,720,446.17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78,720,446.17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3,251,349,620.97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3,251,349,620.97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468,169,511.34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468,169,511.34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9,190,315.98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9,190,315.98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137,521,750.55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137,521,750.55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28,821,472.95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28,821,472.95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2,025,791.25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2,025,791.25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44,513,597.30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47,851,143.78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3,337,546.48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4,053,787,771.27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4,023,749,852.99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-30,037,918.28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13,032,053,467.24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13,002,015,548.96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-30,037,918.28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1,235,254,985.60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1,235,254,985.60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120,694,887.50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120,694,887.50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442,264,747.12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442,264,747.12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436,362,222.86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436,362,222.86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775,382.73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775,382.73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32,863,239.42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32,863,239.42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2,786,483,940.87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2,786,483,940.87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5,054,699,406.10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5,054,699,406.10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40,681,757.35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40,681,757.35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40,681,757.35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40,681,757.35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5,095,381,163.45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5,095,381,163.45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3,115,482,375.00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3,115,482,375.00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2,157,604,807.17</w:t>
            </w:r>
          </w:p>
        </w:tc>
        <w:tc>
          <w:tcPr>
            <w:tcW w:w="245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2,157,604,807.17</w:t>
            </w:r>
          </w:p>
        </w:tc>
        <w:tc>
          <w:tcPr>
            <w:tcW w:w="2453"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20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r>
            <w:r>
              <w:rPr>
                <w:rFonts w:ascii="宋体" w:hAnsi="宋体" w:cs="宋体" w:eastAsia="宋体" w:hint="default"/>
                <w:sz w:val="18"/>
                <w:szCs w:val="18"/>
                <w:shd w:fill="D9D9D9" w:color="auto" w:val="clear"/>
              </w:rPr>
              <w:t>减：库存股</w:t>
            </w:r>
            <w:r>
              <w:rPr>
                <w:rFonts w:ascii="宋体" w:hAnsi="宋体" w:cs="宋体" w:eastAsia="宋体" w:hint="default"/>
                <w:sz w:val="18"/>
                <w:szCs w:val="18"/>
              </w:rPr>
            </w:r>
          </w:p>
        </w:tc>
        <w:tc>
          <w:tcPr>
            <w:tcW w:w="2453" w:type="dxa"/>
            <w:tcBorders>
              <w:top w:val="single" w:sz="4" w:space="0" w:color="FFFFFF"/>
              <w:left w:val="single" w:sz="4" w:space="0" w:color="000000"/>
              <w:bottom w:val="single" w:sz="4" w:space="0" w:color="000000"/>
              <w:right w:val="single" w:sz="4" w:space="0" w:color="000000"/>
            </w:tcBorders>
          </w:tcPr>
          <w:p>
            <w:pPr/>
          </w:p>
        </w:tc>
        <w:tc>
          <w:tcPr>
            <w:tcW w:w="2456" w:type="dxa"/>
            <w:tcBorders>
              <w:top w:val="single" w:sz="4" w:space="0" w:color="FFFFFF"/>
              <w:left w:val="single" w:sz="4" w:space="0" w:color="000000"/>
              <w:bottom w:val="single" w:sz="4" w:space="0" w:color="000000"/>
              <w:right w:val="single" w:sz="4" w:space="0" w:color="000000"/>
            </w:tcBorders>
          </w:tcPr>
          <w:p>
            <w:pPr/>
          </w:p>
        </w:tc>
        <w:tc>
          <w:tcPr>
            <w:tcW w:w="2453" w:type="dxa"/>
            <w:tcBorders>
              <w:top w:val="single" w:sz="4" w:space="0" w:color="FFFFFF"/>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621,195,346.88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621,195,346.88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2,042,389,774.74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2,012,351,856.46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-30,037,918.28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7,936,672,303.79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7,906,634,385.51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-30,037,918.28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13,032,053,467.24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13,002,015,548.96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-30,037,918.28</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267"/>
        <w:gridCol w:w="4964"/>
        <w:gridCol w:w="2338"/>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9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8"/>
        <w:rPr>
          <w:rFonts w:ascii="宋体" w:hAnsi="宋体" w:cs="宋体" w:eastAsia="宋体" w:hint="default"/>
          <w:b/>
          <w:bCs/>
          <w:sz w:val="29"/>
          <w:szCs w:val="29"/>
        </w:rPr>
      </w:pPr>
    </w:p>
    <w:p>
      <w:pPr>
        <w:pStyle w:val="BodyText"/>
        <w:spacing w:line="240" w:lineRule="auto" w:before="44"/>
        <w:ind w:left="0" w:right="1152"/>
        <w:jc w:val="right"/>
      </w:pPr>
      <w:r>
        <w:rPr/>
        <w:pict>
          <v:shape style="position:absolute;margin-left:56.400002pt;margin-top:-.868254pt;width:479.3pt;height:301.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4964"/>
                    <w:gridCol w:w="2338"/>
                  </w:tblGrid>
                  <w:tr>
                    <w:trPr>
                      <w:trHeight w:val="10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 额，在扣除当期允许抵扣的进项税额后，差额部分为应交增值 税</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实缴增值税税额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母公司、公司所属子公司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北京东华合创科技有限公司的应纳税</w:t>
                        </w:r>
                        <w:r>
                          <w:rPr>
                            <w:rFonts w:ascii="宋体" w:hAnsi="宋体" w:cs="宋体" w:eastAsia="宋体" w:hint="default"/>
                            <w:spacing w:val="-77"/>
                            <w:sz w:val="18"/>
                            <w:szCs w:val="18"/>
                          </w:rPr>
                          <w:t> </w:t>
                        </w:r>
                        <w:r>
                          <w:rPr>
                            <w:rFonts w:ascii="宋体" w:hAnsi="宋体" w:cs="宋体" w:eastAsia="宋体" w:hint="default"/>
                            <w:sz w:val="18"/>
                            <w:szCs w:val="18"/>
                          </w:rPr>
                          <w:t>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实缴增值税税额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实缴增值税税额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19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2"/>
                          <w:jc w:val="both"/>
                          <w:rPr>
                            <w:rFonts w:ascii="宋体" w:hAnsi="宋体" w:cs="宋体" w:eastAsia="宋体" w:hint="default"/>
                            <w:sz w:val="18"/>
                            <w:szCs w:val="18"/>
                          </w:rPr>
                        </w:pPr>
                        <w:r>
                          <w:rPr>
                            <w:rFonts w:ascii="宋体" w:hAnsi="宋体" w:cs="宋体" w:eastAsia="宋体" w:hint="default"/>
                            <w:spacing w:val="-1"/>
                            <w:sz w:val="18"/>
                            <w:szCs w:val="18"/>
                          </w:rPr>
                          <w:t>公司所属子公司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泰安东华合创软件有限公司、北京联银通科技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有限公司、北京神州新桥科技有限公司、东华软件工程有限公 司、北京威锐达测控系统有限公司、深圳市至高通信技术发展 有限公司、东华网络股份公司、西安东华软件有限公司、东华 金云网络股份公司、北京中能博泰科技有限公司；公司所属孙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西安锐益达风电技术有限公司的应纳税所得额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北京东华合创香港有限公司、公司所属孙公司</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-Hong Kong Sino Bridge Limited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除上述公司外的其余公司的应纳税所得额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986"/>
        <w:jc w:val="left"/>
        <w:rPr>
          <w:b w:val="0"/>
          <w:bCs w:val="0"/>
        </w:rPr>
      </w:pPr>
      <w:r>
        <w:rPr>
          <w:rFonts w:ascii="Times New Roman" w:hAnsi="Times New Roman" w:cs="Times New Roman" w:eastAsia="Times New Roman" w:hint="default"/>
        </w:rPr>
        <w:t>1.</w:t>
      </w:r>
      <w:r>
        <w:rPr/>
        <w:t>增值税</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986" w:firstLine="360"/>
        <w:jc w:val="left"/>
      </w:pPr>
      <w:r>
        <w:rPr>
          <w:spacing w:val="-1"/>
        </w:rPr>
        <w:t>（</w:t>
      </w:r>
      <w:r>
        <w:rPr>
          <w:rFonts w:ascii="Times New Roman" w:hAnsi="Times New Roman" w:cs="Times New Roman" w:eastAsia="Times New Roman" w:hint="default"/>
          <w:spacing w:val="-1"/>
        </w:rPr>
        <w:t>1</w:t>
      </w:r>
      <w:r>
        <w:rPr>
          <w:spacing w:val="-1"/>
        </w:rPr>
        <w:t>）根据财税</w:t>
      </w:r>
      <w:r>
        <w:rPr>
          <w:rFonts w:ascii="Times New Roman" w:hAnsi="Times New Roman" w:cs="Times New Roman" w:eastAsia="Times New Roman" w:hint="default"/>
          <w:spacing w:val="-1"/>
        </w:rPr>
        <w:t>[2013]106</w:t>
      </w:r>
      <w:r>
        <w:rPr>
          <w:spacing w:val="-1"/>
        </w:rPr>
        <w:t>号文件《营业税改征增值税试点过渡政策的规定》，试点纳税人提供技术转让、技术开发和与</w:t>
      </w:r>
      <w:r>
        <w:rPr/>
        <w:t> 之相关的技术咨询、技术服务免征增值税。公司及所属子公司从事上述业务取得的收入免征增值税。</w:t>
      </w:r>
    </w:p>
    <w:p>
      <w:pPr>
        <w:spacing w:line="240" w:lineRule="auto" w:before="4"/>
        <w:rPr>
          <w:rFonts w:ascii="宋体" w:hAnsi="宋体" w:cs="宋体" w:eastAsia="宋体" w:hint="default"/>
          <w:sz w:val="14"/>
          <w:szCs w:val="14"/>
        </w:rPr>
      </w:pPr>
    </w:p>
    <w:p>
      <w:pPr>
        <w:pStyle w:val="BodyText"/>
        <w:spacing w:line="302" w:lineRule="auto"/>
        <w:ind w:right="1040" w:firstLine="360"/>
        <w:jc w:val="left"/>
      </w:pPr>
      <w:r>
        <w:rPr>
          <w:spacing w:val="-2"/>
        </w:rPr>
        <w:t>（</w:t>
      </w:r>
      <w:r>
        <w:rPr>
          <w:rFonts w:ascii="Times New Roman" w:hAnsi="Times New Roman" w:cs="Times New Roman" w:eastAsia="Times New Roman" w:hint="default"/>
          <w:spacing w:val="-2"/>
        </w:rPr>
        <w:t>2</w:t>
      </w:r>
      <w:r>
        <w:rPr>
          <w:spacing w:val="-2"/>
        </w:rPr>
        <w:t>）依据国务院下发的《国务院关于印发进一步鼓励软件产业和集成电路产业发展若干政策的通知》（国发</w:t>
      </w:r>
      <w:r>
        <w:rPr>
          <w:rFonts w:ascii="Times New Roman" w:hAnsi="Times New Roman" w:cs="Times New Roman" w:eastAsia="Times New Roman" w:hint="default"/>
          <w:spacing w:val="-2"/>
        </w:rPr>
        <w:t>[2011]4</w:t>
      </w:r>
      <w:r>
        <w:rPr>
          <w:spacing w:val="-2"/>
        </w:rPr>
        <w:t>号）</w:t>
      </w:r>
      <w:r>
        <w:rPr/>
        <w:t> </w:t>
      </w:r>
      <w:r>
        <w:rPr>
          <w:spacing w:val="-2"/>
        </w:rPr>
        <w:t>的规定，以及财政部、国家税务总局联合下发的《财政部、国家税务总局关于软件产品增值税政策的通知》（财税</w:t>
      </w:r>
      <w:r>
        <w:rPr>
          <w:rFonts w:ascii="Times New Roman" w:hAnsi="Times New Roman" w:cs="Times New Roman" w:eastAsia="Times New Roman" w:hint="default"/>
          <w:spacing w:val="-2"/>
        </w:rPr>
        <w:t>[2011]100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日起，公司及公司的所属子公司</w:t>
      </w:r>
      <w:r>
        <w:rPr>
          <w:rFonts w:ascii="Times New Roman" w:hAnsi="Times New Roman" w:cs="Times New Roman" w:eastAsia="Times New Roman" w:hint="default"/>
        </w:rPr>
        <w:t>-</w:t>
      </w:r>
      <w:r>
        <w:rPr/>
        <w:t>北京东华合创科技有限公司、东华软件工程有限公司、泰安东</w:t>
      </w:r>
      <w:r>
        <w:rPr>
          <w:spacing w:val="-58"/>
        </w:rPr>
        <w:t> </w:t>
      </w:r>
      <w:r>
        <w:rPr>
          <w:spacing w:val="-58"/>
        </w:rPr>
      </w:r>
      <w:r>
        <w:rPr>
          <w:spacing w:val="-2"/>
        </w:rPr>
        <w:t>华合创软件有限公司、北京东华信息技术有限公司、西安东华软件有限公司、北京联银通科技有限公司、北京东华厚盾软件</w:t>
      </w:r>
      <w:r>
        <w:rPr>
          <w:spacing w:val="-65"/>
        </w:rPr>
        <w:t> </w:t>
      </w:r>
      <w:r>
        <w:rPr>
          <w:spacing w:val="-65"/>
        </w:rPr>
      </w:r>
      <w:r>
        <w:rPr>
          <w:spacing w:val="-1"/>
        </w:rPr>
        <w:t>有限公司、东华合创软件有限公司、深圳市至高通信技术发展有限公司，公司所属孙子公司</w:t>
      </w:r>
      <w:r>
        <w:rPr>
          <w:rFonts w:ascii="Times New Roman" w:hAnsi="Times New Roman" w:cs="Times New Roman" w:eastAsia="Times New Roman" w:hint="default"/>
          <w:spacing w:val="-1"/>
        </w:rPr>
        <w:t>-</w:t>
      </w:r>
      <w:r>
        <w:rPr>
          <w:spacing w:val="-1"/>
        </w:rPr>
        <w:t>西安锐益达风电技术有限公司、</w:t>
      </w:r>
      <w:r>
        <w:rPr>
          <w:spacing w:val="-85"/>
        </w:rPr>
        <w:t> </w:t>
      </w:r>
      <w:r>
        <w:rPr/>
        <w:t>广东东华发思特软件有限公司、北京卓智能研科技有限公司等公司销售自行开发生产的软件产品，按</w:t>
      </w:r>
      <w:r>
        <w:rPr>
          <w:rFonts w:ascii="Times New Roman" w:hAnsi="Times New Roman" w:cs="Times New Roman" w:eastAsia="Times New Roman" w:hint="default"/>
        </w:rPr>
        <w:t>17%</w:t>
      </w:r>
      <w:r>
        <w:rPr/>
        <w:t>的法定税率征收增 值税后，享受增值税实际税负超过</w:t>
      </w:r>
      <w:r>
        <w:rPr>
          <w:rFonts w:ascii="Times New Roman" w:hAnsi="Times New Roman" w:cs="Times New Roman" w:eastAsia="Times New Roman" w:hint="default"/>
        </w:rPr>
        <w:t>3%</w:t>
      </w:r>
      <w:r>
        <w:rPr/>
        <w:t>的部分实行即征即退的优惠政策。</w:t>
      </w:r>
    </w:p>
    <w:p>
      <w:pPr>
        <w:spacing w:line="240" w:lineRule="auto" w:before="10"/>
        <w:rPr>
          <w:rFonts w:ascii="宋体" w:hAnsi="宋体" w:cs="宋体" w:eastAsia="宋体" w:hint="default"/>
          <w:sz w:val="12"/>
          <w:szCs w:val="12"/>
        </w:rPr>
      </w:pPr>
    </w:p>
    <w:p>
      <w:pPr>
        <w:pStyle w:val="Heading5"/>
        <w:spacing w:line="240" w:lineRule="auto"/>
        <w:ind w:right="986"/>
        <w:jc w:val="left"/>
        <w:rPr>
          <w:b w:val="0"/>
          <w:bCs w:val="0"/>
        </w:rPr>
      </w:pPr>
      <w:r>
        <w:rPr>
          <w:rFonts w:ascii="Times New Roman" w:hAnsi="Times New Roman" w:cs="Times New Roman" w:eastAsia="Times New Roman" w:hint="default"/>
        </w:rPr>
        <w:t>2.</w:t>
      </w:r>
      <w:r>
        <w:rPr/>
        <w:t>企业所得税</w:t>
      </w:r>
      <w:r>
        <w:rPr>
          <w:b w:val="0"/>
          <w:bCs w:val="0"/>
        </w:rPr>
      </w:r>
    </w:p>
    <w:p>
      <w:pPr>
        <w:spacing w:line="240" w:lineRule="auto" w:before="9"/>
        <w:rPr>
          <w:rFonts w:ascii="宋体" w:hAnsi="宋体" w:cs="宋体" w:eastAsia="宋体" w:hint="default"/>
          <w:b/>
          <w:bCs/>
          <w:sz w:val="16"/>
          <w:szCs w:val="16"/>
        </w:rPr>
      </w:pPr>
    </w:p>
    <w:p>
      <w:pPr>
        <w:pStyle w:val="BodyText"/>
        <w:spacing w:line="300" w:lineRule="auto"/>
        <w:ind w:right="986" w:firstLine="360"/>
        <w:jc w:val="left"/>
      </w:pPr>
      <w:r>
        <w:rPr/>
        <w:t>（</w:t>
      </w:r>
      <w:r>
        <w:rPr>
          <w:rFonts w:ascii="Times New Roman" w:hAnsi="Times New Roman" w:cs="Times New Roman" w:eastAsia="Times New Roman" w:hint="default"/>
        </w:rPr>
        <w:t>1</w:t>
      </w:r>
      <w:r>
        <w:rPr/>
        <w:t>）公司通过了</w:t>
      </w:r>
      <w:r>
        <w:rPr>
          <w:rFonts w:ascii="Times New Roman" w:hAnsi="Times New Roman" w:cs="Times New Roman" w:eastAsia="Times New Roman" w:hint="default"/>
        </w:rPr>
        <w:t>2017</w:t>
      </w:r>
      <w:r>
        <w:rPr/>
        <w:t>年高新技术企业复审，并收到北京市科学技术委员会、北京市财政局、北京市国家税务局、北京 市地方税务局联合下发的高新技术企业证书，证书编号：</w:t>
      </w:r>
      <w:r>
        <w:rPr>
          <w:rFonts w:ascii="Times New Roman" w:hAnsi="Times New Roman" w:cs="Times New Roman" w:eastAsia="Times New Roman" w:hint="default"/>
        </w:rPr>
        <w:t>GR201711004108</w:t>
      </w:r>
      <w:r>
        <w:rPr>
          <w:rFonts w:ascii="Times New Roman" w:hAnsi="Times New Roman" w:cs="Times New Roman" w:eastAsia="Times New Roman" w:hint="default"/>
          <w:spacing w:val="13"/>
        </w:rPr>
        <w:t> </w:t>
      </w:r>
      <w:r>
        <w:rPr/>
        <w:t>，有效期三年。根据相关规定，通过高新技术企 </w:t>
      </w:r>
      <w:r>
        <w:rPr>
          <w:spacing w:val="-4"/>
        </w:rPr>
        <w:t>业复审后，自</w:t>
      </w:r>
      <w:r>
        <w:rPr>
          <w:rFonts w:ascii="Times New Roman" w:hAnsi="Times New Roman" w:cs="Times New Roman" w:eastAsia="Times New Roman" w:hint="default"/>
          <w:spacing w:val="-4"/>
        </w:rPr>
        <w:t>2017</w:t>
      </w:r>
      <w:r>
        <w:rPr>
          <w:spacing w:val="-4"/>
        </w:rPr>
        <w:t>年起，连续三年继续享受国家关于高新技术企业的相关优惠政策。另外，公司认为符合重点软件企业条件，</w:t>
      </w:r>
      <w:r>
        <w:rPr>
          <w:spacing w:val="-40"/>
        </w:rPr>
        <w:t> </w:t>
      </w:r>
      <w:r>
        <w:rPr>
          <w:spacing w:val="-40"/>
        </w:rPr>
      </w:r>
      <w:r>
        <w:rPr>
          <w:spacing w:val="-2"/>
        </w:rPr>
        <w:t>目前正在进行</w:t>
      </w:r>
      <w:r>
        <w:rPr>
          <w:rFonts w:ascii="Times New Roman" w:hAnsi="Times New Roman" w:cs="Times New Roman" w:eastAsia="Times New Roman" w:hint="default"/>
          <w:spacing w:val="-2"/>
        </w:rPr>
        <w:t>2019</w:t>
      </w:r>
      <w:r>
        <w:rPr>
          <w:spacing w:val="-2"/>
        </w:rPr>
        <w:t>年度国家规划布局内重点软件企业企业所得税优惠事项备案，根据《财政部、国家税务总局关于企业所得</w:t>
      </w:r>
      <w:r>
        <w:rPr>
          <w:spacing w:val="-64"/>
        </w:rPr>
        <w:t> </w:t>
      </w:r>
      <w:r>
        <w:rPr>
          <w:spacing w:val="-64"/>
        </w:rPr>
      </w:r>
      <w:r>
        <w:rPr/>
        <w:t>税若干优惠政策的通知》（财税</w:t>
      </w:r>
      <w:r>
        <w:rPr>
          <w:rFonts w:ascii="Times New Roman" w:hAnsi="Times New Roman" w:cs="Times New Roman" w:eastAsia="Times New Roman" w:hint="default"/>
        </w:rPr>
        <w:t>[2008]1</w:t>
      </w:r>
      <w:r>
        <w:rPr/>
        <w:t>号）的规定，公司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10%</w:t>
      </w:r>
      <w:r>
        <w:rPr/>
        <w:t>的税率缴纳企业所得税。</w:t>
      </w:r>
    </w:p>
    <w:p>
      <w:pPr>
        <w:spacing w:line="240" w:lineRule="auto" w:before="12"/>
        <w:rPr>
          <w:rFonts w:ascii="宋体" w:hAnsi="宋体" w:cs="宋体" w:eastAsia="宋体" w:hint="default"/>
          <w:sz w:val="12"/>
          <w:szCs w:val="12"/>
        </w:rPr>
      </w:pPr>
    </w:p>
    <w:p>
      <w:pPr>
        <w:pStyle w:val="BodyText"/>
        <w:spacing w:line="300" w:lineRule="auto"/>
        <w:ind w:right="1034" w:firstLine="360"/>
        <w:jc w:val="left"/>
      </w:pPr>
      <w:r>
        <w:rPr/>
        <w:t>（</w:t>
      </w:r>
      <w:r>
        <w:rPr>
          <w:rFonts w:ascii="Times New Roman" w:hAnsi="Times New Roman" w:cs="Times New Roman" w:eastAsia="Times New Roman" w:hint="default"/>
        </w:rPr>
        <w:t>2</w:t>
      </w:r>
      <w:r>
        <w:rPr/>
        <w:t>）公司所属子公司</w:t>
      </w:r>
      <w:r>
        <w:rPr>
          <w:rFonts w:ascii="Times New Roman" w:hAnsi="Times New Roman" w:cs="Times New Roman" w:eastAsia="Times New Roman" w:hint="default"/>
        </w:rPr>
        <w:t>-</w:t>
      </w:r>
      <w:r>
        <w:rPr/>
        <w:t>北京东华合创科技有限公司通过了</w:t>
      </w:r>
      <w:r>
        <w:rPr>
          <w:rFonts w:ascii="Times New Roman" w:hAnsi="Times New Roman" w:cs="Times New Roman" w:eastAsia="Times New Roman" w:hint="default"/>
        </w:rPr>
        <w:t>2017</w:t>
      </w:r>
      <w:r>
        <w:rPr/>
        <w:t>年高新技术企业复审，并收到北京市科学技术委员会、北 京市财政局、北京市国家税务局、北京市地方税务局联合下发的高新技术企业证书，证书编号：</w:t>
      </w:r>
      <w:r>
        <w:rPr>
          <w:rFonts w:ascii="Times New Roman" w:hAnsi="Times New Roman" w:cs="Times New Roman" w:eastAsia="Times New Roman" w:hint="default"/>
        </w:rPr>
        <w:t>GR201711003671</w:t>
      </w:r>
      <w:r>
        <w:rPr>
          <w:rFonts w:ascii="Times New Roman" w:hAnsi="Times New Roman" w:cs="Times New Roman" w:eastAsia="Times New Roman" w:hint="default"/>
          <w:spacing w:val="19"/>
        </w:rPr>
        <w:t> </w:t>
      </w:r>
      <w:r>
        <w:rPr>
          <w:spacing w:val="-4"/>
        </w:rPr>
        <w:t>，有效期</w:t>
      </w:r>
      <w:r>
        <w:rPr/>
        <w:t> 三年。根据相关规定，通过高新技术企业复审后，自</w:t>
      </w:r>
      <w:r>
        <w:rPr>
          <w:rFonts w:ascii="Times New Roman" w:hAnsi="Times New Roman" w:cs="Times New Roman" w:eastAsia="Times New Roman" w:hint="default"/>
        </w:rPr>
        <w:t>2017</w:t>
      </w:r>
      <w:r>
        <w:rPr/>
        <w:t>年起，连续三年继续享受国家关于高新技术企业的相关优惠政策。 </w:t>
      </w:r>
      <w:r>
        <w:rPr>
          <w:spacing w:val="-2"/>
        </w:rPr>
        <w:t>另外，北京东华合创科技有限公司认为符合重点软件企业条件，目前正在进行</w:t>
      </w:r>
      <w:r>
        <w:rPr>
          <w:rFonts w:ascii="Times New Roman" w:hAnsi="Times New Roman" w:cs="Times New Roman" w:eastAsia="Times New Roman" w:hint="default"/>
          <w:spacing w:val="-2"/>
        </w:rPr>
        <w:t>2019</w:t>
      </w:r>
      <w:r>
        <w:rPr>
          <w:spacing w:val="-2"/>
        </w:rPr>
        <w:t>年度国家规划布局内重点软件企业企业所</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986"/>
        <w:jc w:val="left"/>
      </w:pPr>
      <w:r>
        <w:rPr/>
        <w:t>得税优惠事项备案，根据《财政部、国家税务总局关于企业所得税若干优惠政策的通知》（财税</w:t>
      </w:r>
      <w:r>
        <w:rPr>
          <w:rFonts w:ascii="Times New Roman" w:hAnsi="Times New Roman" w:cs="Times New Roman" w:eastAsia="Times New Roman" w:hint="default"/>
        </w:rPr>
        <w:t>[2008]1</w:t>
      </w:r>
      <w:r>
        <w:rPr/>
        <w:t>号）的规定，</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年度减按</w:t>
      </w:r>
      <w:r>
        <w:rPr>
          <w:rFonts w:ascii="Times New Roman" w:hAnsi="Times New Roman" w:cs="Times New Roman" w:eastAsia="Times New Roman" w:hint="default"/>
        </w:rPr>
        <w:t>10%</w:t>
      </w:r>
      <w:r>
        <w:rPr/>
        <w:t>的税率缴纳企业所得税。</w:t>
      </w:r>
    </w:p>
    <w:p>
      <w:pPr>
        <w:spacing w:line="240" w:lineRule="auto" w:before="12"/>
        <w:rPr>
          <w:rFonts w:ascii="宋体" w:hAnsi="宋体" w:cs="宋体" w:eastAsia="宋体" w:hint="default"/>
          <w:sz w:val="12"/>
          <w:szCs w:val="12"/>
        </w:rPr>
      </w:pPr>
    </w:p>
    <w:p>
      <w:pPr>
        <w:pStyle w:val="BodyText"/>
        <w:spacing w:line="300" w:lineRule="auto"/>
        <w:ind w:right="986" w:firstLine="360"/>
        <w:jc w:val="left"/>
      </w:pPr>
      <w:r>
        <w:rPr/>
        <w:t>（</w:t>
      </w:r>
      <w:r>
        <w:rPr>
          <w:rFonts w:ascii="Times New Roman" w:hAnsi="Times New Roman" w:cs="Times New Roman" w:eastAsia="Times New Roman" w:hint="default"/>
        </w:rPr>
        <w:t>3</w:t>
      </w:r>
      <w:r>
        <w:rPr/>
        <w:t>）公司所属子公司</w:t>
      </w:r>
      <w:r>
        <w:rPr>
          <w:rFonts w:ascii="Times New Roman" w:hAnsi="Times New Roman" w:cs="Times New Roman" w:eastAsia="Times New Roman" w:hint="default"/>
        </w:rPr>
        <w:t>-</w:t>
      </w:r>
      <w:r>
        <w:rPr/>
        <w:t>西安东华软件有限公司于</w:t>
      </w:r>
      <w:r>
        <w:rPr>
          <w:rFonts w:ascii="Times New Roman" w:hAnsi="Times New Roman" w:cs="Times New Roman" w:eastAsia="Times New Roman" w:hint="default"/>
        </w:rPr>
        <w:t>2018</w:t>
      </w:r>
      <w:r>
        <w:rPr/>
        <w:t>年被认定为高新技术企业，并收到陕西省科学技术厅、陕西省财政 </w:t>
      </w:r>
      <w:r>
        <w:rPr>
          <w:spacing w:val="-2"/>
        </w:rPr>
        <w:t>厅、国家税务总局陕西省税务局联合下发的高新技术企业证书，证书编号：</w:t>
      </w:r>
      <w:r>
        <w:rPr>
          <w:rFonts w:ascii="Times New Roman" w:hAnsi="Times New Roman" w:cs="Times New Roman" w:eastAsia="Times New Roman" w:hint="default"/>
          <w:spacing w:val="-2"/>
        </w:rPr>
        <w:t>GR201861000728</w:t>
      </w:r>
      <w:r>
        <w:rPr>
          <w:spacing w:val="-2"/>
        </w:rPr>
        <w:t>，有效期三年。根据相关规定，</w:t>
      </w:r>
      <w:r>
        <w:rPr>
          <w:spacing w:val="-37"/>
        </w:rPr>
        <w:t> </w:t>
      </w:r>
      <w:r>
        <w:rPr>
          <w:spacing w:val="-37"/>
        </w:rPr>
      </w:r>
      <w:r>
        <w:rPr/>
        <w:t>通过高新技术企业认定后，自</w:t>
      </w:r>
      <w:r>
        <w:rPr>
          <w:rFonts w:ascii="Times New Roman" w:hAnsi="Times New Roman" w:cs="Times New Roman" w:eastAsia="Times New Roman" w:hint="default"/>
        </w:rPr>
        <w:t>2018</w:t>
      </w:r>
      <w:r>
        <w:rPr/>
        <w:t>年起，连续三年享受国家关于高新技术企业的相关优惠政策，企业所得税按</w:t>
      </w:r>
      <w:r>
        <w:rPr>
          <w:rFonts w:ascii="Times New Roman" w:hAnsi="Times New Roman" w:cs="Times New Roman" w:eastAsia="Times New Roman" w:hint="default"/>
        </w:rPr>
        <w:t>15%</w:t>
      </w:r>
      <w:r>
        <w:rPr/>
        <w:t>的税率征 收。</w:t>
      </w:r>
    </w:p>
    <w:p>
      <w:pPr>
        <w:spacing w:line="240" w:lineRule="auto" w:before="4"/>
        <w:rPr>
          <w:rFonts w:ascii="宋体" w:hAnsi="宋体" w:cs="宋体" w:eastAsia="宋体" w:hint="default"/>
          <w:sz w:val="14"/>
          <w:szCs w:val="14"/>
        </w:rPr>
      </w:pPr>
    </w:p>
    <w:p>
      <w:pPr>
        <w:pStyle w:val="BodyText"/>
        <w:spacing w:line="300" w:lineRule="auto"/>
        <w:ind w:right="986" w:firstLine="360"/>
        <w:jc w:val="left"/>
      </w:pPr>
      <w:r>
        <w:rPr/>
        <w:t>（</w:t>
      </w:r>
      <w:r>
        <w:rPr>
          <w:rFonts w:ascii="Times New Roman" w:hAnsi="Times New Roman" w:cs="Times New Roman" w:eastAsia="Times New Roman" w:hint="default"/>
        </w:rPr>
        <w:t>4</w:t>
      </w:r>
      <w:r>
        <w:rPr/>
        <w:t>）公司所属子公司</w:t>
      </w:r>
      <w:r>
        <w:rPr>
          <w:rFonts w:ascii="Times New Roman" w:hAnsi="Times New Roman" w:cs="Times New Roman" w:eastAsia="Times New Roman" w:hint="default"/>
        </w:rPr>
        <w:t>-</w:t>
      </w:r>
      <w:r>
        <w:rPr/>
        <w:t>东华金云网络股份公司于</w:t>
      </w:r>
      <w:r>
        <w:rPr>
          <w:rFonts w:ascii="Times New Roman" w:hAnsi="Times New Roman" w:cs="Times New Roman" w:eastAsia="Times New Roman" w:hint="default"/>
        </w:rPr>
        <w:t>2018</w:t>
      </w:r>
      <w:r>
        <w:rPr/>
        <w:t>年被认定为高新技术企业，并收到安徽省科学技术厅、安徽省财政 </w:t>
      </w:r>
      <w:r>
        <w:rPr>
          <w:spacing w:val="-2"/>
        </w:rPr>
        <w:t>厅、国家税务总局安徽省税务局联合下发的高新技术企业证书，证书编号：</w:t>
      </w:r>
      <w:r>
        <w:rPr>
          <w:rFonts w:ascii="Times New Roman" w:hAnsi="Times New Roman" w:cs="Times New Roman" w:eastAsia="Times New Roman" w:hint="default"/>
          <w:spacing w:val="-2"/>
        </w:rPr>
        <w:t>GR201834001031</w:t>
      </w:r>
      <w:r>
        <w:rPr>
          <w:spacing w:val="-2"/>
        </w:rPr>
        <w:t>，有效期三年。根据相关规定，</w:t>
      </w:r>
      <w:r>
        <w:rPr>
          <w:spacing w:val="-37"/>
        </w:rPr>
        <w:t> </w:t>
      </w:r>
      <w:r>
        <w:rPr>
          <w:spacing w:val="-37"/>
        </w:rPr>
      </w:r>
      <w:r>
        <w:rPr/>
        <w:t>通过高新技术企业认定后，自</w:t>
      </w:r>
      <w:r>
        <w:rPr>
          <w:rFonts w:ascii="Times New Roman" w:hAnsi="Times New Roman" w:cs="Times New Roman" w:eastAsia="Times New Roman" w:hint="default"/>
        </w:rPr>
        <w:t>2018</w:t>
      </w:r>
      <w:r>
        <w:rPr/>
        <w:t>年起，连续三年享受国家关于高新技术企业的相关优惠政策，企业所得税按</w:t>
      </w:r>
      <w:r>
        <w:rPr>
          <w:rFonts w:ascii="Times New Roman" w:hAnsi="Times New Roman" w:cs="Times New Roman" w:eastAsia="Times New Roman" w:hint="default"/>
        </w:rPr>
        <w:t>15%</w:t>
      </w:r>
      <w:r>
        <w:rPr/>
        <w:t>的税率征 收。</w:t>
      </w:r>
    </w:p>
    <w:p>
      <w:pPr>
        <w:spacing w:line="240" w:lineRule="auto" w:before="5"/>
        <w:rPr>
          <w:rFonts w:ascii="宋体" w:hAnsi="宋体" w:cs="宋体" w:eastAsia="宋体" w:hint="default"/>
          <w:sz w:val="14"/>
          <w:szCs w:val="14"/>
        </w:rPr>
      </w:pPr>
    </w:p>
    <w:p>
      <w:pPr>
        <w:pStyle w:val="BodyText"/>
        <w:spacing w:line="300" w:lineRule="auto"/>
        <w:ind w:right="1130" w:firstLine="360"/>
        <w:jc w:val="both"/>
      </w:pPr>
      <w:r>
        <w:rPr>
          <w:spacing w:val="-1"/>
        </w:rPr>
        <w:t>（</w:t>
      </w:r>
      <w:r>
        <w:rPr>
          <w:rFonts w:ascii="Times New Roman" w:hAnsi="Times New Roman" w:cs="Times New Roman" w:eastAsia="Times New Roman" w:hint="default"/>
          <w:spacing w:val="-1"/>
        </w:rPr>
        <w:t>5</w:t>
      </w:r>
      <w:r>
        <w:rPr>
          <w:spacing w:val="-1"/>
        </w:rPr>
        <w:t>）公司所属孙公司</w:t>
      </w:r>
      <w:r>
        <w:rPr>
          <w:rFonts w:ascii="Times New Roman" w:hAnsi="Times New Roman" w:cs="Times New Roman" w:eastAsia="Times New Roman" w:hint="default"/>
          <w:spacing w:val="-1"/>
        </w:rPr>
        <w:t>-</w:t>
      </w:r>
      <w:r>
        <w:rPr>
          <w:spacing w:val="-1"/>
        </w:rPr>
        <w:t>西安锐益达风电技术有限公司通过了</w:t>
      </w:r>
      <w:r>
        <w:rPr>
          <w:rFonts w:ascii="Times New Roman" w:hAnsi="Times New Roman" w:cs="Times New Roman" w:eastAsia="Times New Roman" w:hint="default"/>
          <w:spacing w:val="-1"/>
        </w:rPr>
        <w:t>2019</w:t>
      </w:r>
      <w:r>
        <w:rPr>
          <w:spacing w:val="-1"/>
        </w:rPr>
        <w:t>年高新技术企业复审，并收到陕西省科学技术厅、陕西</w:t>
      </w:r>
      <w:r>
        <w:rPr/>
        <w:t> 省财政厅、国家税务总局陕西省税务局联合下发的高新技术企业证书，证书编号：</w:t>
      </w:r>
      <w:r>
        <w:rPr>
          <w:rFonts w:ascii="Times New Roman" w:hAnsi="Times New Roman" w:cs="Times New Roman" w:eastAsia="Times New Roman" w:hint="default"/>
        </w:rPr>
        <w:t>GR201961001607</w:t>
      </w:r>
      <w:r>
        <w:rPr/>
        <w:t>，有效期三年。根据相</w:t>
      </w:r>
      <w:r>
        <w:rPr>
          <w:spacing w:val="-70"/>
        </w:rPr>
        <w:t> </w:t>
      </w:r>
      <w:r>
        <w:rPr>
          <w:spacing w:val="-70"/>
        </w:rPr>
      </w:r>
      <w:r>
        <w:rPr>
          <w:spacing w:val="-1"/>
        </w:rPr>
        <w:t>关规定，通过高新技术企业认定后，自</w:t>
      </w:r>
      <w:r>
        <w:rPr>
          <w:rFonts w:ascii="Times New Roman" w:hAnsi="Times New Roman" w:cs="Times New Roman" w:eastAsia="Times New Roman" w:hint="default"/>
          <w:spacing w:val="-1"/>
        </w:rPr>
        <w:t>2019</w:t>
      </w:r>
      <w:r>
        <w:rPr>
          <w:spacing w:val="-1"/>
        </w:rPr>
        <w:t>年起，连续三年享受国家关于高新技术企业的相关优惠政策，企业所得税按</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t>的税率征收。</w:t>
      </w:r>
    </w:p>
    <w:p>
      <w:pPr>
        <w:spacing w:line="240" w:lineRule="auto" w:before="4"/>
        <w:rPr>
          <w:rFonts w:ascii="宋体" w:hAnsi="宋体" w:cs="宋体" w:eastAsia="宋体" w:hint="default"/>
          <w:sz w:val="14"/>
          <w:szCs w:val="14"/>
        </w:rPr>
      </w:pPr>
    </w:p>
    <w:p>
      <w:pPr>
        <w:pStyle w:val="BodyText"/>
        <w:spacing w:line="300" w:lineRule="auto"/>
        <w:ind w:right="1034" w:firstLine="360"/>
        <w:jc w:val="left"/>
      </w:pPr>
      <w:r>
        <w:rPr/>
        <w:t>（</w:t>
      </w:r>
      <w:r>
        <w:rPr>
          <w:rFonts w:ascii="Times New Roman" w:hAnsi="Times New Roman" w:cs="Times New Roman" w:eastAsia="Times New Roman" w:hint="default"/>
        </w:rPr>
        <w:t>6</w:t>
      </w:r>
      <w:r>
        <w:rPr/>
        <w:t>）公司所属子公司</w:t>
      </w:r>
      <w:r>
        <w:rPr>
          <w:rFonts w:ascii="Times New Roman" w:hAnsi="Times New Roman" w:cs="Times New Roman" w:eastAsia="Times New Roman" w:hint="default"/>
        </w:rPr>
        <w:t>-</w:t>
      </w:r>
      <w:r>
        <w:rPr/>
        <w:t>泰安东华合创软件有限公司通过了</w:t>
      </w:r>
      <w:r>
        <w:rPr>
          <w:rFonts w:ascii="Times New Roman" w:hAnsi="Times New Roman" w:cs="Times New Roman" w:eastAsia="Times New Roman" w:hint="default"/>
        </w:rPr>
        <w:t>2019</w:t>
      </w:r>
      <w:r>
        <w:rPr/>
        <w:t>年高新技术企业复审，并收到山东省科学技术厅、山东省 财政厅、山东省国家税务局、国家税务总局山东省税务局联合下发的高新技术企业证书，证书编号：</w:t>
      </w:r>
      <w:r>
        <w:rPr>
          <w:rFonts w:ascii="Times New Roman" w:hAnsi="Times New Roman" w:cs="Times New Roman" w:eastAsia="Times New Roman" w:hint="default"/>
        </w:rPr>
        <w:t>GR201937002282</w:t>
      </w:r>
      <w:r>
        <w:rPr/>
        <w:t>，有</w:t>
      </w:r>
      <w:r>
        <w:rPr>
          <w:spacing w:val="-73"/>
        </w:rPr>
        <w:t> </w:t>
      </w:r>
      <w:r>
        <w:rPr/>
        <w:t>效期三年。根据相关规定，通过高新技术企业认定后，自</w:t>
      </w:r>
      <w:r>
        <w:rPr>
          <w:rFonts w:ascii="Times New Roman" w:hAnsi="Times New Roman" w:cs="Times New Roman" w:eastAsia="Times New Roman" w:hint="default"/>
        </w:rPr>
        <w:t>2019</w:t>
      </w:r>
      <w:r>
        <w:rPr/>
        <w:t>年起，连续三年享受国家关于高新技术企业的相关优惠政策， 企业所得税按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300" w:lineRule="auto"/>
        <w:ind w:right="1131" w:firstLine="360"/>
        <w:jc w:val="both"/>
      </w:pPr>
      <w:r>
        <w:rPr>
          <w:spacing w:val="-1"/>
        </w:rPr>
        <w:t>（</w:t>
      </w:r>
      <w:r>
        <w:rPr>
          <w:rFonts w:ascii="Times New Roman" w:hAnsi="Times New Roman" w:cs="Times New Roman" w:eastAsia="Times New Roman" w:hint="default"/>
          <w:spacing w:val="-1"/>
        </w:rPr>
        <w:t>7</w:t>
      </w:r>
      <w:r>
        <w:rPr>
          <w:spacing w:val="-1"/>
        </w:rPr>
        <w:t>）公司所属子公司</w:t>
      </w:r>
      <w:r>
        <w:rPr>
          <w:rFonts w:ascii="Times New Roman" w:hAnsi="Times New Roman" w:cs="Times New Roman" w:eastAsia="Times New Roman" w:hint="default"/>
          <w:spacing w:val="-1"/>
        </w:rPr>
        <w:t>-</w:t>
      </w:r>
      <w:r>
        <w:rPr>
          <w:spacing w:val="-1"/>
        </w:rPr>
        <w:t>北京联银通科技有限公司通过了</w:t>
      </w:r>
      <w:r>
        <w:rPr>
          <w:rFonts w:ascii="Times New Roman" w:hAnsi="Times New Roman" w:cs="Times New Roman" w:eastAsia="Times New Roman" w:hint="default"/>
          <w:spacing w:val="-1"/>
        </w:rPr>
        <w:t>2017</w:t>
      </w:r>
      <w:r>
        <w:rPr>
          <w:spacing w:val="-1"/>
        </w:rPr>
        <w:t>年高新技术企业复审，并收到北京市科学技术委员会、北京</w:t>
      </w:r>
      <w:r>
        <w:rPr/>
        <w:t> 市财政局、北京市国家税务局、北京市地方税务局联合下发的高新技术企业证书，证书编号：</w:t>
      </w:r>
      <w:r>
        <w:rPr>
          <w:rFonts w:ascii="Times New Roman" w:hAnsi="Times New Roman" w:cs="Times New Roman" w:eastAsia="Times New Roman" w:hint="default"/>
        </w:rPr>
        <w:t>GR201711001388</w:t>
      </w:r>
      <w:r>
        <w:rPr>
          <w:rFonts w:ascii="Times New Roman" w:hAnsi="Times New Roman" w:cs="Times New Roman" w:eastAsia="Times New Roman" w:hint="default"/>
          <w:spacing w:val="3"/>
        </w:rPr>
        <w:t> </w:t>
      </w:r>
      <w:r>
        <w:rPr>
          <w:spacing w:val="-4"/>
        </w:rPr>
        <w:t>，有效期三</w:t>
      </w:r>
      <w:r>
        <w:rPr/>
        <w:t> </w:t>
      </w:r>
      <w:r>
        <w:rPr>
          <w:spacing w:val="-2"/>
        </w:rPr>
        <w:t>年。根据相关规定，通过高新技术企业复审后，自</w:t>
      </w:r>
      <w:r>
        <w:rPr>
          <w:rFonts w:ascii="Times New Roman" w:hAnsi="Times New Roman" w:cs="Times New Roman" w:eastAsia="Times New Roman" w:hint="default"/>
          <w:spacing w:val="-2"/>
        </w:rPr>
        <w:t>2017</w:t>
      </w:r>
      <w:r>
        <w:rPr>
          <w:spacing w:val="-2"/>
        </w:rPr>
        <w:t>年起，连续三年继续享受国家关于高新技术企业的相关优惠政策，企</w:t>
      </w:r>
      <w:r>
        <w:rPr>
          <w:spacing w:val="-65"/>
        </w:rPr>
        <w:t> </w:t>
      </w:r>
      <w:r>
        <w:rPr>
          <w:spacing w:val="-65"/>
        </w:rPr>
      </w:r>
      <w:r>
        <w:rPr/>
        <w:t>业所得税按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300" w:lineRule="auto"/>
        <w:ind w:right="1034" w:firstLine="360"/>
        <w:jc w:val="left"/>
      </w:pPr>
      <w:r>
        <w:rPr/>
        <w:t>（</w:t>
      </w:r>
      <w:r>
        <w:rPr>
          <w:rFonts w:ascii="Times New Roman" w:hAnsi="Times New Roman" w:cs="Times New Roman" w:eastAsia="Times New Roman" w:hint="default"/>
        </w:rPr>
        <w:t>8</w:t>
      </w:r>
      <w:r>
        <w:rPr/>
        <w:t>）公司所属子公司</w:t>
      </w:r>
      <w:r>
        <w:rPr>
          <w:rFonts w:ascii="Times New Roman" w:hAnsi="Times New Roman" w:cs="Times New Roman" w:eastAsia="Times New Roman" w:hint="default"/>
        </w:rPr>
        <w:t>-</w:t>
      </w:r>
      <w:r>
        <w:rPr/>
        <w:t>北京神州新桥科技有限公司通过了</w:t>
      </w:r>
      <w:r>
        <w:rPr>
          <w:rFonts w:ascii="Times New Roman" w:hAnsi="Times New Roman" w:cs="Times New Roman" w:eastAsia="Times New Roman" w:hint="default"/>
        </w:rPr>
        <w:t>2017</w:t>
      </w:r>
      <w:r>
        <w:rPr/>
        <w:t>年高新技术企业复审，并收到北京市科学技术委员会、北 京市财政局、北京市国家税务局、北京市地方税务局联合下发的高新技术企业证书，证书编号：</w:t>
      </w:r>
      <w:r>
        <w:rPr>
          <w:rFonts w:ascii="Times New Roman" w:hAnsi="Times New Roman" w:cs="Times New Roman" w:eastAsia="Times New Roman" w:hint="default"/>
        </w:rPr>
        <w:t>GR201711002878</w:t>
      </w:r>
      <w:r>
        <w:rPr/>
        <w:t>，有效期</w:t>
      </w:r>
      <w:r>
        <w:rPr>
          <w:spacing w:val="-71"/>
        </w:rPr>
        <w:t> </w:t>
      </w:r>
      <w:r>
        <w:rPr/>
        <w:t>三年。根据相关规定，通过高新技术企业复审后，自</w:t>
      </w:r>
      <w:r>
        <w:rPr>
          <w:rFonts w:ascii="Times New Roman" w:hAnsi="Times New Roman" w:cs="Times New Roman" w:eastAsia="Times New Roman" w:hint="default"/>
        </w:rPr>
        <w:t>2017</w:t>
      </w:r>
      <w:r>
        <w:rPr/>
        <w:t>年起，连续三年继续享受国家关于高新技术企业的相关优惠政策， 企业所得税按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300" w:lineRule="auto"/>
        <w:ind w:right="1129" w:firstLine="360"/>
        <w:jc w:val="both"/>
      </w:pPr>
      <w:r>
        <w:rPr>
          <w:spacing w:val="-1"/>
        </w:rPr>
        <w:t>（</w:t>
      </w:r>
      <w:r>
        <w:rPr>
          <w:rFonts w:ascii="Times New Roman" w:hAnsi="Times New Roman" w:cs="Times New Roman" w:eastAsia="Times New Roman" w:hint="default"/>
          <w:spacing w:val="-1"/>
        </w:rPr>
        <w:t>9</w:t>
      </w:r>
      <w:r>
        <w:rPr>
          <w:spacing w:val="-1"/>
        </w:rPr>
        <w:t>）公司所属子公司</w:t>
      </w:r>
      <w:r>
        <w:rPr>
          <w:rFonts w:ascii="Times New Roman" w:hAnsi="Times New Roman" w:cs="Times New Roman" w:eastAsia="Times New Roman" w:hint="default"/>
          <w:spacing w:val="-1"/>
        </w:rPr>
        <w:t>-</w:t>
      </w:r>
      <w:r>
        <w:rPr>
          <w:spacing w:val="-1"/>
        </w:rPr>
        <w:t>东华软件工程有限公司通过了</w:t>
      </w:r>
      <w:r>
        <w:rPr>
          <w:rFonts w:ascii="Times New Roman" w:hAnsi="Times New Roman" w:cs="Times New Roman" w:eastAsia="Times New Roman" w:hint="default"/>
          <w:spacing w:val="-1"/>
        </w:rPr>
        <w:t>2017</w:t>
      </w:r>
      <w:r>
        <w:rPr>
          <w:spacing w:val="-1"/>
        </w:rPr>
        <w:t>年高新技术企业复审，并收到安徽省科学技术厅、安徽省财政</w:t>
      </w:r>
      <w:r>
        <w:rPr/>
        <w:t> 厅、安徽省国家税务局、安徽省地方税务局联合下发的高新技术企业证书，证书编号：</w:t>
      </w:r>
      <w:r>
        <w:rPr>
          <w:rFonts w:ascii="Times New Roman" w:hAnsi="Times New Roman" w:cs="Times New Roman" w:eastAsia="Times New Roman" w:hint="default"/>
        </w:rPr>
        <w:t>GR201734001627</w:t>
      </w:r>
      <w:r>
        <w:rPr/>
        <w:t>，有效期三年。根</w:t>
      </w:r>
      <w:r>
        <w:rPr>
          <w:spacing w:val="-70"/>
        </w:rPr>
        <w:t> </w:t>
      </w:r>
      <w:r>
        <w:rPr>
          <w:spacing w:val="-70"/>
        </w:rPr>
      </w:r>
      <w:r>
        <w:rPr>
          <w:spacing w:val="-2"/>
        </w:rPr>
        <w:t>据相关规定，通过高新技术企业复审后，自</w:t>
      </w:r>
      <w:r>
        <w:rPr>
          <w:rFonts w:ascii="Times New Roman" w:hAnsi="Times New Roman" w:cs="Times New Roman" w:eastAsia="Times New Roman" w:hint="default"/>
          <w:spacing w:val="-2"/>
        </w:rPr>
        <w:t>2017</w:t>
      </w:r>
      <w:r>
        <w:rPr>
          <w:spacing w:val="-2"/>
        </w:rPr>
        <w:t>年起，连续三年继续享受国家关于高新技术企业的相关优惠政策，企业所得</w:t>
      </w:r>
      <w:r>
        <w:rPr>
          <w:spacing w:val="-60"/>
        </w:rPr>
        <w:t> </w:t>
      </w:r>
      <w:r>
        <w:rPr>
          <w:spacing w:val="-60"/>
        </w:rPr>
      </w:r>
      <w:r>
        <w:rPr/>
        <w:t>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300" w:lineRule="auto"/>
        <w:ind w:right="1030" w:firstLine="360"/>
        <w:jc w:val="left"/>
      </w:pPr>
      <w:r>
        <w:rPr>
          <w:spacing w:val="-1"/>
        </w:rPr>
        <w:t>（</w:t>
      </w:r>
      <w:r>
        <w:rPr>
          <w:rFonts w:ascii="Times New Roman" w:hAnsi="Times New Roman" w:cs="Times New Roman" w:eastAsia="Times New Roman" w:hint="default"/>
          <w:spacing w:val="-1"/>
        </w:rPr>
        <w:t>10</w:t>
      </w:r>
      <w:r>
        <w:rPr>
          <w:spacing w:val="-1"/>
        </w:rPr>
        <w:t>）公司所属子公司</w:t>
      </w:r>
      <w:r>
        <w:rPr>
          <w:rFonts w:ascii="Times New Roman" w:hAnsi="Times New Roman" w:cs="Times New Roman" w:eastAsia="Times New Roman" w:hint="default"/>
          <w:spacing w:val="-1"/>
        </w:rPr>
        <w:t>-</w:t>
      </w:r>
      <w:r>
        <w:rPr>
          <w:spacing w:val="-1"/>
        </w:rPr>
        <w:t>北京威锐达测控系统有限公司通过了</w:t>
      </w:r>
      <w:r>
        <w:rPr>
          <w:rFonts w:ascii="Times New Roman" w:hAnsi="Times New Roman" w:cs="Times New Roman" w:eastAsia="Times New Roman" w:hint="default"/>
          <w:spacing w:val="-1"/>
        </w:rPr>
        <w:t>2017</w:t>
      </w:r>
      <w:r>
        <w:rPr>
          <w:spacing w:val="-1"/>
        </w:rPr>
        <w:t>年高新技术企业复审，并收到北京市科学技术委员会、</w:t>
      </w:r>
      <w:r>
        <w:rPr/>
        <w:t> 北京市财政局、北京市国家税务局、北京市地方税务局联合下发的高新技术企业证书，证书编号：</w:t>
      </w:r>
      <w:r>
        <w:rPr>
          <w:rFonts w:ascii="Times New Roman" w:hAnsi="Times New Roman" w:cs="Times New Roman" w:eastAsia="Times New Roman" w:hint="default"/>
        </w:rPr>
        <w:t>GR201711000034</w:t>
      </w:r>
      <w:r>
        <w:rPr/>
        <w:t>，有效</w:t>
      </w:r>
      <w:r>
        <w:rPr>
          <w:spacing w:val="-70"/>
        </w:rPr>
        <w:t> </w:t>
      </w:r>
      <w:r>
        <w:rPr>
          <w:spacing w:val="-70"/>
        </w:rPr>
      </w:r>
      <w:r>
        <w:rPr>
          <w:spacing w:val="-2"/>
        </w:rPr>
        <w:t>期三年。根据相关规定，通过高新技术企业复审后，自</w:t>
      </w:r>
      <w:r>
        <w:rPr>
          <w:rFonts w:ascii="Times New Roman" w:hAnsi="Times New Roman" w:cs="Times New Roman" w:eastAsia="Times New Roman" w:hint="default"/>
          <w:spacing w:val="-2"/>
        </w:rPr>
        <w:t>2017</w:t>
      </w:r>
      <w:r>
        <w:rPr>
          <w:spacing w:val="-2"/>
        </w:rPr>
        <w:t>年起，连续三年享受国家关于高新技术企业的相关优惠政策，企</w:t>
      </w:r>
      <w:r>
        <w:rPr>
          <w:spacing w:val="-64"/>
        </w:rPr>
        <w:t> </w:t>
      </w:r>
      <w:r>
        <w:rPr>
          <w:spacing w:val="-64"/>
        </w:rPr>
      </w:r>
      <w:r>
        <w:rPr/>
        <w:t>业所得税按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300" w:lineRule="auto"/>
        <w:ind w:right="1034" w:firstLine="360"/>
        <w:jc w:val="left"/>
      </w:pPr>
      <w:r>
        <w:rPr/>
        <w:t>（</w:t>
      </w:r>
      <w:r>
        <w:rPr>
          <w:rFonts w:ascii="Times New Roman" w:hAnsi="Times New Roman" w:cs="Times New Roman" w:eastAsia="Times New Roman" w:hint="default"/>
        </w:rPr>
        <w:t>11</w:t>
      </w:r>
      <w:r>
        <w:rPr/>
        <w:t>）公司所属子公司</w:t>
      </w:r>
      <w:r>
        <w:rPr>
          <w:rFonts w:ascii="Times New Roman" w:hAnsi="Times New Roman" w:cs="Times New Roman" w:eastAsia="Times New Roman" w:hint="default"/>
        </w:rPr>
        <w:t>-</w:t>
      </w:r>
      <w:r>
        <w:rPr/>
        <w:t>深圳市至高通信技术发展有限公司通过了</w:t>
      </w:r>
      <w:r>
        <w:rPr>
          <w:rFonts w:ascii="Times New Roman" w:hAnsi="Times New Roman" w:cs="Times New Roman" w:eastAsia="Times New Roman" w:hint="default"/>
        </w:rPr>
        <w:t>2018</w:t>
      </w:r>
      <w:r>
        <w:rPr/>
        <w:t>年高新技术企业认证，并收到深圳市科技创新委 员会、深圳市财政局委员会、国家税务总局深圳市税务局联合颁发的高新技术企业证书，证书编号：</w:t>
      </w:r>
      <w:r>
        <w:rPr>
          <w:rFonts w:ascii="Times New Roman" w:hAnsi="Times New Roman" w:cs="Times New Roman" w:eastAsia="Times New Roman" w:hint="default"/>
        </w:rPr>
        <w:t>GR201844202695</w:t>
      </w:r>
      <w:r>
        <w:rPr/>
        <w:t>，有</w:t>
      </w:r>
      <w:r>
        <w:rPr>
          <w:spacing w:val="-73"/>
        </w:rPr>
        <w:t> </w:t>
      </w:r>
      <w:r>
        <w:rPr/>
        <w:t>效期三年。根据相关规定，通过高新技术企业复审后，自</w:t>
      </w:r>
      <w:r>
        <w:rPr>
          <w:rFonts w:ascii="Times New Roman" w:hAnsi="Times New Roman" w:cs="Times New Roman" w:eastAsia="Times New Roman" w:hint="default"/>
        </w:rPr>
        <w:t>2017</w:t>
      </w:r>
      <w:r>
        <w:rPr/>
        <w:t>年起，连续三年享受国家关于高新技术企业的相关优惠政策， 企业所得税按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240" w:lineRule="auto"/>
        <w:ind w:left="513" w:right="0"/>
        <w:jc w:val="left"/>
      </w:pPr>
      <w:r>
        <w:rPr/>
        <w:t>（</w:t>
      </w:r>
      <w:r>
        <w:rPr>
          <w:rFonts w:ascii="Times New Roman" w:hAnsi="Times New Roman" w:cs="Times New Roman" w:eastAsia="Times New Roman" w:hint="default"/>
        </w:rPr>
        <w:t>12</w:t>
      </w:r>
      <w:r>
        <w:rPr/>
        <w:t>）公司所属子公司</w:t>
      </w:r>
      <w:r>
        <w:rPr>
          <w:rFonts w:ascii="Times New Roman" w:hAnsi="Times New Roman" w:cs="Times New Roman" w:eastAsia="Times New Roman" w:hint="default"/>
        </w:rPr>
        <w:t>-</w:t>
      </w:r>
      <w:r>
        <w:rPr/>
        <w:t>东华网络股份公司通过了</w:t>
      </w:r>
      <w:r>
        <w:rPr>
          <w:rFonts w:ascii="Times New Roman" w:hAnsi="Times New Roman" w:cs="Times New Roman" w:eastAsia="Times New Roman" w:hint="default"/>
        </w:rPr>
        <w:t>2017</w:t>
      </w:r>
      <w:r>
        <w:rPr/>
        <w:t>年高新技术企业认证，并收到辽宁省科学技术厅、辽宁省财政厅、</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0"/>
        <w:jc w:val="both"/>
      </w:pPr>
      <w:r>
        <w:rPr/>
        <w:t>辽宁省国家税务局、辽宁省地方税务局联合颁发的高新技术企业证书，证书编号：</w:t>
      </w:r>
      <w:r>
        <w:rPr>
          <w:rFonts w:ascii="Times New Roman" w:hAnsi="Times New Roman" w:cs="Times New Roman" w:eastAsia="Times New Roman" w:hint="default"/>
        </w:rPr>
        <w:t>GR201721000298</w:t>
      </w:r>
      <w:r>
        <w:rPr/>
        <w:t>，有效期三年。根据相</w:t>
      </w:r>
      <w:r>
        <w:rPr>
          <w:spacing w:val="-69"/>
        </w:rPr>
        <w:t> </w:t>
      </w:r>
      <w:r>
        <w:rPr>
          <w:spacing w:val="-69"/>
        </w:rPr>
      </w:r>
      <w:r>
        <w:rPr>
          <w:spacing w:val="-1"/>
        </w:rPr>
        <w:t>关规定，通过高新技术企业复审后，自</w:t>
      </w:r>
      <w:r>
        <w:rPr>
          <w:rFonts w:ascii="Times New Roman" w:hAnsi="Times New Roman" w:cs="Times New Roman" w:eastAsia="Times New Roman" w:hint="default"/>
          <w:spacing w:val="-1"/>
        </w:rPr>
        <w:t>2017</w:t>
      </w:r>
      <w:r>
        <w:rPr>
          <w:spacing w:val="-1"/>
        </w:rPr>
        <w:t>年起，连续三年享受国家关于高新技术企业的相关优惠政策，企业所得税按</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t>的税率征收。</w:t>
      </w:r>
    </w:p>
    <w:p>
      <w:pPr>
        <w:spacing w:line="240" w:lineRule="auto" w:before="4"/>
        <w:rPr>
          <w:rFonts w:ascii="宋体" w:hAnsi="宋体" w:cs="宋体" w:eastAsia="宋体" w:hint="default"/>
          <w:sz w:val="14"/>
          <w:szCs w:val="14"/>
        </w:rPr>
      </w:pPr>
    </w:p>
    <w:p>
      <w:pPr>
        <w:pStyle w:val="BodyText"/>
        <w:spacing w:line="300" w:lineRule="auto"/>
        <w:ind w:right="1133" w:firstLine="360"/>
        <w:jc w:val="both"/>
      </w:pPr>
      <w:r>
        <w:rPr/>
        <w:t>（</w:t>
      </w:r>
      <w:r>
        <w:rPr>
          <w:rFonts w:ascii="Times New Roman" w:hAnsi="Times New Roman" w:cs="Times New Roman" w:eastAsia="Times New Roman" w:hint="default"/>
        </w:rPr>
        <w:t>13</w:t>
      </w:r>
      <w:r>
        <w:rPr/>
        <w:t>）公司所属子公司</w:t>
      </w:r>
      <w:r>
        <w:rPr>
          <w:rFonts w:ascii="Times New Roman" w:hAnsi="Times New Roman" w:cs="Times New Roman" w:eastAsia="Times New Roman" w:hint="default"/>
        </w:rPr>
        <w:t>-</w:t>
      </w:r>
      <w:r>
        <w:rPr/>
        <w:t>北京中能博泰科技有限公司通过了</w:t>
      </w:r>
      <w:r>
        <w:rPr>
          <w:rFonts w:ascii="Times New Roman" w:hAnsi="Times New Roman" w:cs="Times New Roman" w:eastAsia="Times New Roman" w:hint="default"/>
        </w:rPr>
        <w:t>2017</w:t>
      </w:r>
      <w:r>
        <w:rPr/>
        <w:t>年高新技术企业认证，并收到北京市科学技术委员会、 北京市财政局、北京市国家税务局、北京市地方税务局联合下发的高新技术企业证书，证书编号：</w:t>
      </w:r>
      <w:r>
        <w:rPr>
          <w:rFonts w:ascii="Times New Roman" w:hAnsi="Times New Roman" w:cs="Times New Roman" w:eastAsia="Times New Roman" w:hint="default"/>
        </w:rPr>
        <w:t>GR201711002792</w:t>
      </w:r>
      <w:r>
        <w:rPr/>
        <w:t>，有效</w:t>
      </w:r>
      <w:r>
        <w:rPr>
          <w:spacing w:val="-70"/>
        </w:rPr>
        <w:t> </w:t>
      </w:r>
      <w:r>
        <w:rPr>
          <w:spacing w:val="-70"/>
        </w:rPr>
      </w:r>
      <w:r>
        <w:rPr>
          <w:spacing w:val="-2"/>
        </w:rPr>
        <w:t>期三年。根据相关规定，通过高新技术企业复审后，自</w:t>
      </w:r>
      <w:r>
        <w:rPr>
          <w:rFonts w:ascii="Times New Roman" w:hAnsi="Times New Roman" w:cs="Times New Roman" w:eastAsia="Times New Roman" w:hint="default"/>
          <w:spacing w:val="-2"/>
        </w:rPr>
        <w:t>2017</w:t>
      </w:r>
      <w:r>
        <w:rPr>
          <w:spacing w:val="-2"/>
        </w:rPr>
        <w:t>年起，连续三年享受国家关于高新技术企业的相关优惠政策，企</w:t>
      </w:r>
      <w:r>
        <w:rPr>
          <w:spacing w:val="-64"/>
        </w:rPr>
        <w:t> </w:t>
      </w:r>
      <w:r>
        <w:rPr>
          <w:spacing w:val="-64"/>
        </w:rPr>
      </w:r>
      <w:r>
        <w:rPr/>
        <w:t>业所得税按</w:t>
      </w:r>
      <w:r>
        <w:rPr>
          <w:rFonts w:ascii="Times New Roman" w:hAnsi="Times New Roman" w:cs="Times New Roman" w:eastAsia="Times New Roman" w:hint="default"/>
        </w:rPr>
        <w:t>15%</w:t>
      </w:r>
      <w:r>
        <w:rPr/>
        <w:t>的税率征收。</w:t>
      </w:r>
    </w:p>
    <w:p>
      <w:pPr>
        <w:spacing w:line="240" w:lineRule="auto" w:before="12"/>
        <w:rPr>
          <w:rFonts w:ascii="宋体" w:hAnsi="宋体" w:cs="宋体" w:eastAsia="宋体" w:hint="default"/>
          <w:sz w:val="12"/>
          <w:szCs w:val="12"/>
        </w:rPr>
      </w:pPr>
    </w:p>
    <w:p>
      <w:pPr>
        <w:pStyle w:val="BodyText"/>
        <w:spacing w:line="240" w:lineRule="auto"/>
        <w:ind w:left="513" w:right="986"/>
        <w:jc w:val="left"/>
      </w:pPr>
      <w:r>
        <w:rPr/>
        <w:t>公司需遵守《深圳证券交易所行业信息披露指引第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8" w:firstLine="360"/>
        <w:jc w:val="both"/>
      </w:pPr>
      <w:r>
        <w:rPr/>
        <w:t>公司所属子公司</w:t>
      </w:r>
      <w:r>
        <w:rPr>
          <w:rFonts w:ascii="Times New Roman" w:hAnsi="Times New Roman" w:cs="Times New Roman" w:eastAsia="Times New Roman" w:hint="default"/>
        </w:rPr>
        <w:t>-</w:t>
      </w:r>
      <w:r>
        <w:rPr/>
        <w:t>北京东华合创香港有限公司公司、所属孙公司</w:t>
      </w:r>
      <w:r>
        <w:rPr>
          <w:rFonts w:ascii="Times New Roman" w:hAnsi="Times New Roman" w:cs="Times New Roman" w:eastAsia="Times New Roman" w:hint="default"/>
        </w:rPr>
        <w:t>-Hong</w:t>
      </w:r>
      <w:r>
        <w:rPr>
          <w:rFonts w:ascii="Times New Roman" w:hAnsi="Times New Roman" w:cs="Times New Roman" w:eastAsia="Times New Roman" w:hint="default"/>
          <w:spacing w:val="-14"/>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4"/>
        </w:rPr>
        <w:t> </w:t>
      </w:r>
      <w:r>
        <w:rPr>
          <w:rFonts w:ascii="Times New Roman" w:hAnsi="Times New Roman" w:cs="Times New Roman" w:eastAsia="Times New Roman" w:hint="default"/>
        </w:rPr>
        <w:t>Sino</w:t>
      </w:r>
      <w:r>
        <w:rPr>
          <w:rFonts w:ascii="Times New Roman" w:hAnsi="Times New Roman" w:cs="Times New Roman" w:eastAsia="Times New Roman" w:hint="default"/>
          <w:spacing w:val="-12"/>
        </w:rPr>
        <w:t> </w:t>
      </w:r>
      <w:r>
        <w:rPr>
          <w:rFonts w:ascii="Times New Roman" w:hAnsi="Times New Roman" w:cs="Times New Roman" w:eastAsia="Times New Roman" w:hint="default"/>
        </w:rPr>
        <w:t>Bridge</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w:t>
      </w:r>
      <w:r>
        <w:rPr/>
        <w:t>系在中国香港特别行政区 注册的企业，按照属地原则按规定缴纳企业所得税，</w:t>
      </w:r>
      <w:r>
        <w:rPr>
          <w:rFonts w:ascii="Times New Roman" w:hAnsi="Times New Roman" w:cs="Times New Roman" w:eastAsia="Times New Roman" w:hint="default"/>
        </w:rPr>
        <w:t>2019</w:t>
      </w:r>
      <w:r>
        <w:rPr/>
        <w:t>年度所得税税率为</w:t>
      </w:r>
      <w:r>
        <w:rPr>
          <w:rFonts w:ascii="Times New Roman" w:hAnsi="Times New Roman" w:cs="Times New Roman" w:eastAsia="Times New Roman" w:hint="default"/>
        </w:rPr>
        <w:t>16.5%</w:t>
      </w:r>
      <w:r>
        <w:rPr/>
        <w:t>。</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513,537.92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1,921,682,970.81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2,075,063,126.19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58,620,110.04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11,064,607.49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1,980,680,688.09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2,086,641,271.60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49,589,363.88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21,608,649.34</w:t>
            </w:r>
          </w:p>
        </w:tc>
      </w:tr>
    </w:tbl>
    <w:p>
      <w:pPr>
        <w:pStyle w:val="BodyText"/>
        <w:spacing w:line="240" w:lineRule="auto" w:before="49"/>
        <w:ind w:right="986"/>
        <w:jc w:val="left"/>
      </w:pPr>
      <w:r>
        <w:rPr/>
        <w:t>其他说明</w:t>
      </w:r>
    </w:p>
    <w:p>
      <w:pPr>
        <w:pStyle w:val="BodyText"/>
        <w:spacing w:line="240" w:lineRule="auto" w:before="119"/>
        <w:ind w:left="573" w:right="986"/>
        <w:jc w:val="left"/>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139"/>
        <w:gridCol w:w="2760"/>
        <w:gridCol w:w="2761"/>
      </w:tblGrid>
      <w:tr>
        <w:trPr>
          <w:trHeight w:val="341"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4"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18,094,089.17</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3,444,784.94</w:t>
            </w:r>
          </w:p>
        </w:tc>
      </w:tr>
      <w:tr>
        <w:trPr>
          <w:trHeight w:val="34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37,111,320.65</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4,554,703.21</w:t>
            </w:r>
          </w:p>
        </w:tc>
      </w:tr>
      <w:tr>
        <w:trPr>
          <w:trHeight w:val="34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1,205,916.44</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1,087,908.21</w:t>
            </w:r>
          </w:p>
        </w:tc>
      </w:tr>
      <w:tr>
        <w:trPr>
          <w:trHeight w:val="34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1,437,864.26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13,194,000.00</w:t>
            </w:r>
          </w:p>
        </w:tc>
      </w:tr>
      <w:tr>
        <w:trPr>
          <w:trHeight w:val="34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34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冻结资金</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323,527.56</w:t>
            </w:r>
          </w:p>
        </w:tc>
      </w:tr>
      <w:tr>
        <w:trPr>
          <w:trHeight w:val="34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301,556.36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4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58,150,746.88</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322,684,923.92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21,206,111.98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44,526,480.05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22,748,364.72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8,639,261.84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43,954,476.70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53,165,741.89</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40"/>
        <w:gridCol w:w="1092"/>
        <w:gridCol w:w="701"/>
        <w:gridCol w:w="866"/>
        <w:gridCol w:w="521"/>
        <w:gridCol w:w="1092"/>
        <w:gridCol w:w="1090"/>
        <w:gridCol w:w="701"/>
        <w:gridCol w:w="509"/>
        <w:gridCol w:w="593"/>
        <w:gridCol w:w="1092"/>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1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9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44,184,258.16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229,781.46</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43,954,476.70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53,165,741.89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53,165,741.89</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9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21,206,111.98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47.99%</w:t>
            </w:r>
          </w:p>
        </w:tc>
        <w:tc>
          <w:tcPr>
            <w:tcW w:w="86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21,206,111.98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44,526,480.05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83.75%</w:t>
            </w:r>
          </w:p>
        </w:tc>
        <w:tc>
          <w:tcPr>
            <w:tcW w:w="50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44,526,480.05</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22,978,146.18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229,781.46</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22,748,364.72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8,639,261.84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16.25%</w:t>
            </w:r>
          </w:p>
        </w:tc>
        <w:tc>
          <w:tcPr>
            <w:tcW w:w="50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8,639,261.84</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shd w:fill="D9D9D9" w:color="auto" w:val="clear"/>
              </w:rPr>
              <w:t>计</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44,184,258.16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229,781.46</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43,954,476.70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53,165,741.89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53,165,741.89</w:t>
            </w:r>
          </w:p>
        </w:tc>
      </w:tr>
    </w:tbl>
    <w:p>
      <w:pPr>
        <w:pStyle w:val="BodyText"/>
        <w:spacing w:line="240" w:lineRule="auto" w:before="49"/>
        <w:ind w:right="986"/>
        <w:jc w:val="left"/>
      </w:pPr>
      <w:r>
        <w:rPr/>
        <w:t>如是按照预期信用损失一般模型计提应收票据坏账准备，请参照其他应收款的披露方式披露坏账准备的相关信息：</w:t>
      </w:r>
    </w:p>
    <w:p>
      <w:pPr>
        <w:spacing w:line="240" w:lineRule="auto" w:before="12"/>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6"/>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50"/>
        <w:gridCol w:w="1133"/>
        <w:gridCol w:w="992"/>
        <w:gridCol w:w="1135"/>
        <w:gridCol w:w="1130"/>
        <w:gridCol w:w="997"/>
        <w:gridCol w:w="1162"/>
      </w:tblGrid>
      <w:tr>
        <w:trPr>
          <w:trHeight w:val="402" w:hRule="exact"/>
        </w:trPr>
        <w:tc>
          <w:tcPr>
            <w:tcW w:w="3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50" w:type="dxa"/>
            <w:vMerge/>
            <w:tcBorders>
              <w:left w:val="single" w:sz="4" w:space="0" w:color="000000"/>
              <w:bottom w:val="single" w:sz="4" w:space="0" w:color="FFFFFF"/>
              <w:right w:val="single" w:sz="4" w:space="0" w:color="000000"/>
            </w:tcBorders>
            <w:shd w:val="clear" w:color="auto" w:fill="D2D2D2"/>
          </w:tcPr>
          <w:p>
            <w:pPr/>
          </w:p>
        </w:tc>
        <w:tc>
          <w:tcPr>
            <w:tcW w:w="1133" w:type="dxa"/>
            <w:vMerge/>
            <w:tcBorders>
              <w:left w:val="single" w:sz="4" w:space="0" w:color="000000"/>
              <w:bottom w:val="single" w:sz="4" w:space="0" w:color="FFFFFF"/>
              <w:right w:val="single" w:sz="4" w:space="0" w:color="000000"/>
            </w:tcBorders>
            <w:shd w:val="clear" w:color="auto" w:fill="D2D2D2"/>
          </w:tcPr>
          <w:p>
            <w:pPr/>
          </w:p>
        </w:tc>
        <w:tc>
          <w:tcPr>
            <w:tcW w:w="99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99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2" w:type="dxa"/>
            <w:vMerge/>
            <w:tcBorders>
              <w:left w:val="single" w:sz="4" w:space="0" w:color="000000"/>
              <w:bottom w:val="single" w:sz="4" w:space="0" w:color="FFFFFF"/>
              <w:right w:val="single" w:sz="4" w:space="0" w:color="000000"/>
            </w:tcBorders>
            <w:shd w:val="clear" w:color="auto" w:fill="D2D2D2"/>
          </w:tcPr>
          <w:p>
            <w:pPr/>
          </w:p>
        </w:tc>
      </w:tr>
      <w:tr>
        <w:trPr>
          <w:trHeight w:val="401" w:hRule="exact"/>
        </w:trPr>
        <w:tc>
          <w:tcPr>
            <w:tcW w:w="31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按组合计提预</w:t>
            </w:r>
            <w:r>
              <w:rPr>
                <w:rFonts w:ascii="宋体" w:hAnsi="宋体" w:cs="宋体" w:eastAsia="宋体" w:hint="default"/>
                <w:sz w:val="18"/>
                <w:szCs w:val="18"/>
                <w:shd w:fill="D9D9D9" w:color="auto" w:val="clear"/>
              </w:rPr>
              <w:t>期信</w:t>
            </w:r>
            <w:r>
              <w:rPr>
                <w:rFonts w:ascii="宋体" w:hAnsi="宋体" w:cs="宋体" w:eastAsia="宋体" w:hint="default"/>
                <w:sz w:val="18"/>
                <w:szCs w:val="18"/>
              </w:rPr>
              <w:t>用损失的应收票据</w:t>
            </w:r>
          </w:p>
        </w:tc>
        <w:tc>
          <w:tcPr>
            <w:tcW w:w="1133" w:type="dxa"/>
            <w:tcBorders>
              <w:top w:val="single" w:sz="4" w:space="0" w:color="FFFFFF"/>
              <w:left w:val="single" w:sz="4" w:space="0" w:color="000000"/>
              <w:bottom w:val="single" w:sz="4" w:space="0" w:color="000000"/>
              <w:right w:val="single" w:sz="4" w:space="0" w:color="000000"/>
            </w:tcBorders>
          </w:tcPr>
          <w:p>
            <w:pPr/>
          </w:p>
        </w:tc>
        <w:tc>
          <w:tcPr>
            <w:tcW w:w="99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229,781.46</w:t>
            </w:r>
          </w:p>
        </w:tc>
        <w:tc>
          <w:tcPr>
            <w:tcW w:w="1135" w:type="dxa"/>
            <w:tcBorders>
              <w:top w:val="single" w:sz="4" w:space="0" w:color="FFFFFF"/>
              <w:left w:val="single" w:sz="4" w:space="0" w:color="000000"/>
              <w:bottom w:val="single" w:sz="4" w:space="0" w:color="000000"/>
              <w:right w:val="single" w:sz="4" w:space="0" w:color="000000"/>
            </w:tcBorders>
          </w:tcPr>
          <w:p>
            <w:pPr/>
          </w:p>
        </w:tc>
        <w:tc>
          <w:tcPr>
            <w:tcW w:w="1130" w:type="dxa"/>
            <w:tcBorders>
              <w:top w:val="single" w:sz="4" w:space="0" w:color="FFFFFF"/>
              <w:left w:val="single" w:sz="4" w:space="0" w:color="000000"/>
              <w:bottom w:val="single" w:sz="4" w:space="0" w:color="000000"/>
              <w:right w:val="single" w:sz="4" w:space="0" w:color="000000"/>
            </w:tcBorders>
          </w:tcPr>
          <w:p>
            <w:pPr/>
          </w:p>
        </w:tc>
        <w:tc>
          <w:tcPr>
            <w:tcW w:w="997" w:type="dxa"/>
            <w:tcBorders>
              <w:top w:val="single" w:sz="4" w:space="0" w:color="FFFFFF"/>
              <w:left w:val="single" w:sz="4" w:space="0" w:color="000000"/>
              <w:bottom w:val="single" w:sz="4" w:space="0" w:color="000000"/>
              <w:right w:val="single" w:sz="4" w:space="0" w:color="000000"/>
            </w:tcBorders>
          </w:tcPr>
          <w:p>
            <w:pPr/>
          </w:p>
        </w:tc>
        <w:tc>
          <w:tcPr>
            <w:tcW w:w="116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229,781.46</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229,781.46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229,781.46</w:t>
            </w:r>
          </w:p>
        </w:tc>
      </w:tr>
    </w:tbl>
    <w:p>
      <w:pPr>
        <w:spacing w:line="240" w:lineRule="auto" w:before="5"/>
        <w:rPr>
          <w:rFonts w:ascii="宋体" w:hAnsi="宋体" w:cs="宋体" w:eastAsia="宋体" w:hint="default"/>
          <w:sz w:val="9"/>
          <w:szCs w:val="9"/>
        </w:rPr>
      </w:pPr>
    </w:p>
    <w:p>
      <w:pPr>
        <w:pStyle w:val="BodyText"/>
        <w:spacing w:line="240" w:lineRule="auto" w:before="44"/>
        <w:ind w:right="986"/>
        <w:jc w:val="left"/>
      </w:pPr>
      <w:r>
        <w:rPr/>
        <w:t>其中本期坏账准备收回或转回金额重要的：</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58,386,370.92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61,026,370.92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1"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6,571,59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0,626.56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631,961,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107.03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5,939,629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,519.53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6,038,660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,058.39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477,721,4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5,560,938,6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12.15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按组合计提预期信 用损失的应收账款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6,571,59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0,626.56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631,961,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107.03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5,939,629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,519.53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6,038,660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,058.39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477,721,4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5,560,938,6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12.15</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6,571,59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0,626.56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631,961,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107.03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5,939,629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,519.53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6,038,660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,058.39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477,721,4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5,560,938,6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12.15</w:t>
            </w:r>
          </w:p>
        </w:tc>
      </w:tr>
    </w:tbl>
    <w:p>
      <w:pPr>
        <w:pStyle w:val="BodyText"/>
        <w:spacing w:line="240" w:lineRule="auto" w:before="49"/>
        <w:ind w:right="986"/>
        <w:jc w:val="left"/>
      </w:pPr>
      <w:r>
        <w:rPr/>
        <w:t>按组合计提坏账准备：</w:t>
      </w:r>
    </w:p>
    <w:p>
      <w:pPr>
        <w:pStyle w:val="BodyText"/>
        <w:spacing w:line="240" w:lineRule="auto" w:before="117"/>
        <w:ind w:left="0" w:right="1131"/>
        <w:jc w:val="right"/>
      </w:pPr>
      <w:r>
        <w:rPr/>
        <w:t>单位：</w:t>
      </w:r>
      <w:r>
        <w:rPr>
          <w:spacing w:val="1"/>
        </w:rPr>
        <w:t> </w:t>
      </w:r>
      <w:r>
        <w:rPr/>
        <w:t>元</w:t>
      </w:r>
    </w:p>
    <w:p>
      <w:pPr>
        <w:spacing w:after="0" w:line="240" w:lineRule="auto"/>
        <w:jc w:val="right"/>
        <w:sectPr>
          <w:footerReference w:type="default" r:id="rId23"/>
          <w:pgSz w:w="11910" w:h="16840"/>
          <w:pgMar w:footer="979" w:header="748" w:top="1060" w:bottom="1160" w:left="980" w:right="0"/>
          <w:pgNumType w:start="136"/>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3,249,447,877.35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33,473,809.53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1,241,486,748.45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64,391,509.69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1,079,908,943.37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155,438,690.28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565,729,412.55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169,926,595.78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324,879,012.06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98,591,868.97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110,138,632.78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110,138,632.78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6,571,590,626.56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631,961,107.03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986"/>
        <w:jc w:val="left"/>
      </w:pPr>
      <w:r>
        <w:rPr>
          <w:spacing w:val="-2"/>
        </w:rPr>
        <w:t>确定该组合依据的说明：公司根据以前年度与之相同或相类似的、按账龄段划分的具有类似信用风险特征的应收账款组合的</w:t>
      </w:r>
      <w:r>
        <w:rPr>
          <w:spacing w:val="-63"/>
        </w:rPr>
        <w:t> </w:t>
      </w:r>
      <w:r>
        <w:rPr>
          <w:spacing w:val="-63"/>
        </w:rPr>
      </w:r>
      <w:r>
        <w:rPr/>
        <w:t>实际损失率为基础，结合现时情况确定本期计提坏账准备的计提比例。 如是按照预期信用损失一般模型计提应收账款坏账准备，请参照其他应收款的披露方式披露坏账准备的相关信息：</w:t>
      </w:r>
    </w:p>
    <w:p>
      <w:pPr>
        <w:pStyle w:val="BodyText"/>
        <w:spacing w:line="240" w:lineRule="auto" w:before="158"/>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13"/>
          <w:szCs w:val="13"/>
        </w:rPr>
      </w:pPr>
    </w:p>
    <w:p>
      <w:pPr>
        <w:pStyle w:val="BodyText"/>
        <w:spacing w:line="240" w:lineRule="auto" w:before="44"/>
        <w:ind w:right="986"/>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3,249,447,877.35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1,241,486,748.45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1,079,908,943.37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1,000,747,057.39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565,729,412.55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324,879,012.06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110,138,632.78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6,571,590,626.56</w:t>
            </w:r>
          </w:p>
        </w:tc>
      </w:tr>
    </w:tbl>
    <w:p>
      <w:pPr>
        <w:pStyle w:val="BodyText"/>
        <w:spacing w:line="240" w:lineRule="auto" w:before="49"/>
        <w:ind w:right="986"/>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5"/>
        <w:gridCol w:w="1382"/>
        <w:gridCol w:w="1388"/>
        <w:gridCol w:w="1385"/>
      </w:tblGrid>
      <w:tr>
        <w:trPr>
          <w:trHeight w:val="401" w:hRule="exact"/>
        </w:trPr>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按组合计提预期</w:t>
            </w:r>
          </w:p>
        </w:tc>
        <w:tc>
          <w:tcPr>
            <w:tcW w:w="1385" w:type="dxa"/>
            <w:tcBorders>
              <w:top w:val="single" w:sz="4" w:space="0" w:color="000000"/>
              <w:left w:val="single" w:sz="4" w:space="0" w:color="000000"/>
              <w:bottom w:val="nil" w:sz="6" w:space="0" w:color="auto"/>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
        </w:tc>
        <w:tc>
          <w:tcPr>
            <w:tcW w:w="1385" w:type="dxa"/>
            <w:vMerge w:val="restart"/>
            <w:tcBorders>
              <w:top w:val="single" w:sz="4" w:space="0" w:color="000000"/>
              <w:left w:val="single" w:sz="4" w:space="0" w:color="000000"/>
              <w:right w:val="single" w:sz="4" w:space="0" w:color="000000"/>
            </w:tcBorders>
          </w:tcPr>
          <w:p>
            <w:pPr/>
          </w:p>
        </w:tc>
        <w:tc>
          <w:tcPr>
            <w:tcW w:w="1382" w:type="dxa"/>
            <w:tcBorders>
              <w:top w:val="single" w:sz="4" w:space="0" w:color="000000"/>
              <w:left w:val="single" w:sz="4" w:space="0" w:color="000000"/>
              <w:bottom w:val="nil" w:sz="6" w:space="0" w:color="auto"/>
              <w:right w:val="single" w:sz="4" w:space="0" w:color="000000"/>
            </w:tcBorders>
          </w:tcPr>
          <w:p>
            <w:pPr/>
          </w:p>
        </w:tc>
        <w:tc>
          <w:tcPr>
            <w:tcW w:w="1388" w:type="dxa"/>
            <w:vMerge w:val="restart"/>
            <w:tcBorders>
              <w:top w:val="single" w:sz="4" w:space="0" w:color="000000"/>
              <w:left w:val="single" w:sz="4" w:space="0" w:color="000000"/>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信用损失的应收</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477,721,446.24</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155,932,521.27</w:t>
            </w:r>
          </w:p>
        </w:tc>
        <w:tc>
          <w:tcPr>
            <w:tcW w:w="1385" w:type="dxa"/>
            <w:vMerge/>
            <w:tcBorders>
              <w:left w:val="single" w:sz="4" w:space="0" w:color="000000"/>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1,692,860.48</w:t>
            </w:r>
          </w:p>
        </w:tc>
        <w:tc>
          <w:tcPr>
            <w:tcW w:w="1388" w:type="dxa"/>
            <w:vMerge/>
            <w:tcBorders>
              <w:left w:val="single" w:sz="4" w:space="0" w:color="000000"/>
              <w:right w:val="single" w:sz="4" w:space="0" w:color="000000"/>
            </w:tcBorders>
          </w:tcPr>
          <w:p>
            <w:pP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631,961,107.03</w:t>
            </w:r>
          </w:p>
        </w:tc>
      </w:tr>
      <w:tr>
        <w:trPr>
          <w:trHeight w:val="353" w:hRule="exact"/>
        </w:trPr>
        <w:tc>
          <w:tcPr>
            <w:tcW w:w="1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385" w:type="dxa"/>
            <w:tcBorders>
              <w:top w:val="nil" w:sz="6" w:space="0" w:color="auto"/>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
        </w:tc>
        <w:tc>
          <w:tcPr>
            <w:tcW w:w="1388" w:type="dxa"/>
            <w:vMerge/>
            <w:tcBorders>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477,721,446.24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155,932,521.27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1,692,860.48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631,961,107.03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849"/>
        <w:gridCol w:w="4849"/>
      </w:tblGrid>
      <w:tr>
        <w:trPr>
          <w:trHeight w:val="403" w:hRule="exact"/>
        </w:trPr>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1,692,860.48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25"/>
        <w:gridCol w:w="2126"/>
        <w:gridCol w:w="2977"/>
        <w:gridCol w:w="1870"/>
      </w:tblGrid>
      <w:tr>
        <w:trPr>
          <w:trHeight w:val="401"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期末余额前五名应收账款汇总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626,293,027.07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36,552,378.39</w:t>
            </w:r>
          </w:p>
        </w:tc>
      </w:tr>
      <w:tr>
        <w:trPr>
          <w:trHeight w:val="40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626,293,027.07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36,552,378.39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548,271,309.22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519,110,367.70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51,228,647.08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171,185,823.06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29,153,007.53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30,298,501.16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22,171,414.24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11,901,610.78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650,824,378.07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732,496,302.70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839"/>
        <w:gridCol w:w="1985"/>
        <w:gridCol w:w="1843"/>
        <w:gridCol w:w="1992"/>
      </w:tblGrid>
      <w:tr>
        <w:trPr>
          <w:trHeight w:val="341" w:hRule="exact"/>
        </w:trPr>
        <w:tc>
          <w:tcPr>
            <w:tcW w:w="38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3" w:hRule="exact"/>
        </w:trPr>
        <w:tc>
          <w:tcPr>
            <w:tcW w:w="38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北京太极网络科技有限公司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33" w:right="0"/>
              <w:jc w:val="left"/>
              <w:rPr>
                <w:rFonts w:ascii="Times New Roman" w:hAnsi="Times New Roman" w:cs="Times New Roman" w:eastAsia="Times New Roman" w:hint="default"/>
                <w:sz w:val="18"/>
                <w:szCs w:val="18"/>
              </w:rPr>
            </w:pPr>
            <w:r>
              <w:rPr>
                <w:rFonts w:ascii="Times New Roman"/>
                <w:sz w:val="18"/>
              </w:rPr>
              <w:t>15,611,929.57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合同尚未执行完</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839"/>
        <w:gridCol w:w="1985"/>
        <w:gridCol w:w="1843"/>
        <w:gridCol w:w="1992"/>
      </w:tblGrid>
      <w:tr>
        <w:trPr>
          <w:trHeight w:val="341"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深圳市意众智能科技有限责任公司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13,661,872.80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343" w:hRule="exact"/>
        </w:trPr>
        <w:tc>
          <w:tcPr>
            <w:tcW w:w="3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29,273,802.37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left="513" w:right="986"/>
        <w:jc w:val="left"/>
      </w:pPr>
      <w:r>
        <w:rPr/>
        <w:t>注</w:t>
      </w:r>
      <w:r>
        <w:rPr>
          <w:rFonts w:ascii="Times New Roman" w:hAnsi="Times New Roman" w:cs="Times New Roman" w:eastAsia="Times New Roman" w:hint="default"/>
        </w:rPr>
        <w:t>1</w:t>
      </w:r>
      <w:r>
        <w:rPr/>
        <w:t>：其中</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7,811,929.57</w:t>
      </w:r>
      <w:r>
        <w:rPr/>
        <w:t>元，</w:t>
      </w:r>
      <w:r>
        <w:rPr>
          <w:rFonts w:ascii="Times New Roman" w:hAnsi="Times New Roman" w:cs="Times New Roman" w:eastAsia="Times New Roman" w:hint="default"/>
        </w:rPr>
        <w:t>2-3</w:t>
      </w:r>
      <w:r>
        <w:rPr/>
        <w:t>年</w:t>
      </w:r>
      <w:r>
        <w:rPr>
          <w:rFonts w:ascii="Times New Roman" w:hAnsi="Times New Roman" w:cs="Times New Roman" w:eastAsia="Times New Roman" w:hint="default"/>
        </w:rPr>
        <w:t>7,800,000.00</w:t>
      </w:r>
      <w:r>
        <w:rPr/>
        <w:t>元；注</w:t>
      </w:r>
      <w:r>
        <w:rPr>
          <w:rFonts w:ascii="Times New Roman" w:hAnsi="Times New Roman" w:cs="Times New Roman" w:eastAsia="Times New Roman" w:hint="default"/>
        </w:rPr>
        <w:t>2</w:t>
      </w:r>
      <w:r>
        <w:rPr/>
        <w:t>：其中</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5,300,923.00</w:t>
      </w:r>
      <w:r>
        <w:rPr/>
        <w:t>元，</w:t>
      </w:r>
      <w:r>
        <w:rPr>
          <w:rFonts w:ascii="Times New Roman" w:hAnsi="Times New Roman" w:cs="Times New Roman" w:eastAsia="Times New Roman" w:hint="default"/>
        </w:rPr>
        <w:t>2-3</w:t>
      </w:r>
      <w:r>
        <w:rPr/>
        <w:t>年</w:t>
      </w:r>
      <w:r>
        <w:rPr>
          <w:rFonts w:ascii="Times New Roman" w:hAnsi="Times New Roman" w:cs="Times New Roman" w:eastAsia="Times New Roman" w:hint="default"/>
        </w:rPr>
        <w:t>8,360,949.80</w:t>
      </w:r>
      <w:r>
        <w:rPr/>
        <w:t>元。</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87"/>
        <w:gridCol w:w="1793"/>
        <w:gridCol w:w="1124"/>
        <w:gridCol w:w="1447"/>
        <w:gridCol w:w="2309"/>
      </w:tblGrid>
      <w:tr>
        <w:trPr>
          <w:trHeight w:val="653" w:hRule="exact"/>
        </w:trPr>
        <w:tc>
          <w:tcPr>
            <w:tcW w:w="2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64" w:right="1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 额的比例</w:t>
            </w: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3"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76,209,406.01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11.71%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341"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上海博康易联感知信息技术有限公司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44,611,527.45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6.85%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343"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创新科存储技术有限公司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42,638,926.86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6.55%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341"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32,347,963.00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4.97%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343"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北京太极网络科技有限公司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26,872,000.00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4.13%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341"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222,679,823.32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34.21%</w:t>
            </w:r>
          </w:p>
        </w:tc>
        <w:tc>
          <w:tcPr>
            <w:tcW w:w="1447"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986"/>
        <w:jc w:val="left"/>
      </w:pPr>
      <w:r>
        <w:rPr/>
        <w:t>注</w:t>
      </w:r>
      <w:r>
        <w:rPr>
          <w:rFonts w:ascii="Times New Roman" w:hAnsi="Times New Roman" w:cs="Times New Roman" w:eastAsia="Times New Roman" w:hint="default"/>
        </w:rPr>
        <w:t>1</w:t>
      </w:r>
      <w:r>
        <w:rPr/>
        <w:t>：其中</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40,754,936.86</w:t>
      </w:r>
      <w:r>
        <w:rPr/>
        <w:t>元，</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1,883,990.00</w:t>
      </w:r>
      <w:r>
        <w:rPr/>
        <w:t>元；注</w:t>
      </w:r>
      <w:r>
        <w:rPr>
          <w:rFonts w:ascii="Times New Roman" w:hAnsi="Times New Roman" w:cs="Times New Roman" w:eastAsia="Times New Roman" w:hint="default"/>
        </w:rPr>
        <w:t>2</w:t>
      </w:r>
      <w:r>
        <w:rPr/>
        <w:t>：其中</w:t>
      </w:r>
      <w:r>
        <w:rPr>
          <w:rFonts w:ascii="Times New Roman" w:hAnsi="Times New Roman" w:cs="Times New Roman" w:eastAsia="Times New Roman" w:hint="default"/>
        </w:rPr>
        <w:t>1</w:t>
      </w:r>
      <w:r>
        <w:rPr/>
        <w:t>年以内</w:t>
      </w:r>
      <w:r>
        <w:rPr>
          <w:spacing w:val="-16"/>
        </w:rPr>
        <w:t> </w:t>
      </w:r>
      <w:r>
        <w:rPr>
          <w:rFonts w:ascii="Times New Roman" w:hAnsi="Times New Roman" w:cs="Times New Roman" w:eastAsia="Times New Roman" w:hint="default"/>
        </w:rPr>
        <w:t>11,260,070.43</w:t>
      </w:r>
      <w:r>
        <w:rPr/>
        <w:t>元，</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7,811,929.57</w:t>
      </w:r>
      <w:r>
        <w:rPr/>
        <w:t>元，</w:t>
      </w:r>
      <w:r>
        <w:rPr>
          <w:rFonts w:ascii="Times New Roman" w:hAnsi="Times New Roman" w:cs="Times New Roman" w:eastAsia="Times New Roman" w:hint="default"/>
        </w:rPr>
        <w:t>2-3</w:t>
      </w:r>
      <w:r>
        <w:rPr/>
        <w:t>年 </w:t>
      </w:r>
      <w:r>
        <w:rPr>
          <w:rFonts w:ascii="Times New Roman" w:hAnsi="Times New Roman" w:cs="Times New Roman" w:eastAsia="Times New Roman" w:hint="default"/>
        </w:rPr>
        <w:t>7,800,000.00</w:t>
      </w:r>
      <w:r>
        <w:rPr/>
        <w:t>元。</w:t>
      </w:r>
    </w:p>
    <w:p>
      <w:pPr>
        <w:spacing w:line="240" w:lineRule="auto" w:before="4"/>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509,786,585.74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549,284,862.70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509,786,585.74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549,284,862.70</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3"/>
      </w:tblGrid>
      <w:tr>
        <w:trPr>
          <w:trHeight w:val="401"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105,915,001.75</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146,878,178.71</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208,255,705.30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164,063,511.16</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195,185,427.91</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171,101,300.86</w:t>
            </w:r>
          </w:p>
        </w:tc>
      </w:tr>
      <w:tr>
        <w:trPr>
          <w:trHeight w:val="401"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77,342,475.77</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152,723,733.89</w:t>
            </w: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17,871,779.70</w:t>
            </w:r>
          </w:p>
        </w:tc>
        <w:tc>
          <w:tcPr>
            <w:tcW w:w="32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604,570,390.43</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634,766,724.62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80"/>
        <w:gridCol w:w="1561"/>
        <w:gridCol w:w="1844"/>
        <w:gridCol w:w="1887"/>
        <w:gridCol w:w="1826"/>
      </w:tblGrid>
      <w:tr>
        <w:trPr>
          <w:trHeight w:val="401" w:hRule="exact"/>
        </w:trPr>
        <w:tc>
          <w:tcPr>
            <w:tcW w:w="2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2580"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04" w:right="19" w:hanging="481"/>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个月预期信 用损失</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8" w:right="38"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22,170,255.10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63,311,606.82</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85,481,861.92</w:t>
            </w: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-942,375.70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942,375.70</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2,765,335.92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6,495,508.69</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9,260,844.61</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7,983.90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45,692.94</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53,676.84</w:t>
            </w:r>
          </w:p>
        </w:tc>
      </w:tr>
      <w:tr>
        <w:trPr>
          <w:trHeight w:val="4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94,775.00</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24,080,006.42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70,703,798.27</w:t>
            </w:r>
          </w:p>
        </w:tc>
        <w:tc>
          <w:tcPr>
            <w:tcW w:w="1887"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94,783,804.69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7"/>
        <w:rPr>
          <w:rFonts w:ascii="宋体" w:hAnsi="宋体" w:cs="宋体" w:eastAsia="宋体" w:hint="default"/>
          <w:sz w:val="25"/>
          <w:szCs w:val="25"/>
        </w:rPr>
      </w:pPr>
    </w:p>
    <w:p>
      <w:pPr>
        <w:pStyle w:val="BodyText"/>
        <w:spacing w:line="240" w:lineRule="auto" w:before="44"/>
        <w:ind w:right="986"/>
        <w:jc w:val="left"/>
      </w:pPr>
      <w:r>
        <w:rPr/>
        <w:t>损失准备本期变动金额重大的账面余额变动情况</w:t>
      </w:r>
    </w:p>
    <w:p>
      <w:pPr>
        <w:spacing w:line="240" w:lineRule="auto" w:before="12"/>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3"/>
          <w:szCs w:val="13"/>
        </w:rPr>
      </w:pPr>
    </w:p>
    <w:p>
      <w:pPr>
        <w:pStyle w:val="BodyText"/>
        <w:spacing w:line="240" w:lineRule="auto" w:before="44"/>
        <w:ind w:right="986"/>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270,541,183.69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127,617,526.25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83,505,174.03</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122,906,506.46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39,331,699.62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33,943,806.19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49,631,000.65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604,570,390.43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53,676.84</w:t>
            </w:r>
          </w:p>
        </w:tc>
      </w:tr>
    </w:tbl>
    <w:p>
      <w:pPr>
        <w:spacing w:line="240" w:lineRule="auto" w:before="4"/>
        <w:rPr>
          <w:rFonts w:ascii="宋体" w:hAnsi="宋体" w:cs="宋体" w:eastAsia="宋体" w:hint="default"/>
          <w:sz w:val="9"/>
          <w:szCs w:val="9"/>
        </w:rPr>
      </w:pPr>
    </w:p>
    <w:p>
      <w:pPr>
        <w:pStyle w:val="BodyText"/>
        <w:spacing w:line="240" w:lineRule="auto" w:before="44"/>
        <w:ind w:right="986"/>
        <w:jc w:val="left"/>
      </w:pPr>
      <w:r>
        <w:rPr/>
        <w:t>其中重要的其他应收款核销情况：</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363.549988pt;margin-top:55.551723pt;width:95.45pt;height:35.2pt;mso-position-horizontal-relative:page;mso-position-vertical-relative:paragraph;z-index:-1079344" type="#_x0000_t202" filled="false" stroked="false">
            <v:textbox inset="0,0,0,0">
              <w:txbxContent>
                <w:p>
                  <w:pPr>
                    <w:pStyle w:val="BodyText"/>
                    <w:spacing w:line="240" w:lineRule="auto" w:before="51"/>
                    <w:ind w:left="0" w:right="0"/>
                    <w:jc w:val="left"/>
                  </w:pPr>
                  <w:r>
                    <w:rPr/>
                    <w:t>元，</w:t>
                  </w:r>
                </w:p>
              </w:txbxContent>
            </v:textbox>
            <w10:wrap type="none"/>
          </v:shape>
        </w:pict>
      </w:r>
      <w:r>
        <w:rPr/>
        <w:pict>
          <v:group style="position:absolute;margin-left:378.670013pt;margin-top:55.551723pt;width:80.350pt;height:35.2pt;mso-position-horizontal-relative:page;mso-position-vertical-relative:paragraph;z-index:-1079320" coordorigin="7573,1111" coordsize="1607,704">
            <v:group style="position:absolute;left:7573;top:1111;width:1607;height:704" coordorigin="7573,1111" coordsize="1607,704">
              <v:shape style="position:absolute;left:7573;top:1111;width:1607;height:704" coordorigin="7573,1111" coordsize="1607,704" path="m7573,1814l9179,1814,9179,1111,7573,1111,7573,1814xe" filled="true" fillcolor="#ffffff" stroked="false">
                <v:path arrowok="t"/>
                <v:fill type="solid"/>
              </v:shape>
            </v:group>
            <v:group style="position:absolute;left:7595;top:1267;width:1563;height:392" coordorigin="7595,1267" coordsize="1563,392">
              <v:shape style="position:absolute;left:7595;top:1267;width:1563;height:392" coordorigin="7595,1267" coordsize="1563,392" path="m7595,1658l9158,1658,9158,1267,7595,1267,7595,1658xe" filled="true" fillcolor="#ffffff" stroked="false">
                <v:path arrowok="t"/>
                <v:fill type="solid"/>
              </v:shape>
            </v:group>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72"/>
        <w:gridCol w:w="992"/>
        <w:gridCol w:w="1277"/>
        <w:gridCol w:w="2321"/>
        <w:gridCol w:w="1618"/>
        <w:gridCol w:w="1618"/>
      </w:tblGrid>
      <w:tr>
        <w:trPr>
          <w:trHeight w:val="7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深圳市贝尔加数据信息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45,392,803.40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24,603,500.00</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20,789,303.40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3,309,105.34</w:t>
            </w: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兴业银行股份有限公司 北京知春路支行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银承保证金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22,779,304.17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227,793.04</w:t>
            </w:r>
          </w:p>
        </w:tc>
      </w:tr>
      <w:tr>
        <w:trPr>
          <w:trHeight w:val="102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36"/>
              <w:jc w:val="left"/>
              <w:rPr>
                <w:rFonts w:ascii="宋体" w:hAnsi="宋体" w:cs="宋体" w:eastAsia="宋体" w:hint="default"/>
                <w:sz w:val="18"/>
                <w:szCs w:val="18"/>
              </w:rPr>
            </w:pPr>
            <w:r>
              <w:rPr>
                <w:rFonts w:ascii="宋体" w:hAnsi="宋体" w:cs="宋体" w:eastAsia="宋体" w:hint="default"/>
                <w:sz w:val="18"/>
                <w:szCs w:val="18"/>
              </w:rPr>
              <w:t>首都医科大学附属北京 友谊医院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9,535,859.20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4"/>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3,813,000.00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811,902.00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4,910,957.20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5,030,277.40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872"/>
        <w:gridCol w:w="992"/>
        <w:gridCol w:w="1277"/>
        <w:gridCol w:w="2321"/>
        <w:gridCol w:w="1618"/>
        <w:gridCol w:w="1618"/>
      </w:tblGrid>
      <w:tr>
        <w:trPr>
          <w:trHeight w:val="40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郭德芳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8,935,889.85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89,358.90</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宋昊雨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8,935,889.85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89,358.90</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95,579,746.47</w:t>
            </w:r>
          </w:p>
        </w:tc>
        <w:tc>
          <w:tcPr>
            <w:tcW w:w="2321"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8,745,893.58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547" w:lineRule="auto"/>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t>是否已执行新收入准则</w:t>
      </w:r>
    </w:p>
    <w:p>
      <w:pPr>
        <w:pStyle w:val="BodyText"/>
        <w:spacing w:line="240" w:lineRule="auto" w:before="2"/>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56,442,753.14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12,966,772.18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43,475,980.96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49,606,696.08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5,909,415.09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43,697,280.99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82,020,896.01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82,020,896.01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81,924,504.12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81,924,504.12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146,013,708.40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2,137,651.14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143,876,057.26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123,076,739.62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9,692,163.21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113,384,576.41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5,055,236,395.59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32,057,676.97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5,023,178,718.62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4,381,394,725.29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4,381,394,725.29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3,680,946.02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3,680,946.02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4,768,268.74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4,768,268.74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1,658,530.27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1,658,530.27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11,351,214.17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11,351,214.17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5,345,053,229.43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47,162,100.29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5,297,891,129.14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4,652,122,148.02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15,601,578.30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4,636,520,569.72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5,909,415.09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7,061,715.99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4,358.90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12,966,772.18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9,692,163.21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669,138.69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8,223,650.76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2,137,651.14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32,057,676.97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32,057,676.97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15,601,578.30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39,788,531.65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8,228,009.66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47,162,100.29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22,293,725.24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22,293,725.24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right="986"/>
        <w:jc w:val="left"/>
      </w:pPr>
      <w:r>
        <w:rPr/>
        <w:t>重要的债权投资</w:t>
      </w:r>
      <w:r>
        <w:rPr>
          <w:rFonts w:ascii="Times New Roman" w:hAnsi="Times New Roman" w:cs="Times New Roman" w:eastAsia="Times New Roman" w:hint="default"/>
        </w:rPr>
        <w:t>/</w:t>
      </w:r>
      <w:r>
        <w:rPr/>
        <w:t>其他债权投资</w:t>
      </w:r>
    </w:p>
    <w:p>
      <w:pPr>
        <w:spacing w:line="240" w:lineRule="auto" w:before="9"/>
        <w:rPr>
          <w:rFonts w:ascii="宋体" w:hAnsi="宋体" w:cs="宋体" w:eastAsia="宋体" w:hint="default"/>
          <w:sz w:val="16"/>
          <w:szCs w:val="16"/>
        </w:rPr>
      </w:pPr>
    </w:p>
    <w:p>
      <w:pPr>
        <w:spacing w:line="547" w:lineRule="auto" w:before="0"/>
        <w:ind w:left="152" w:right="8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b/>
          <w:bCs/>
          <w:w w:val="100"/>
          <w:sz w:val="21"/>
          <w:szCs w:val="21"/>
        </w:rPr>
        <w:t> </w:t>
      </w:r>
      <w:r>
        <w:rPr>
          <w:rFonts w:ascii="宋体" w:hAnsi="宋体" w:cs="宋体" w:eastAsia="宋体" w:hint="default"/>
          <w:sz w:val="18"/>
          <w:szCs w:val="18"/>
        </w:rPr>
        <w:t>是否已执行新收入准则</w:t>
      </w:r>
    </w:p>
    <w:p>
      <w:pPr>
        <w:pStyle w:val="BodyText"/>
        <w:spacing w:line="240" w:lineRule="auto" w:before="2"/>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120,597.22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87,855,261.80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86,897,875.43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41,925,905.33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55,122,957.30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839,602.48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多缴增值税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391,392.11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1,439.96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131,495,232.37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142,981,032.43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21"/>
        <w:gridCol w:w="1183"/>
        <w:gridCol w:w="1181"/>
        <w:gridCol w:w="1183"/>
        <w:gridCol w:w="1184"/>
        <w:gridCol w:w="1183"/>
        <w:gridCol w:w="1181"/>
        <w:gridCol w:w="1181"/>
      </w:tblGrid>
      <w:tr>
        <w:trPr>
          <w:trHeight w:val="402" w:hRule="exact"/>
        </w:trPr>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21"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202,275,834.92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2,022,758.35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200,253,076.57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79,515,602.19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795,156.02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78,720,446.17</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840,223.75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8,402.24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831,821.51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0"/>
                <w:sz w:val="18"/>
                <w:szCs w:val="18"/>
              </w:rPr>
              <w:t>减：一年内到期的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长期应收款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-22,518,914.38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-225,189.15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-22,293,725.23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180,597,144.29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1,805,971.44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178,791,172.85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79,515,602.19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795,156.02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78,720,446.17</w:t>
            </w:r>
          </w:p>
        </w:tc>
        <w:tc>
          <w:tcPr>
            <w:tcW w:w="11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坏账准备减值情况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985"/>
        <w:gridCol w:w="2127"/>
        <w:gridCol w:w="1844"/>
        <w:gridCol w:w="1205"/>
      </w:tblGrid>
      <w:tr>
        <w:trPr>
          <w:trHeight w:val="404"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898" w:right="36" w:hanging="85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个月预期信用损 失</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795,156.02</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795,156.02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1,010,815.42</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1,010,815.42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1,805,971.44</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1,805,971.44</w:t>
            </w:r>
          </w:p>
        </w:tc>
      </w:tr>
    </w:tbl>
    <w:p>
      <w:pPr>
        <w:spacing w:line="240" w:lineRule="auto" w:before="4"/>
        <w:rPr>
          <w:rFonts w:ascii="宋体" w:hAnsi="宋体" w:cs="宋体" w:eastAsia="宋体" w:hint="default"/>
          <w:sz w:val="9"/>
          <w:szCs w:val="9"/>
        </w:rPr>
      </w:pPr>
    </w:p>
    <w:p>
      <w:pPr>
        <w:pStyle w:val="BodyText"/>
        <w:spacing w:line="240" w:lineRule="auto" w:before="44"/>
        <w:ind w:right="986"/>
        <w:jc w:val="left"/>
      </w:pPr>
      <w:r>
        <w:rPr/>
        <w:t>损失准备本期变动金额重大的账面余额变动情况</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瑞客东华 转化医学 研究中心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1,679.40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10,194,57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2,628,416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12,412,66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北京中能 博泰科技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60,298,20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2,205,568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-5,499,02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-57,004,7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奇秦科技</w:t>
            </w:r>
          </w:p>
          <w:p>
            <w:pPr>
              <w:pStyle w:val="TableParagraph"/>
              <w:spacing w:line="319"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（北京）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22,827,68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617,672.9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-22,333,1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7,952,011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7,828,873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深圳市贝 尔加数据 信息有限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127,285,1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127,426,4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98.87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广西数字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2,449,342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220,607,2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4,655,568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-28,103,4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-46,424,3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150,117,3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83.43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220,607,2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4,655,568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617,672.9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-28,103,4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-46,424,3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150,117,3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83.43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1,854,226.62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1,854,226.62</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2"/>
              <w:jc w:val="left"/>
              <w:rPr>
                <w:rFonts w:ascii="宋体" w:hAnsi="宋体" w:cs="宋体" w:eastAsia="宋体" w:hint="default"/>
                <w:sz w:val="18"/>
                <w:szCs w:val="18"/>
              </w:rPr>
            </w:pPr>
            <w:r>
              <w:rPr>
                <w:rFonts w:ascii="宋体" w:hAnsi="宋体" w:cs="宋体" w:eastAsia="宋体" w:hint="default"/>
                <w:sz w:val="18"/>
                <w:szCs w:val="18"/>
              </w:rPr>
              <w:t>北京首创金融资产交易信息服务股份有 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5,575,368.95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8,066,818.24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236,023,295.00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222,924,960.00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天津南大通用数据技术股份有限公司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15,632,757.00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15,632,757.00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东华软件澳洲公司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506,142.74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506,142.74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味道网（北京）科技有限公司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东华光普大数据技术有限公司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314,606.74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湖北华中大数据交易股份有限公司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北京和隆优化科技股份有限公司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东合汇（北京）科技有限公司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衡水银行股份有限公司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209,577,237.62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203,744,909.09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长治银行股份有限公司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61,887,231.53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59,645,211.31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北京爱诺斯科技有限公司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776,140,866.20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731,559,631.74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4" w:right="0"/>
              <w:jc w:val="left"/>
              <w:rPr>
                <w:rFonts w:ascii="Times New Roman" w:hAnsi="Times New Roman" w:cs="Times New Roman" w:eastAsia="Times New Roman" w:hint="default"/>
                <w:sz w:val="18"/>
                <w:szCs w:val="18"/>
              </w:rPr>
            </w:pPr>
            <w:r>
              <w:rPr>
                <w:rFonts w:ascii="Times New Roman"/>
                <w:sz w:val="18"/>
              </w:rPr>
              <w:t>11,341,433.00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11,341,433.00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27,057,248.85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27,057,248.85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27,057,248.85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27,057,248.85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11,341,433.00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11,341,433.00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）转为自用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11,341,433.00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11,341,433.00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27,057,248.85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27,057,248.85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5,584,249.07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5,584,249.07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1,813,674.74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1,813,674.74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1,171,065.08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1,171,065.08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642,609.66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642,609.66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5,898,501.27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5,898,501.27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）转为自用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5,898,501.27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5,898,501.27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1,499,422.54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1,499,422.54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25,557,826.31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25,557,826.31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5,757,183.93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5,757,183.93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233,127,521.55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277,851,299.56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233,127,521.55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277,851,299.56</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175,900,438.94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43,001,584.63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24,071,991.23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691,112,975.55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934,086,990.35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9,464,704.85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317,715.18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2,916,322.13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37,228,898.30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49,927,640.46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-1,876,728.15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317,715.18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2,916,322.13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36,119,596.89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37,476,906.05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1,109,301.41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1,109,301.41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firstLine="454"/>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）投资性房</w:t>
            </w:r>
            <w:r>
              <w:rPr>
                <w:rFonts w:ascii="宋体" w:hAnsi="宋体" w:cs="宋体" w:eastAsia="宋体" w:hint="default"/>
                <w:sz w:val="18"/>
                <w:szCs w:val="18"/>
              </w:rPr>
              <w:t> 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11,341,433.00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11,341,433.00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27,057,248.85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1,577,992.51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1,520,101.59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120,585,900.91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150,741,243.86</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1,577,992.51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1,520,101.59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120,585,900.91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123,683,995.01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firstLine="1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）转出至投资 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27,057,248.85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27,057,248.85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158,307,894.94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41,741,307.30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25,468,211.77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607,755,972.94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833,273,386.95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59,752,159.64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11,042,480.30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15,891,030.57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569,550,020.28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656,235,690.79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13,650,174.02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4,502,366.13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2,406,505.38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41,411,862.76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61,970,908.29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7,751,672.75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4,502,366.13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2,406,505.38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40,837,830.49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55,498,374.75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574,032.27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574,032.27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firstLine="454"/>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）投资性房</w:t>
            </w:r>
            <w:r>
              <w:rPr>
                <w:rFonts w:ascii="宋体" w:hAnsi="宋体" w:cs="宋体" w:eastAsia="宋体" w:hint="default"/>
                <w:sz w:val="18"/>
                <w:szCs w:val="18"/>
              </w:rPr>
              <w:t> 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5,898,501.27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5,898,501.27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642,609.66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1,430,165.45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1,444,096.19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114,543,862.38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118,060,733.68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1,430,165.45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1,444,096.19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114,543,862.38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117,418,124.02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7" w:firstLine="9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）转出至投资性</w:t>
            </w:r>
            <w:r>
              <w:rPr>
                <w:rFonts w:ascii="宋体" w:hAnsi="宋体" w:cs="宋体" w:eastAsia="宋体" w:hint="default"/>
                <w:sz w:val="18"/>
                <w:szCs w:val="18"/>
              </w:rPr>
              <w:t> 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642,609.66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642,609.66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72,759,724.00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14,114,680.98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16,853,439.76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496,418,020.66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600,145,865.40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85,548,170.94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27,626,626.32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8,614,772.01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111,337,952.28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233,127,521.55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116,148,279.30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31,959,104.33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8,180,960.66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121,562,955.27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277,851,299.56</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8,607,386.63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6,275,430.57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2,331,956.06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24,024,549.34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4,674,396.26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19,350,153.08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32,631,935.97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10,949,826.83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21,682,109.14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1,451,488.25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产权证正在办理中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1,451,488.25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59,109,719.70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25,799,394.13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59,109,719.70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25,799,394.13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27,135,938.77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27,135,938.77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22,655,187.27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22,655,187.27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金云产业园项目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31,973,780.93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31,973,780.93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3,144,206.86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3,144,206.86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59,109,719.70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59,109,719.70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25,799,394.13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25,799,394.13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81"/>
        <w:gridCol w:w="1181"/>
        <w:gridCol w:w="1093"/>
        <w:gridCol w:w="1090"/>
        <w:gridCol w:w="583"/>
        <w:gridCol w:w="583"/>
        <w:gridCol w:w="1092"/>
        <w:gridCol w:w="610"/>
        <w:gridCol w:w="612"/>
        <w:gridCol w:w="526"/>
        <w:gridCol w:w="583"/>
        <w:gridCol w:w="583"/>
        <w:gridCol w:w="581"/>
      </w:tblGrid>
      <w:tr>
        <w:trPr>
          <w:trHeight w:val="1964" w:hRule="exact"/>
        </w:trPr>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6" w:right="103"/>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1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1" w:right="86"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8" w:right="103"/>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7" w:right="103"/>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1" w:right="26"/>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5"/>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5" w:hanging="84"/>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7" w:right="103"/>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57" w:hRule="exact"/>
        </w:trPr>
        <w:tc>
          <w:tcPr>
            <w:tcW w:w="5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181"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610" w:type="dxa"/>
            <w:tcBorders>
              <w:top w:val="single" w:sz="4" w:space="0" w:color="000000"/>
              <w:left w:val="single" w:sz="4" w:space="0" w:color="000000"/>
              <w:bottom w:val="nil" w:sz="6" w:space="0" w:color="auto"/>
              <w:right w:val="single" w:sz="4" w:space="0" w:color="000000"/>
            </w:tcBorders>
          </w:tcPr>
          <w:p>
            <w:pPr/>
          </w:p>
        </w:tc>
        <w:tc>
          <w:tcPr>
            <w:tcW w:w="612" w:type="dxa"/>
            <w:tcBorders>
              <w:top w:val="single" w:sz="4" w:space="0" w:color="000000"/>
              <w:left w:val="single" w:sz="4" w:space="0" w:color="000000"/>
              <w:bottom w:val="nil" w:sz="6" w:space="0" w:color="auto"/>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1"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581"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85"/>
              <w:jc w:val="left"/>
              <w:rPr>
                <w:rFonts w:ascii="宋体" w:hAnsi="宋体" w:cs="宋体" w:eastAsia="宋体" w:hint="default"/>
                <w:sz w:val="18"/>
                <w:szCs w:val="18"/>
              </w:rPr>
            </w:pPr>
            <w:r>
              <w:rPr>
                <w:rFonts w:ascii="宋体" w:hAnsi="宋体" w:cs="宋体" w:eastAsia="宋体" w:hint="default"/>
                <w:sz w:val="18"/>
                <w:szCs w:val="18"/>
              </w:rPr>
              <w:t>东华 软件</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96,000,000.00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22,655,187.27</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4,480,751.50</w:t>
            </w: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27,135,938.77</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98.87%</w:t>
            </w:r>
          </w:p>
        </w:tc>
        <w:tc>
          <w:tcPr>
            <w:tcW w:w="6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90.60%</w:t>
            </w:r>
          </w:p>
        </w:tc>
        <w:tc>
          <w:tcPr>
            <w:tcW w:w="52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7" w:hRule="exact"/>
        </w:trPr>
        <w:tc>
          <w:tcPr>
            <w:tcW w:w="5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园</w:t>
            </w:r>
          </w:p>
        </w:tc>
        <w:tc>
          <w:tcPr>
            <w:tcW w:w="1181"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610"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581"/>
        <w:gridCol w:w="1181"/>
        <w:gridCol w:w="1093"/>
        <w:gridCol w:w="1090"/>
        <w:gridCol w:w="583"/>
        <w:gridCol w:w="583"/>
        <w:gridCol w:w="1092"/>
        <w:gridCol w:w="610"/>
        <w:gridCol w:w="612"/>
        <w:gridCol w:w="526"/>
        <w:gridCol w:w="583"/>
        <w:gridCol w:w="583"/>
        <w:gridCol w:w="581"/>
      </w:tblGrid>
      <w:tr>
        <w:trPr>
          <w:trHeight w:val="358" w:hRule="exact"/>
        </w:trPr>
        <w:tc>
          <w:tcPr>
            <w:tcW w:w="5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金云</w:t>
            </w:r>
          </w:p>
        </w:tc>
        <w:tc>
          <w:tcPr>
            <w:tcW w:w="1181"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610" w:type="dxa"/>
            <w:tcBorders>
              <w:top w:val="single" w:sz="4" w:space="0" w:color="000000"/>
              <w:left w:val="single" w:sz="4" w:space="0" w:color="000000"/>
              <w:bottom w:val="nil" w:sz="6" w:space="0" w:color="auto"/>
              <w:right w:val="single" w:sz="4" w:space="0" w:color="000000"/>
            </w:tcBorders>
          </w:tcPr>
          <w:p>
            <w:pPr/>
          </w:p>
        </w:tc>
        <w:tc>
          <w:tcPr>
            <w:tcW w:w="612" w:type="dxa"/>
            <w:tcBorders>
              <w:top w:val="single" w:sz="4" w:space="0" w:color="000000"/>
              <w:left w:val="single" w:sz="4" w:space="0" w:color="000000"/>
              <w:bottom w:val="nil" w:sz="6" w:space="0" w:color="auto"/>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8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85"/>
              <w:jc w:val="left"/>
              <w:rPr>
                <w:rFonts w:ascii="宋体" w:hAnsi="宋体" w:cs="宋体" w:eastAsia="宋体" w:hint="default"/>
                <w:sz w:val="18"/>
                <w:szCs w:val="18"/>
              </w:rPr>
            </w:pPr>
            <w:r>
              <w:rPr>
                <w:rFonts w:ascii="宋体" w:hAnsi="宋体" w:cs="宋体" w:eastAsia="宋体" w:hint="default"/>
                <w:sz w:val="18"/>
                <w:szCs w:val="18"/>
              </w:rPr>
              <w:t>产业 园项</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274,250,000.00</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3,144,206.86</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28,829,574.07</w:t>
            </w: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31,973,780.93</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11.65%</w:t>
            </w:r>
          </w:p>
        </w:tc>
        <w:tc>
          <w:tcPr>
            <w:tcW w:w="6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35.00%</w:t>
            </w:r>
          </w:p>
        </w:tc>
        <w:tc>
          <w:tcPr>
            <w:tcW w:w="52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5" w:hRule="exact"/>
        </w:trPr>
        <w:tc>
          <w:tcPr>
            <w:tcW w:w="5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181"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610"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1"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370,250,000.00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25,799,394.13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33,310,325.57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59,109,719.70</w:t>
            </w:r>
          </w:p>
        </w:tc>
        <w:tc>
          <w:tcPr>
            <w:tcW w:w="6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29,258,276.67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44,548,686.65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354,665,774.88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428,473,738.20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39,015.19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847,067.68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12,477,009.93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13,363,092.80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39,015.19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12,477,009.93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12,516,025.12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847,067.68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847,067.68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29,297,291.86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45,395,754.33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367,142,784.81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441,836,831.00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1,348,067.26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14,081,763.84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280,889,995.10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296,320,826.20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585,854.73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8,144,564.51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45,763,782.54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54,494,201.78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585,854.73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7,904,562.00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45,763,782.54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54,254,199.27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240,002.51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1,933,921.99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22,226,328.35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326,653,777.64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350,815,027.98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27,363,369.87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23,169,425.98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40,489,007.17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91,021,803.02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27,910,209.41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30,466,922.81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73,775,779.78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132,152,912.00</w:t>
            </w:r>
          </w:p>
        </w:tc>
      </w:tr>
    </w:tbl>
    <w:p>
      <w:pPr>
        <w:pStyle w:val="BodyText"/>
        <w:spacing w:line="240" w:lineRule="auto" w:before="49"/>
        <w:ind w:right="986"/>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23.72%</w:t>
      </w:r>
      <w:r>
        <w:rPr/>
        <w:t>。</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67"/>
        <w:gridCol w:w="1378"/>
        <w:gridCol w:w="1316"/>
        <w:gridCol w:w="1037"/>
        <w:gridCol w:w="946"/>
        <w:gridCol w:w="838"/>
        <w:gridCol w:w="1318"/>
      </w:tblGrid>
      <w:tr>
        <w:trPr>
          <w:trHeight w:val="403" w:hRule="exact"/>
        </w:trPr>
        <w:tc>
          <w:tcPr>
            <w:tcW w:w="2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2867"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63" w:right="111" w:hanging="452"/>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247,618,632.50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247,618,632.50</w:t>
            </w: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225,266,979.44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225,266,979.44</w:t>
            </w:r>
          </w:p>
        </w:tc>
      </w:tr>
      <w:tr>
        <w:trPr>
          <w:trHeight w:val="40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1,942,851.06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1,942,851.06</w:t>
            </w: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469,339,595.86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469,339,595.86</w:t>
            </w:r>
          </w:p>
        </w:tc>
      </w:tr>
      <w:tr>
        <w:trPr>
          <w:trHeight w:val="40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565,135,229.20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565,135,229.20</w:t>
            </w: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151,607,495.56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151,607,495.56</w:t>
            </w:r>
          </w:p>
        </w:tc>
      </w:tr>
      <w:tr>
        <w:trPr>
          <w:trHeight w:val="40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广东东华发思特软件有限公司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2,448,272.58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2,448,272.58</w:t>
            </w: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微掌文科技（北京）有限公司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1,607,926.45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1,607,926.45</w:t>
            </w:r>
          </w:p>
        </w:tc>
      </w:tr>
      <w:tr>
        <w:trPr>
          <w:trHeight w:val="40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55,685,302.03</w:t>
            </w: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55,685,302.03</w:t>
            </w: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1,664,966,982.65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55,685,302.03</w:t>
            </w:r>
          </w:p>
        </w:tc>
        <w:tc>
          <w:tcPr>
            <w:tcW w:w="1037"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1,720,652,284.68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67"/>
        <w:gridCol w:w="1795"/>
        <w:gridCol w:w="1323"/>
        <w:gridCol w:w="850"/>
        <w:gridCol w:w="852"/>
        <w:gridCol w:w="627"/>
        <w:gridCol w:w="1385"/>
      </w:tblGrid>
      <w:tr>
        <w:trPr>
          <w:trHeight w:val="401" w:hRule="exact"/>
        </w:trPr>
        <w:tc>
          <w:tcPr>
            <w:tcW w:w="2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67" w:type="dxa"/>
            <w:vMerge/>
            <w:tcBorders>
              <w:left w:val="single" w:sz="4" w:space="0" w:color="000000"/>
              <w:bottom w:val="single" w:sz="4" w:space="0" w:color="000000"/>
              <w:right w:val="single" w:sz="4" w:space="0" w:color="000000"/>
            </w:tcBorders>
            <w:shd w:val="clear" w:color="auto" w:fill="D2D2D2"/>
          </w:tcPr>
          <w:p>
            <w:pPr/>
          </w:p>
        </w:tc>
        <w:tc>
          <w:tcPr>
            <w:tcW w:w="1795" w:type="dxa"/>
            <w:vMerge/>
            <w:tcBorders>
              <w:left w:val="single" w:sz="4" w:space="0" w:color="000000"/>
              <w:bottom w:val="single" w:sz="4" w:space="0" w:color="000000"/>
              <w:right w:val="single" w:sz="4" w:space="0" w:color="000000"/>
            </w:tcBorders>
            <w:shd w:val="clear" w:color="auto" w:fill="D2D2D2"/>
          </w:tcPr>
          <w:p>
            <w:pP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73,621,036.39</w:t>
            </w:r>
          </w:p>
        </w:tc>
        <w:tc>
          <w:tcPr>
            <w:tcW w:w="13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73,621,036.39</w:t>
            </w:r>
          </w:p>
        </w:tc>
      </w:tr>
      <w:tr>
        <w:trPr>
          <w:trHeight w:val="40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262,175,805.16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86,521,710.22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348,697,515.38</w:t>
            </w:r>
          </w:p>
        </w:tc>
      </w:tr>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412,215,424.00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78,900,452.24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491,115,876.24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867"/>
        <w:gridCol w:w="1795"/>
        <w:gridCol w:w="1323"/>
        <w:gridCol w:w="850"/>
        <w:gridCol w:w="852"/>
        <w:gridCol w:w="627"/>
        <w:gridCol w:w="1385"/>
      </w:tblGrid>
      <w:tr>
        <w:trPr>
          <w:trHeight w:val="4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135,554,300.30</w:t>
            </w:r>
          </w:p>
        </w:tc>
        <w:tc>
          <w:tcPr>
            <w:tcW w:w="13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135,554,300.30</w:t>
            </w:r>
          </w:p>
        </w:tc>
      </w:tr>
      <w:tr>
        <w:trPr>
          <w:trHeight w:val="40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883,566,565.85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165,422,162.46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1,048,988,728.31</w:t>
            </w:r>
          </w:p>
        </w:tc>
      </w:tr>
    </w:tbl>
    <w:p>
      <w:pPr>
        <w:pStyle w:val="BodyText"/>
        <w:spacing w:line="240" w:lineRule="auto" w:before="49"/>
        <w:ind w:right="986"/>
        <w:jc w:val="left"/>
      </w:pPr>
      <w:r>
        <w:rPr/>
        <w:t>商誉所在资产组或资产组组合的相关信息</w:t>
      </w:r>
    </w:p>
    <w:p>
      <w:pPr>
        <w:spacing w:line="240" w:lineRule="auto" w:before="10"/>
        <w:rPr>
          <w:rFonts w:ascii="宋体" w:hAnsi="宋体" w:cs="宋体" w:eastAsia="宋体" w:hint="default"/>
          <w:sz w:val="17"/>
          <w:szCs w:val="17"/>
        </w:rPr>
      </w:pPr>
    </w:p>
    <w:p>
      <w:pPr>
        <w:pStyle w:val="BodyText"/>
        <w:spacing w:line="319" w:lineRule="auto"/>
        <w:ind w:right="986" w:firstLine="360"/>
        <w:jc w:val="left"/>
      </w:pPr>
      <w:r>
        <w:rPr>
          <w:spacing w:val="-2"/>
        </w:rPr>
        <w:t>公司将与商誉相关的固定资产、无形资产等长期资产确认为资产组。该资产组与购买日、以前年度商誉减值测试时所确</w:t>
      </w:r>
      <w:r>
        <w:rPr/>
        <w:t> 认的资产组组合一致。</w:t>
      </w:r>
    </w:p>
    <w:p>
      <w:pPr>
        <w:spacing w:line="240" w:lineRule="auto" w:before="3"/>
        <w:rPr>
          <w:rFonts w:ascii="宋体" w:hAnsi="宋体" w:cs="宋体" w:eastAsia="宋体" w:hint="default"/>
          <w:sz w:val="13"/>
          <w:szCs w:val="13"/>
        </w:rPr>
      </w:pPr>
    </w:p>
    <w:p>
      <w:pPr>
        <w:pStyle w:val="BodyText"/>
        <w:spacing w:line="316" w:lineRule="auto"/>
        <w:ind w:right="986" w:firstLine="360"/>
        <w:jc w:val="left"/>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468" w:lineRule="exact" w:before="10"/>
        <w:ind w:left="513" w:right="103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）测试过程</w:t>
      </w:r>
      <w:r>
        <w:rPr>
          <w:rFonts w:ascii="宋体" w:hAnsi="宋体" w:cs="宋体" w:eastAsia="宋体" w:hint="default"/>
          <w:b/>
          <w:bCs/>
          <w:w w:val="99"/>
        </w:rPr>
        <w:t> </w:t>
      </w:r>
      <w:r>
        <w:rPr/>
        <w:t>公司期末对包含商誉的资产组进行了减值测试，将资产组账面价值与可收回金额进行比较，以确定资产组（包括商誉）</w:t>
      </w:r>
    </w:p>
    <w:p>
      <w:pPr>
        <w:pStyle w:val="BodyText"/>
        <w:spacing w:line="316" w:lineRule="auto" w:before="8"/>
        <w:ind w:right="986"/>
        <w:jc w:val="left"/>
      </w:pPr>
      <w:r>
        <w:rPr>
          <w:spacing w:val="-2"/>
        </w:rPr>
        <w:t>是否发生了减值，可收回金额按照预计未来现金流量现值计算。测试结果表明包含分摊的商誉的资产组的可收回金额低于账</w:t>
      </w:r>
      <w:r>
        <w:rPr>
          <w:spacing w:val="-64"/>
        </w:rPr>
        <w:t> </w:t>
      </w:r>
      <w:r>
        <w:rPr>
          <w:spacing w:val="-64"/>
        </w:rPr>
      </w:r>
      <w:r>
        <w:rPr/>
        <w:t>面价值的，确认相应的减值损失。</w:t>
      </w:r>
    </w:p>
    <w:p>
      <w:pPr>
        <w:spacing w:line="240" w:lineRule="auto" w:before="5"/>
        <w:rPr>
          <w:rFonts w:ascii="宋体" w:hAnsi="宋体" w:cs="宋体" w:eastAsia="宋体" w:hint="default"/>
          <w:sz w:val="13"/>
          <w:szCs w:val="13"/>
        </w:rPr>
      </w:pPr>
    </w:p>
    <w:p>
      <w:pPr>
        <w:pStyle w:val="Heading5"/>
        <w:spacing w:line="240" w:lineRule="auto"/>
        <w:ind w:right="986"/>
        <w:jc w:val="left"/>
        <w:rPr>
          <w:b w:val="0"/>
          <w:bCs w:val="0"/>
        </w:rPr>
      </w:pPr>
      <w:r>
        <w:rPr/>
        <w:t>（</w:t>
      </w:r>
      <w:r>
        <w:rPr>
          <w:rFonts w:ascii="Times New Roman" w:hAnsi="Times New Roman" w:cs="Times New Roman" w:eastAsia="Times New Roman" w:hint="default"/>
        </w:rPr>
        <w:t>2</w:t>
      </w:r>
      <w:r>
        <w:rPr/>
        <w:t>）关键参数</w:t>
      </w:r>
      <w:r>
        <w:rPr>
          <w:b w:val="0"/>
          <w:bCs w:val="0"/>
        </w:rPr>
      </w:r>
    </w:p>
    <w:p>
      <w:pPr>
        <w:spacing w:line="240" w:lineRule="auto" w:before="12"/>
        <w:rPr>
          <w:rFonts w:ascii="宋体" w:hAnsi="宋体" w:cs="宋体" w:eastAsia="宋体" w:hint="default"/>
          <w:b/>
          <w:bCs/>
          <w:sz w:val="15"/>
          <w:szCs w:val="15"/>
        </w:rPr>
      </w:pPr>
    </w:p>
    <w:tbl>
      <w:tblPr>
        <w:tblW w:w="0" w:type="auto"/>
        <w:jc w:val="left"/>
        <w:tblInd w:w="138" w:type="dxa"/>
        <w:tblLayout w:type="fixed"/>
        <w:tblCellMar>
          <w:top w:w="0" w:type="dxa"/>
          <w:left w:w="0" w:type="dxa"/>
          <w:bottom w:w="0" w:type="dxa"/>
          <w:right w:w="0" w:type="dxa"/>
        </w:tblCellMar>
        <w:tblLook w:val="01E0"/>
      </w:tblPr>
      <w:tblGrid>
        <w:gridCol w:w="1004"/>
        <w:gridCol w:w="1200"/>
        <w:gridCol w:w="1088"/>
        <w:gridCol w:w="1111"/>
        <w:gridCol w:w="1428"/>
        <w:gridCol w:w="1087"/>
        <w:gridCol w:w="1457"/>
        <w:gridCol w:w="1284"/>
      </w:tblGrid>
      <w:tr>
        <w:trPr>
          <w:trHeight w:val="341" w:hRule="exact"/>
        </w:trPr>
        <w:tc>
          <w:tcPr>
            <w:tcW w:w="10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关键参数</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6" w:right="0"/>
              <w:jc w:val="left"/>
              <w:rPr>
                <w:rFonts w:ascii="宋体" w:hAnsi="宋体" w:cs="宋体" w:eastAsia="宋体" w:hint="default"/>
                <w:sz w:val="18"/>
                <w:szCs w:val="18"/>
              </w:rPr>
            </w:pPr>
            <w:r>
              <w:rPr>
                <w:rFonts w:ascii="宋体" w:hAnsi="宋体" w:cs="宋体" w:eastAsia="宋体" w:hint="default"/>
                <w:sz w:val="18"/>
                <w:szCs w:val="18"/>
              </w:rPr>
              <w:t>确定依据</w:t>
            </w:r>
          </w:p>
        </w:tc>
      </w:tr>
      <w:tr>
        <w:trPr>
          <w:trHeight w:val="343" w:hRule="exact"/>
        </w:trPr>
        <w:tc>
          <w:tcPr>
            <w:tcW w:w="1004" w:type="dxa"/>
            <w:vMerge/>
            <w:tcBorders>
              <w:left w:val="single" w:sz="4" w:space="0" w:color="000000"/>
              <w:bottom w:val="single" w:sz="4" w:space="0" w:color="000000"/>
              <w:right w:val="single" w:sz="4" w:space="0" w:color="000000"/>
            </w:tcBorders>
            <w:shd w:val="clear" w:color="auto" w:fill="D9D9D9"/>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23"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1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11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万兴新锐</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14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中能博泰</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1"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2020 -2024</w:t>
            </w:r>
            <w:r>
              <w:rPr>
                <w:rFonts w:ascii="宋体" w:hAnsi="宋体" w:cs="宋体" w:eastAsia="宋体" w:hint="default"/>
                <w:sz w:val="18"/>
                <w:szCs w:val="18"/>
              </w:rPr>
              <w:t>年</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2020 -2024</w:t>
            </w:r>
            <w:r>
              <w:rPr>
                <w:rFonts w:ascii="宋体" w:hAnsi="宋体" w:cs="宋体" w:eastAsia="宋体" w:hint="default"/>
                <w:sz w:val="18"/>
                <w:szCs w:val="18"/>
              </w:rPr>
              <w:t>年</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2020 -2024</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2020 -2024</w:t>
            </w:r>
            <w:r>
              <w:rPr>
                <w:rFonts w:ascii="宋体" w:hAnsi="宋体" w:cs="宋体" w:eastAsia="宋体" w:hint="default"/>
                <w:sz w:val="18"/>
                <w:szCs w:val="18"/>
              </w:rPr>
              <w:t>年</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2020 -2024</w:t>
            </w:r>
            <w:r>
              <w:rPr>
                <w:rFonts w:ascii="宋体" w:hAnsi="宋体" w:cs="宋体" w:eastAsia="宋体" w:hint="default"/>
                <w:sz w:val="18"/>
                <w:szCs w:val="18"/>
              </w:rPr>
              <w:t>年</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4" w:right="267"/>
              <w:jc w:val="left"/>
              <w:rPr>
                <w:rFonts w:ascii="宋体" w:hAnsi="宋体" w:cs="宋体" w:eastAsia="宋体" w:hint="default"/>
                <w:sz w:val="18"/>
                <w:szCs w:val="18"/>
              </w:rPr>
            </w:pPr>
            <w:r>
              <w:rPr>
                <w:rFonts w:ascii="宋体" w:hAnsi="宋体" w:cs="宋体" w:eastAsia="宋体" w:hint="default"/>
                <w:sz w:val="18"/>
                <w:szCs w:val="18"/>
              </w:rPr>
              <w:t>预测收入 增长率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2"/>
              <w:ind w:left="4" w:right="3"/>
              <w:jc w:val="left"/>
              <w:rPr>
                <w:rFonts w:ascii="宋体" w:hAnsi="宋体" w:cs="宋体" w:eastAsia="宋体" w:hint="default"/>
                <w:sz w:val="18"/>
                <w:szCs w:val="18"/>
              </w:rPr>
            </w:pPr>
            <w:r>
              <w:rPr>
                <w:rFonts w:ascii="宋体" w:hAnsi="宋体" w:cs="宋体" w:eastAsia="宋体" w:hint="default"/>
                <w:sz w:val="18"/>
                <w:szCs w:val="18"/>
              </w:rPr>
              <w:t>根据在手合 </w:t>
            </w:r>
            <w:r>
              <w:rPr>
                <w:rFonts w:ascii="宋体" w:hAnsi="宋体" w:cs="宋体" w:eastAsia="宋体" w:hint="default"/>
                <w:spacing w:val="-3"/>
                <w:sz w:val="18"/>
                <w:szCs w:val="18"/>
              </w:rPr>
              <w:t>同、意向合同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w:t>
            </w:r>
            <w:r>
              <w:rPr>
                <w:rFonts w:ascii="Times New Roman" w:hAnsi="Times New Roman" w:cs="Times New Roman" w:eastAsia="Times New Roman" w:hint="default"/>
                <w:sz w:val="18"/>
                <w:szCs w:val="18"/>
              </w:rPr>
              <w:t>2020</w:t>
            </w:r>
            <w:r>
              <w:rPr>
                <w:rFonts w:ascii="宋体" w:hAnsi="宋体" w:cs="宋体" w:eastAsia="宋体" w:hint="default"/>
                <w:sz w:val="18"/>
                <w:szCs w:val="18"/>
              </w:rPr>
              <w:t>较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年收入 增长</w:t>
            </w:r>
            <w:r>
              <w:rPr>
                <w:rFonts w:ascii="Times New Roman" w:hAnsi="Times New Roman" w:cs="Times New Roman" w:eastAsia="Times New Roman" w:hint="default"/>
                <w:sz w:val="18"/>
                <w:szCs w:val="18"/>
              </w:rPr>
              <w:t>44%</w:t>
            </w:r>
            <w:r>
              <w:rPr>
                <w:rFonts w:ascii="宋体" w:hAnsi="宋体" w:cs="宋体" w:eastAsia="宋体" w:hint="default"/>
                <w:sz w:val="18"/>
                <w:szCs w:val="18"/>
              </w:rPr>
              <w:t>； </w:t>
            </w:r>
            <w:r>
              <w:rPr>
                <w:rFonts w:ascii="Times New Roman" w:hAnsi="Times New Roman" w:cs="Times New Roman" w:eastAsia="Times New Roman" w:hint="default"/>
                <w:sz w:val="18"/>
                <w:szCs w:val="18"/>
              </w:rPr>
              <w:t>2021</w:t>
            </w:r>
            <w:r>
              <w:rPr>
                <w:rFonts w:ascii="宋体" w:hAnsi="宋体" w:cs="宋体" w:eastAsia="宋体" w:hint="default"/>
                <w:sz w:val="18"/>
                <w:szCs w:val="18"/>
              </w:rPr>
              <w:t>年之后 增长</w:t>
            </w:r>
          </w:p>
          <w:p>
            <w:pPr>
              <w:pStyle w:val="TableParagraph"/>
              <w:spacing w:line="240" w:lineRule="auto" w:before="2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16%-17%</w:t>
            </w:r>
            <w:r>
              <w:rPr>
                <w:rFonts w:ascii="宋体" w:hAnsi="宋体" w:cs="宋体" w:eastAsia="宋体" w:hint="default"/>
                <w:sz w:val="18"/>
                <w:szCs w:val="18"/>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2"/>
              <w:ind w:left="4"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根据在手合 同、意向合同 等，</w:t>
            </w:r>
            <w:r>
              <w:rPr>
                <w:rFonts w:ascii="Times New Roman" w:hAnsi="Times New Roman" w:cs="Times New Roman" w:eastAsia="Times New Roman" w:hint="default"/>
                <w:sz w:val="18"/>
                <w:szCs w:val="18"/>
              </w:rPr>
              <w:t>2020</w:t>
            </w:r>
            <w:r>
              <w:rPr>
                <w:rFonts w:ascii="宋体" w:hAnsi="宋体" w:cs="宋体" w:eastAsia="宋体" w:hint="default"/>
                <w:sz w:val="18"/>
                <w:szCs w:val="18"/>
              </w:rPr>
              <w:t>较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年收入增 长</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2021</w:t>
            </w:r>
          </w:p>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年之后增长</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19%-20%</w:t>
            </w:r>
            <w:r>
              <w:rPr>
                <w:rFonts w:ascii="宋体" w:hAnsi="宋体" w:cs="宋体" w:eastAsia="宋体" w:hint="default"/>
                <w:sz w:val="18"/>
                <w:szCs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2"/>
              <w:ind w:left="7" w:right="0"/>
              <w:jc w:val="left"/>
              <w:rPr>
                <w:rFonts w:ascii="宋体" w:hAnsi="宋体" w:cs="宋体" w:eastAsia="宋体" w:hint="default"/>
                <w:sz w:val="18"/>
                <w:szCs w:val="18"/>
              </w:rPr>
            </w:pPr>
            <w:r>
              <w:rPr>
                <w:rFonts w:ascii="宋体" w:hAnsi="宋体" w:cs="宋体" w:eastAsia="宋体" w:hint="default"/>
                <w:spacing w:val="-5"/>
                <w:sz w:val="18"/>
                <w:szCs w:val="18"/>
              </w:rPr>
              <w:t>根据在手合同、已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中标项目等，</w:t>
            </w:r>
            <w:r>
              <w:rPr>
                <w:rFonts w:ascii="Times New Roman" w:hAnsi="Times New Roman" w:cs="Times New Roman" w:eastAsia="Times New Roman" w:hint="default"/>
                <w:spacing w:val="-4"/>
                <w:sz w:val="18"/>
                <w:szCs w:val="18"/>
              </w:rPr>
              <w:t>2020</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年收入增 长</w:t>
            </w:r>
            <w:r>
              <w:rPr>
                <w:rFonts w:ascii="Times New Roman" w:hAnsi="Times New Roman" w:cs="Times New Roman" w:eastAsia="Times New Roman" w:hint="default"/>
                <w:sz w:val="18"/>
                <w:szCs w:val="18"/>
              </w:rPr>
              <w:t>54%</w:t>
            </w:r>
            <w:r>
              <w:rPr>
                <w:rFonts w:ascii="宋体" w:hAnsi="宋体" w:cs="宋体" w:eastAsia="宋体" w:hint="default"/>
                <w:sz w:val="18"/>
                <w:szCs w:val="18"/>
              </w:rPr>
              <w:t>；</w:t>
            </w:r>
            <w:r>
              <w:rPr>
                <w:rFonts w:ascii="Times New Roman" w:hAnsi="Times New Roman" w:cs="Times New Roman" w:eastAsia="Times New Roman" w:hint="default"/>
                <w:sz w:val="18"/>
                <w:szCs w:val="18"/>
              </w:rPr>
              <w:t>2021</w:t>
            </w:r>
            <w:r>
              <w:rPr>
                <w:rFonts w:ascii="宋体" w:hAnsi="宋体" w:cs="宋体" w:eastAsia="宋体" w:hint="default"/>
                <w:sz w:val="18"/>
                <w:szCs w:val="18"/>
              </w:rPr>
              <w:t>年之 后增长</w:t>
            </w:r>
            <w:r>
              <w:rPr>
                <w:rFonts w:ascii="Times New Roman" w:hAnsi="Times New Roman" w:cs="Times New Roman" w:eastAsia="Times New Roman" w:hint="default"/>
                <w:sz w:val="18"/>
                <w:szCs w:val="18"/>
              </w:rPr>
              <w:t>6%-8%</w:t>
            </w:r>
            <w:r>
              <w:rPr>
                <w:rFonts w:ascii="宋体" w:hAnsi="宋体" w:cs="宋体" w:eastAsia="宋体" w:hint="default"/>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19%-20%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7"/>
              <w:jc w:val="left"/>
              <w:rPr>
                <w:rFonts w:ascii="宋体" w:hAnsi="宋体" w:cs="宋体" w:eastAsia="宋体" w:hint="default"/>
                <w:sz w:val="18"/>
                <w:szCs w:val="18"/>
              </w:rPr>
            </w:pPr>
            <w:r>
              <w:rPr>
                <w:rFonts w:ascii="宋体" w:hAnsi="宋体" w:cs="宋体" w:eastAsia="宋体" w:hint="default"/>
                <w:sz w:val="18"/>
                <w:szCs w:val="18"/>
              </w:rPr>
              <w:t>参考历史增长 率、行业增长率</w:t>
            </w:r>
          </w:p>
        </w:tc>
      </w:tr>
      <w:tr>
        <w:trPr>
          <w:trHeight w:val="65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47"/>
              <w:jc w:val="left"/>
              <w:rPr>
                <w:rFonts w:ascii="宋体" w:hAnsi="宋体" w:cs="宋体" w:eastAsia="宋体" w:hint="default"/>
                <w:sz w:val="18"/>
                <w:szCs w:val="18"/>
              </w:rPr>
            </w:pPr>
            <w:r>
              <w:rPr>
                <w:rFonts w:ascii="宋体" w:hAnsi="宋体" w:cs="宋体" w:eastAsia="宋体" w:hint="default"/>
                <w:sz w:val="18"/>
                <w:szCs w:val="18"/>
              </w:rPr>
              <w:t>稳定期 增长率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38%-39%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71%-72%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25%-26%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39%-45%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19%-20%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7"/>
              <w:jc w:val="left"/>
              <w:rPr>
                <w:rFonts w:ascii="宋体" w:hAnsi="宋体" w:cs="宋体" w:eastAsia="宋体" w:hint="default"/>
                <w:sz w:val="18"/>
                <w:szCs w:val="18"/>
              </w:rPr>
            </w:pPr>
            <w:r>
              <w:rPr>
                <w:rFonts w:ascii="宋体" w:hAnsi="宋体" w:cs="宋体" w:eastAsia="宋体" w:hint="default"/>
                <w:sz w:val="18"/>
                <w:szCs w:val="18"/>
              </w:rPr>
              <w:t>参考历史毛利率 水平</w:t>
            </w:r>
          </w:p>
        </w:tc>
      </w:tr>
      <w:tr>
        <w:trPr>
          <w:trHeight w:val="96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税前折现率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11.21%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11.22%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10.56%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z w:val="18"/>
              </w:rPr>
              <w:t>9.89%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9.97%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z w:val="18"/>
              </w:rPr>
              <w:t>9.96%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7"/>
              <w:jc w:val="both"/>
              <w:rPr>
                <w:rFonts w:ascii="宋体" w:hAnsi="宋体" w:cs="宋体" w:eastAsia="宋体" w:hint="default"/>
                <w:sz w:val="18"/>
                <w:szCs w:val="18"/>
              </w:rPr>
            </w:pPr>
            <w:r>
              <w:rPr>
                <w:rFonts w:ascii="宋体" w:hAnsi="宋体" w:cs="宋体" w:eastAsia="宋体" w:hint="default"/>
                <w:sz w:val="18"/>
                <w:szCs w:val="18"/>
              </w:rPr>
              <w:t>按加权平均资本 成本 </w:t>
            </w:r>
            <w:r>
              <w:rPr>
                <w:rFonts w:ascii="Times New Roman" w:hAnsi="Times New Roman" w:cs="Times New Roman" w:eastAsia="Times New Roman" w:hint="default"/>
                <w:sz w:val="18"/>
                <w:szCs w:val="18"/>
              </w:rPr>
              <w:t>WACC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计 算得出</w:t>
            </w:r>
          </w:p>
        </w:tc>
      </w:tr>
    </w:tbl>
    <w:p>
      <w:pPr>
        <w:spacing w:line="240" w:lineRule="auto" w:before="4"/>
        <w:rPr>
          <w:rFonts w:ascii="宋体" w:hAnsi="宋体" w:cs="宋体" w:eastAsia="宋体" w:hint="default"/>
          <w:b/>
          <w:bCs/>
          <w:sz w:val="9"/>
          <w:szCs w:val="9"/>
        </w:rPr>
      </w:pPr>
    </w:p>
    <w:p>
      <w:pPr>
        <w:pStyle w:val="Heading5"/>
        <w:spacing w:line="240" w:lineRule="auto" w:before="44"/>
        <w:ind w:right="986"/>
        <w:jc w:val="left"/>
        <w:rPr>
          <w:b w:val="0"/>
          <w:bCs w:val="0"/>
        </w:rPr>
      </w:pPr>
      <w:r>
        <w:rPr/>
        <w:t>（</w:t>
      </w:r>
      <w:r>
        <w:rPr>
          <w:rFonts w:ascii="Times New Roman" w:hAnsi="Times New Roman" w:cs="Times New Roman" w:eastAsia="Times New Roman" w:hint="default"/>
        </w:rPr>
        <w:t>3</w:t>
      </w:r>
      <w:r>
        <w:rPr/>
        <w:t>）商誉减值损失的确认方法</w:t>
      </w:r>
      <w:r>
        <w:rPr>
          <w:b w:val="0"/>
          <w:bCs w:val="0"/>
        </w:rPr>
      </w:r>
    </w:p>
    <w:p>
      <w:pPr>
        <w:spacing w:line="240" w:lineRule="auto" w:before="9"/>
        <w:rPr>
          <w:rFonts w:ascii="宋体" w:hAnsi="宋体" w:cs="宋体" w:eastAsia="宋体" w:hint="default"/>
          <w:b/>
          <w:bCs/>
          <w:sz w:val="16"/>
          <w:szCs w:val="16"/>
        </w:rPr>
      </w:pPr>
    </w:p>
    <w:p>
      <w:pPr>
        <w:pStyle w:val="BodyText"/>
        <w:spacing w:line="316" w:lineRule="auto"/>
        <w:ind w:right="986" w:firstLine="360"/>
        <w:jc w:val="left"/>
      </w:pPr>
      <w:r>
        <w:rPr>
          <w:spacing w:val="-2"/>
        </w:rPr>
        <w:t>基于公司管理层对未来发展趋势的判断和经营规划，在未来预测能够实现的前提下，对包含商誉的资产组账面价值与预</w:t>
      </w:r>
      <w:r>
        <w:rPr/>
        <w:t> 计未来现金流量现值进行比较后确认商誉是否发生减值。</w:t>
      </w:r>
    </w:p>
    <w:p>
      <w:pPr>
        <w:pStyle w:val="BodyText"/>
        <w:spacing w:line="468" w:lineRule="exact" w:before="10"/>
        <w:ind w:left="513" w:right="986"/>
        <w:jc w:val="left"/>
      </w:pPr>
      <w:r>
        <w:rPr>
          <w:rFonts w:ascii="宋体" w:hAnsi="宋体" w:cs="宋体" w:eastAsia="宋体" w:hint="default"/>
          <w:b/>
          <w:bCs/>
        </w:rPr>
        <w:t>商誉减值测试的影响</w:t>
      </w:r>
      <w:r>
        <w:rPr>
          <w:rFonts w:ascii="宋体" w:hAnsi="宋体" w:cs="宋体" w:eastAsia="宋体" w:hint="default"/>
          <w:b/>
          <w:bCs/>
          <w:w w:val="99"/>
        </w:rPr>
        <w:t> </w:t>
      </w:r>
      <w:r>
        <w:rPr>
          <w:spacing w:val="-2"/>
        </w:rPr>
        <w:t>公司聘请评估机构对北京联银通科技有限公司、北京威锐达测控系统有限公司、深圳市至高通信技术发展有限公司、北</w:t>
      </w:r>
    </w:p>
    <w:p>
      <w:pPr>
        <w:pStyle w:val="BodyText"/>
        <w:spacing w:line="319" w:lineRule="auto" w:before="8"/>
        <w:ind w:right="1130"/>
        <w:jc w:val="both"/>
        <w:rPr>
          <w:rFonts w:ascii="Times New Roman" w:hAnsi="Times New Roman" w:cs="Times New Roman" w:eastAsia="Times New Roman" w:hint="default"/>
        </w:rPr>
      </w:pPr>
      <w:r>
        <w:rPr>
          <w:spacing w:val="-2"/>
        </w:rPr>
        <w:t>京东华万兴软件有限公司、北京中能博泰科技有限公司进行了商誉减值测试。公司对北京神州新桥科技有限公司、广东东华</w:t>
      </w:r>
      <w:r>
        <w:rPr>
          <w:spacing w:val="-62"/>
        </w:rPr>
        <w:t> </w:t>
      </w:r>
      <w:r>
        <w:rPr>
          <w:spacing w:val="-62"/>
        </w:rPr>
      </w:r>
      <w:r>
        <w:rPr>
          <w:spacing w:val="-2"/>
        </w:rPr>
        <w:t>发思特软件有限公司、微掌文科技（北京）有限公司、北京东华信息技术有限公司自行进行了商誉减值测试。经过商誉减值</w:t>
      </w:r>
      <w:r>
        <w:rPr>
          <w:spacing w:val="-65"/>
        </w:rPr>
        <w:t> </w:t>
      </w:r>
      <w:r>
        <w:rPr>
          <w:spacing w:val="-65"/>
        </w:rPr>
      </w:r>
      <w:r>
        <w:rPr>
          <w:spacing w:val="-1"/>
        </w:rPr>
        <w:t>测试后，公司本期对北京威锐达测控系统有限公司、深圳市至高通信技术发展有限公司分别计提商誉减值准备</w:t>
      </w:r>
      <w:r>
        <w:rPr>
          <w:rFonts w:ascii="Times New Roman" w:hAnsi="Times New Roman" w:cs="Times New Roman" w:eastAsia="Times New Roman" w:hint="default"/>
          <w:spacing w:val="-1"/>
        </w:rPr>
        <w:t>86,521,710.22</w:t>
      </w:r>
    </w:p>
    <w:p>
      <w:pPr>
        <w:spacing w:after="0" w:line="319" w:lineRule="auto"/>
        <w:jc w:val="both"/>
        <w:rPr>
          <w:rFonts w:ascii="Times New Roman" w:hAnsi="Times New Roman" w:cs="Times New Roman" w:eastAsia="Times New Roman" w:hint="default"/>
        </w:rPr>
        <w:sectPr>
          <w:pgSz w:w="11910" w:h="16840"/>
          <w:pgMar w:header="748"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986"/>
        <w:jc w:val="left"/>
      </w:pPr>
      <w:r>
        <w:rPr/>
        <w:t>元、</w:t>
      </w:r>
      <w:r>
        <w:rPr>
          <w:rFonts w:ascii="Times New Roman" w:hAnsi="Times New Roman" w:cs="Times New Roman" w:eastAsia="Times New Roman" w:hint="default"/>
        </w:rPr>
        <w:t>78,900,452.24</w:t>
      </w:r>
      <w:r>
        <w:rPr/>
        <w:t>元。具体情况为：</w:t>
      </w:r>
    </w:p>
    <w:p>
      <w:pPr>
        <w:spacing w:line="240" w:lineRule="auto" w:before="12"/>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1433"/>
        <w:gridCol w:w="1333"/>
        <w:gridCol w:w="1469"/>
        <w:gridCol w:w="1438"/>
        <w:gridCol w:w="1339"/>
        <w:gridCol w:w="1395"/>
        <w:gridCol w:w="1253"/>
      </w:tblGrid>
      <w:tr>
        <w:trPr>
          <w:trHeight w:val="341"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联银通</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60"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1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万兴新锐</w:t>
            </w:r>
          </w:p>
        </w:tc>
        <w:tc>
          <w:tcPr>
            <w:tcW w:w="1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33"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61" w:right="0"/>
              <w:jc w:val="left"/>
              <w:rPr>
                <w:rFonts w:ascii="宋体" w:hAnsi="宋体" w:cs="宋体" w:eastAsia="宋体" w:hint="default"/>
                <w:sz w:val="18"/>
                <w:szCs w:val="18"/>
              </w:rPr>
            </w:pPr>
            <w:r>
              <w:rPr>
                <w:rFonts w:ascii="宋体" w:hAnsi="宋体" w:cs="宋体" w:eastAsia="宋体" w:hint="default"/>
                <w:sz w:val="18"/>
                <w:szCs w:val="18"/>
              </w:rPr>
              <w:t>中能博泰</w:t>
            </w:r>
          </w:p>
        </w:tc>
      </w:tr>
      <w:tr>
        <w:trPr>
          <w:trHeight w:val="34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1"/>
              <w:jc w:val="center"/>
              <w:rPr>
                <w:rFonts w:ascii="宋体" w:hAnsi="宋体" w:cs="宋体" w:eastAsia="宋体" w:hint="default"/>
                <w:sz w:val="18"/>
                <w:szCs w:val="18"/>
              </w:rPr>
            </w:pPr>
            <w:r>
              <w:rPr>
                <w:rFonts w:ascii="宋体" w:hAnsi="宋体" w:cs="宋体" w:eastAsia="宋体" w:hint="default"/>
                <w:sz w:val="18"/>
                <w:szCs w:val="18"/>
              </w:rPr>
              <w:t>商誉账面余额①</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247,618,632.50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469,339,595.86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7" w:right="0"/>
              <w:jc w:val="left"/>
              <w:rPr>
                <w:rFonts w:ascii="Times New Roman" w:hAnsi="Times New Roman" w:cs="Times New Roman" w:eastAsia="Times New Roman" w:hint="default"/>
                <w:sz w:val="18"/>
                <w:szCs w:val="18"/>
              </w:rPr>
            </w:pPr>
            <w:r>
              <w:rPr>
                <w:rFonts w:ascii="Times New Roman"/>
                <w:sz w:val="18"/>
              </w:rPr>
              <w:t>565,135,229.20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151,607,495.56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225,266,979.44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4" w:right="0"/>
              <w:jc w:val="left"/>
              <w:rPr>
                <w:rFonts w:ascii="Times New Roman" w:hAnsi="Times New Roman" w:cs="Times New Roman" w:eastAsia="Times New Roman" w:hint="default"/>
                <w:sz w:val="18"/>
                <w:szCs w:val="18"/>
              </w:rPr>
            </w:pPr>
            <w:r>
              <w:rPr>
                <w:rFonts w:ascii="Times New Roman"/>
                <w:sz w:val="18"/>
              </w:rPr>
              <w:t>55,685,302.03</w:t>
            </w:r>
          </w:p>
        </w:tc>
      </w:tr>
      <w:tr>
        <w:trPr>
          <w:trHeight w:val="96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64"/>
                <w:sz w:val="18"/>
                <w:szCs w:val="18"/>
              </w:rPr>
              <w:t> </w:t>
            </w:r>
            <w:r>
              <w:rPr>
                <w:rFonts w:ascii="宋体" w:hAnsi="宋体" w:cs="宋体" w:eastAsia="宋体" w:hint="default"/>
                <w:sz w:val="18"/>
                <w:szCs w:val="18"/>
              </w:rPr>
              <w:t>确</w:t>
            </w:r>
            <w:r>
              <w:rPr>
                <w:rFonts w:ascii="宋体" w:hAnsi="宋体" w:cs="宋体" w:eastAsia="宋体" w:hint="default"/>
                <w:spacing w:val="-64"/>
                <w:sz w:val="18"/>
                <w:szCs w:val="18"/>
              </w:rPr>
              <w:t> </w:t>
            </w:r>
            <w:r>
              <w:rPr>
                <w:rFonts w:ascii="宋体" w:hAnsi="宋体" w:cs="宋体" w:eastAsia="宋体" w:hint="default"/>
                <w:sz w:val="18"/>
                <w:szCs w:val="18"/>
              </w:rPr>
              <w:t>认</w:t>
            </w:r>
            <w:r>
              <w:rPr>
                <w:rFonts w:ascii="宋体" w:hAnsi="宋体" w:cs="宋体" w:eastAsia="宋体" w:hint="default"/>
                <w:spacing w:val="-67"/>
                <w:sz w:val="18"/>
                <w:szCs w:val="18"/>
              </w:rPr>
              <w:t> </w:t>
            </w:r>
            <w:r>
              <w:rPr>
                <w:rFonts w:ascii="宋体" w:hAnsi="宋体" w:cs="宋体" w:eastAsia="宋体" w:hint="default"/>
                <w:sz w:val="18"/>
                <w:szCs w:val="18"/>
              </w:rPr>
              <w:t>归</w:t>
            </w:r>
            <w:r>
              <w:rPr>
                <w:rFonts w:ascii="宋体" w:hAnsi="宋体" w:cs="宋体" w:eastAsia="宋体" w:hint="default"/>
                <w:spacing w:val="-64"/>
                <w:sz w:val="18"/>
                <w:szCs w:val="18"/>
              </w:rPr>
              <w:t> </w:t>
            </w:r>
            <w:r>
              <w:rPr>
                <w:rFonts w:ascii="宋体" w:hAnsi="宋体" w:cs="宋体" w:eastAsia="宋体" w:hint="default"/>
                <w:sz w:val="18"/>
                <w:szCs w:val="18"/>
              </w:rPr>
              <w:t>属</w:t>
            </w:r>
            <w:r>
              <w:rPr>
                <w:rFonts w:ascii="宋体" w:hAnsi="宋体" w:cs="宋体" w:eastAsia="宋体" w:hint="default"/>
                <w:spacing w:val="-67"/>
                <w:sz w:val="18"/>
                <w:szCs w:val="18"/>
              </w:rPr>
              <w:t> </w:t>
            </w: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宋体" w:hAnsi="宋体" w:cs="宋体" w:eastAsia="宋体" w:hint="default"/>
                <w:sz w:val="18"/>
                <w:szCs w:val="18"/>
              </w:rPr>
              <w:t>少</w:t>
            </w:r>
            <w:r>
              <w:rPr>
                <w:rFonts w:ascii="宋体" w:hAnsi="宋体" w:cs="宋体" w:eastAsia="宋体" w:hint="default"/>
                <w:sz w:val="18"/>
                <w:szCs w:val="18"/>
              </w:rPr>
              <w:t> 数</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权</w:t>
            </w:r>
            <w:r>
              <w:rPr>
                <w:rFonts w:ascii="宋体" w:hAnsi="宋体" w:cs="宋体" w:eastAsia="宋体" w:hint="default"/>
                <w:spacing w:val="-64"/>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商</w:t>
            </w:r>
            <w:r>
              <w:rPr>
                <w:rFonts w:ascii="宋体" w:hAnsi="宋体" w:cs="宋体" w:eastAsia="宋体" w:hint="default"/>
                <w:sz w:val="18"/>
                <w:szCs w:val="18"/>
              </w:rPr>
              <w:t> 誉金额②</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145,662,103.58</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04" w:right="0"/>
              <w:jc w:val="left"/>
              <w:rPr>
                <w:rFonts w:ascii="Times New Roman" w:hAnsi="Times New Roman" w:cs="Times New Roman" w:eastAsia="Times New Roman" w:hint="default"/>
                <w:sz w:val="18"/>
                <w:szCs w:val="18"/>
              </w:rPr>
            </w:pPr>
            <w:r>
              <w:rPr>
                <w:rFonts w:ascii="Times New Roman"/>
                <w:sz w:val="18"/>
              </w:rPr>
              <w:t>22,916,295.87</w:t>
            </w:r>
          </w:p>
        </w:tc>
      </w:tr>
      <w:tr>
        <w:trPr>
          <w:trHeight w:val="12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4"/>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4"/>
                <w:sz w:val="18"/>
                <w:szCs w:val="18"/>
              </w:rPr>
              <w:t> </w:t>
            </w:r>
            <w:r>
              <w:rPr>
                <w:rFonts w:ascii="宋体" w:hAnsi="宋体" w:cs="宋体" w:eastAsia="宋体" w:hint="default"/>
                <w:sz w:val="18"/>
                <w:szCs w:val="18"/>
              </w:rPr>
              <w:t>含</w:t>
            </w:r>
            <w:r>
              <w:rPr>
                <w:rFonts w:ascii="宋体" w:hAnsi="宋体" w:cs="宋体" w:eastAsia="宋体" w:hint="default"/>
                <w:spacing w:val="-64"/>
                <w:sz w:val="18"/>
                <w:szCs w:val="18"/>
              </w:rPr>
              <w:t> </w:t>
            </w:r>
            <w:r>
              <w:rPr>
                <w:rFonts w:ascii="宋体" w:hAnsi="宋体" w:cs="宋体" w:eastAsia="宋体" w:hint="default"/>
                <w:sz w:val="18"/>
                <w:szCs w:val="18"/>
              </w:rPr>
              <w:t>未</w:t>
            </w:r>
            <w:r>
              <w:rPr>
                <w:rFonts w:ascii="宋体" w:hAnsi="宋体" w:cs="宋体" w:eastAsia="宋体" w:hint="default"/>
                <w:spacing w:val="-67"/>
                <w:sz w:val="18"/>
                <w:szCs w:val="18"/>
              </w:rPr>
              <w:t> </w:t>
            </w:r>
            <w:r>
              <w:rPr>
                <w:rFonts w:ascii="宋体" w:hAnsi="宋体" w:cs="宋体" w:eastAsia="宋体" w:hint="default"/>
                <w:sz w:val="18"/>
                <w:szCs w:val="18"/>
              </w:rPr>
              <w:t>确</w:t>
            </w:r>
            <w:r>
              <w:rPr>
                <w:rFonts w:ascii="宋体" w:hAnsi="宋体" w:cs="宋体" w:eastAsia="宋体" w:hint="default"/>
                <w:spacing w:val="-64"/>
                <w:sz w:val="18"/>
                <w:szCs w:val="18"/>
              </w:rPr>
              <w:t> </w:t>
            </w:r>
            <w:r>
              <w:rPr>
                <w:rFonts w:ascii="宋体" w:hAnsi="宋体" w:cs="宋体" w:eastAsia="宋体" w:hint="default"/>
                <w:sz w:val="18"/>
                <w:szCs w:val="18"/>
              </w:rPr>
              <w:t>认</w:t>
            </w:r>
            <w:r>
              <w:rPr>
                <w:rFonts w:ascii="宋体" w:hAnsi="宋体" w:cs="宋体" w:eastAsia="宋体" w:hint="default"/>
                <w:spacing w:val="-67"/>
                <w:sz w:val="18"/>
                <w:szCs w:val="18"/>
              </w:rPr>
              <w:t> </w:t>
            </w:r>
            <w:r>
              <w:rPr>
                <w:rFonts w:ascii="宋体" w:hAnsi="宋体" w:cs="宋体" w:eastAsia="宋体" w:hint="default"/>
                <w:sz w:val="18"/>
                <w:szCs w:val="18"/>
              </w:rPr>
              <w:t>归</w:t>
            </w:r>
            <w:r>
              <w:rPr>
                <w:rFonts w:ascii="宋体" w:hAnsi="宋体" w:cs="宋体" w:eastAsia="宋体" w:hint="default"/>
                <w:spacing w:val="-64"/>
                <w:sz w:val="18"/>
                <w:szCs w:val="18"/>
              </w:rPr>
              <w:t> </w:t>
            </w:r>
            <w:r>
              <w:rPr>
                <w:rFonts w:ascii="宋体" w:hAnsi="宋体" w:cs="宋体" w:eastAsia="宋体" w:hint="default"/>
                <w:sz w:val="18"/>
                <w:szCs w:val="18"/>
              </w:rPr>
              <w:t>属</w:t>
            </w:r>
            <w:r>
              <w:rPr>
                <w:rFonts w:ascii="宋体" w:hAnsi="宋体" w:cs="宋体" w:eastAsia="宋体" w:hint="default"/>
                <w:sz w:val="18"/>
                <w:szCs w:val="18"/>
              </w:rPr>
              <w:t> 于</w:t>
            </w:r>
            <w:r>
              <w:rPr>
                <w:rFonts w:ascii="宋体" w:hAnsi="宋体" w:cs="宋体" w:eastAsia="宋体" w:hint="default"/>
                <w:spacing w:val="-64"/>
                <w:sz w:val="18"/>
                <w:szCs w:val="18"/>
              </w:rPr>
              <w:t> </w:t>
            </w:r>
            <w:r>
              <w:rPr>
                <w:rFonts w:ascii="宋体" w:hAnsi="宋体" w:cs="宋体" w:eastAsia="宋体" w:hint="default"/>
                <w:sz w:val="18"/>
                <w:szCs w:val="18"/>
              </w:rPr>
              <w:t>少</w:t>
            </w:r>
            <w:r>
              <w:rPr>
                <w:rFonts w:ascii="宋体" w:hAnsi="宋体" w:cs="宋体" w:eastAsia="宋体" w:hint="default"/>
                <w:spacing w:val="-64"/>
                <w:sz w:val="18"/>
                <w:szCs w:val="18"/>
              </w:rPr>
              <w:t> </w:t>
            </w:r>
            <w:r>
              <w:rPr>
                <w:rFonts w:ascii="宋体" w:hAnsi="宋体" w:cs="宋体" w:eastAsia="宋体" w:hint="default"/>
                <w:sz w:val="18"/>
                <w:szCs w:val="18"/>
              </w:rPr>
              <w:t>数</w:t>
            </w:r>
            <w:r>
              <w:rPr>
                <w:rFonts w:ascii="宋体" w:hAnsi="宋体" w:cs="宋体" w:eastAsia="宋体" w:hint="default"/>
                <w:spacing w:val="-67"/>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pacing w:val="-67"/>
                <w:sz w:val="18"/>
                <w:szCs w:val="18"/>
              </w:rPr>
              <w:t> </w:t>
            </w:r>
            <w:r>
              <w:rPr>
                <w:rFonts w:ascii="宋体" w:hAnsi="宋体" w:cs="宋体" w:eastAsia="宋体" w:hint="default"/>
                <w:sz w:val="18"/>
                <w:szCs w:val="18"/>
              </w:rPr>
              <w:t>权</w:t>
            </w:r>
            <w:r>
              <w:rPr>
                <w:rFonts w:ascii="宋体" w:hAnsi="宋体" w:cs="宋体" w:eastAsia="宋体" w:hint="default"/>
                <w:spacing w:val="-64"/>
                <w:sz w:val="18"/>
                <w:szCs w:val="18"/>
              </w:rPr>
              <w:t> </w:t>
            </w:r>
            <w:r>
              <w:rPr>
                <w:rFonts w:ascii="宋体" w:hAnsi="宋体" w:cs="宋体" w:eastAsia="宋体" w:hint="default"/>
                <w:sz w:val="18"/>
                <w:szCs w:val="18"/>
              </w:rPr>
              <w:t>益</w:t>
            </w:r>
            <w:r>
              <w:rPr>
                <w:rFonts w:ascii="宋体" w:hAnsi="宋体" w:cs="宋体" w:eastAsia="宋体" w:hint="default"/>
                <w:sz w:val="18"/>
                <w:szCs w:val="18"/>
              </w:rPr>
              <w:t> </w:t>
            </w:r>
            <w:r>
              <w:rPr>
                <w:rFonts w:ascii="宋体" w:hAnsi="宋体" w:cs="宋体" w:eastAsia="宋体" w:hint="default"/>
                <w:spacing w:val="6"/>
                <w:sz w:val="18"/>
                <w:szCs w:val="18"/>
              </w:rPr>
              <w:t>的商誉余额③</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①</w:t>
            </w:r>
          </w:p>
          <w:p>
            <w:pPr>
              <w:pStyle w:val="TableParagraph"/>
              <w:spacing w:line="248" w:lineRule="exact"/>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247,618,632.50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469,339,595.86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565,135,229.20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297,269,599.14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225,266,979.44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78,601,597.90</w:t>
            </w:r>
          </w:p>
        </w:tc>
      </w:tr>
      <w:tr>
        <w:trPr>
          <w:trHeight w:val="65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组</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7"/>
                <w:sz w:val="18"/>
                <w:szCs w:val="18"/>
              </w:rPr>
              <w:t> </w:t>
            </w:r>
            <w:r>
              <w:rPr>
                <w:rFonts w:ascii="宋体" w:hAnsi="宋体" w:cs="宋体" w:eastAsia="宋体" w:hint="default"/>
                <w:sz w:val="18"/>
                <w:szCs w:val="18"/>
              </w:rPr>
              <w:t>面</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z w:val="18"/>
                <w:szCs w:val="18"/>
              </w:rPr>
              <w:t> 值④</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9,235,918.25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657,919.52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11,080,647.04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36,808.95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26,347,904.26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1,505,321.50</w:t>
            </w:r>
          </w:p>
        </w:tc>
      </w:tr>
      <w:tr>
        <w:trPr>
          <w:trHeight w:val="96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4"/>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4"/>
                <w:sz w:val="18"/>
                <w:szCs w:val="18"/>
              </w:rPr>
              <w:t> </w:t>
            </w:r>
            <w:r>
              <w:rPr>
                <w:rFonts w:ascii="宋体" w:hAnsi="宋体" w:cs="宋体" w:eastAsia="宋体" w:hint="default"/>
                <w:sz w:val="18"/>
                <w:szCs w:val="18"/>
              </w:rPr>
              <w:t>含</w:t>
            </w:r>
            <w:r>
              <w:rPr>
                <w:rFonts w:ascii="宋体" w:hAnsi="宋体" w:cs="宋体" w:eastAsia="宋体" w:hint="default"/>
                <w:spacing w:val="-64"/>
                <w:sz w:val="18"/>
                <w:szCs w:val="18"/>
              </w:rPr>
              <w:t> </w:t>
            </w:r>
            <w:r>
              <w:rPr>
                <w:rFonts w:ascii="宋体" w:hAnsi="宋体" w:cs="宋体" w:eastAsia="宋体" w:hint="default"/>
                <w:sz w:val="18"/>
                <w:szCs w:val="18"/>
              </w:rPr>
              <w:t>整</w:t>
            </w:r>
            <w:r>
              <w:rPr>
                <w:rFonts w:ascii="宋体" w:hAnsi="宋体" w:cs="宋体" w:eastAsia="宋体" w:hint="default"/>
                <w:spacing w:val="-67"/>
                <w:sz w:val="18"/>
                <w:szCs w:val="18"/>
              </w:rPr>
              <w:t> </w:t>
            </w:r>
            <w:r>
              <w:rPr>
                <w:rFonts w:ascii="宋体" w:hAnsi="宋体" w:cs="宋体" w:eastAsia="宋体" w:hint="default"/>
                <w:sz w:val="18"/>
                <w:szCs w:val="18"/>
              </w:rPr>
              <w:t>体</w:t>
            </w:r>
            <w:r>
              <w:rPr>
                <w:rFonts w:ascii="宋体" w:hAnsi="宋体" w:cs="宋体" w:eastAsia="宋体" w:hint="default"/>
                <w:spacing w:val="-64"/>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誉</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z w:val="18"/>
                <w:szCs w:val="18"/>
              </w:rPr>
              <w:t> 资</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组</w:t>
            </w:r>
            <w:r>
              <w:rPr>
                <w:rFonts w:ascii="宋体" w:hAnsi="宋体" w:cs="宋体" w:eastAsia="宋体" w:hint="default"/>
                <w:spacing w:val="-67"/>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面</w:t>
            </w:r>
            <w:r>
              <w:rPr>
                <w:rFonts w:ascii="宋体" w:hAnsi="宋体" w:cs="宋体" w:eastAsia="宋体" w:hint="default"/>
                <w:spacing w:val="-67"/>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z w:val="18"/>
                <w:szCs w:val="18"/>
              </w:rPr>
              <w:t>值</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3"/>
              <w:jc w:val="right"/>
              <w:rPr>
                <w:rFonts w:ascii="Times New Roman" w:hAnsi="Times New Roman" w:cs="Times New Roman" w:eastAsia="Times New Roman" w:hint="default"/>
                <w:sz w:val="18"/>
                <w:szCs w:val="18"/>
              </w:rPr>
            </w:pPr>
            <w:r>
              <w:rPr>
                <w:rFonts w:ascii="Times New Roman"/>
                <w:spacing w:val="-1"/>
                <w:sz w:val="18"/>
              </w:rPr>
              <w:t>256,854,550.75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
              <w:jc w:val="right"/>
              <w:rPr>
                <w:rFonts w:ascii="Times New Roman" w:hAnsi="Times New Roman" w:cs="Times New Roman" w:eastAsia="Times New Roman" w:hint="default"/>
                <w:sz w:val="18"/>
                <w:szCs w:val="18"/>
              </w:rPr>
            </w:pPr>
            <w:r>
              <w:rPr>
                <w:rFonts w:ascii="Times New Roman"/>
                <w:spacing w:val="-1"/>
                <w:sz w:val="18"/>
              </w:rPr>
              <w:t>469,997,515.38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97" w:right="0"/>
              <w:jc w:val="left"/>
              <w:rPr>
                <w:rFonts w:ascii="Times New Roman" w:hAnsi="Times New Roman" w:cs="Times New Roman" w:eastAsia="Times New Roman" w:hint="default"/>
                <w:sz w:val="18"/>
                <w:szCs w:val="18"/>
              </w:rPr>
            </w:pPr>
            <w:r>
              <w:rPr>
                <w:rFonts w:ascii="Times New Roman"/>
                <w:sz w:val="18"/>
              </w:rPr>
              <w:t>576,215,876.24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right"/>
              <w:rPr>
                <w:rFonts w:ascii="Times New Roman" w:hAnsi="Times New Roman" w:cs="Times New Roman" w:eastAsia="Times New Roman" w:hint="default"/>
                <w:sz w:val="18"/>
                <w:szCs w:val="18"/>
              </w:rPr>
            </w:pPr>
            <w:r>
              <w:rPr>
                <w:rFonts w:ascii="Times New Roman"/>
                <w:spacing w:val="-1"/>
                <w:sz w:val="18"/>
              </w:rPr>
              <w:t>297,306,408.09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251,614,883.70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04" w:right="0"/>
              <w:jc w:val="left"/>
              <w:rPr>
                <w:rFonts w:ascii="Times New Roman" w:hAnsi="Times New Roman" w:cs="Times New Roman" w:eastAsia="Times New Roman" w:hint="default"/>
                <w:sz w:val="18"/>
                <w:szCs w:val="18"/>
              </w:rPr>
            </w:pPr>
            <w:r>
              <w:rPr>
                <w:rFonts w:ascii="Times New Roman"/>
                <w:sz w:val="18"/>
              </w:rPr>
              <w:t>80,106,919.40</w:t>
            </w:r>
          </w:p>
        </w:tc>
      </w:tr>
      <w:tr>
        <w:trPr>
          <w:trHeight w:val="96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组</w:t>
            </w:r>
            <w:r>
              <w:rPr>
                <w:rFonts w:ascii="宋体" w:hAnsi="宋体" w:cs="宋体" w:eastAsia="宋体" w:hint="default"/>
                <w:spacing w:val="-67"/>
                <w:sz w:val="18"/>
                <w:szCs w:val="18"/>
              </w:rPr>
              <w:t> </w:t>
            </w:r>
            <w:r>
              <w:rPr>
                <w:rFonts w:ascii="宋体" w:hAnsi="宋体" w:cs="宋体" w:eastAsia="宋体" w:hint="default"/>
                <w:sz w:val="18"/>
                <w:szCs w:val="18"/>
              </w:rPr>
              <w:t>预</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未</w:t>
            </w:r>
            <w:r>
              <w:rPr>
                <w:rFonts w:ascii="宋体" w:hAnsi="宋体" w:cs="宋体" w:eastAsia="宋体" w:hint="default"/>
                <w:spacing w:val="-64"/>
                <w:sz w:val="18"/>
                <w:szCs w:val="18"/>
              </w:rPr>
              <w:t> </w:t>
            </w:r>
            <w:r>
              <w:rPr>
                <w:rFonts w:ascii="宋体" w:hAnsi="宋体" w:cs="宋体" w:eastAsia="宋体" w:hint="default"/>
                <w:sz w:val="18"/>
                <w:szCs w:val="18"/>
              </w:rPr>
              <w:t>来</w:t>
            </w:r>
            <w:r>
              <w:rPr>
                <w:rFonts w:ascii="宋体" w:hAnsi="宋体" w:cs="宋体" w:eastAsia="宋体" w:hint="default"/>
                <w:sz w:val="18"/>
                <w:szCs w:val="18"/>
              </w:rPr>
              <w:t> 现</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z w:val="18"/>
                <w:szCs w:val="18"/>
              </w:rPr>
              <w:t>量</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现</w:t>
            </w:r>
            <w:r>
              <w:rPr>
                <w:rFonts w:ascii="宋体" w:hAnsi="宋体" w:cs="宋体" w:eastAsia="宋体" w:hint="default"/>
                <w:spacing w:val="-64"/>
                <w:sz w:val="18"/>
                <w:szCs w:val="18"/>
              </w:rPr>
              <w:t> </w:t>
            </w:r>
            <w:r>
              <w:rPr>
                <w:rFonts w:ascii="宋体" w:hAnsi="宋体" w:cs="宋体" w:eastAsia="宋体" w:hint="default"/>
                <w:sz w:val="18"/>
                <w:szCs w:val="18"/>
              </w:rPr>
              <w:t>值</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可收回金额</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391,400,000.00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121,300,000.00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88" w:right="0"/>
              <w:jc w:val="left"/>
              <w:rPr>
                <w:rFonts w:ascii="Times New Roman" w:hAnsi="Times New Roman" w:cs="Times New Roman" w:eastAsia="Times New Roman" w:hint="default"/>
                <w:sz w:val="18"/>
                <w:szCs w:val="18"/>
              </w:rPr>
            </w:pPr>
            <w:r>
              <w:rPr>
                <w:rFonts w:ascii="Times New Roman"/>
                <w:sz w:val="18"/>
              </w:rPr>
              <w:t>85,100,000.00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33,700,000.00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427,100,000.00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04" w:right="0"/>
              <w:jc w:val="left"/>
              <w:rPr>
                <w:rFonts w:ascii="Times New Roman" w:hAnsi="Times New Roman" w:cs="Times New Roman" w:eastAsia="Times New Roman" w:hint="default"/>
                <w:sz w:val="18"/>
                <w:szCs w:val="18"/>
              </w:rPr>
            </w:pPr>
            <w:r>
              <w:rPr>
                <w:rFonts w:ascii="Times New Roman"/>
                <w:sz w:val="18"/>
              </w:rPr>
              <w:t>81,200,000.00</w:t>
            </w:r>
          </w:p>
        </w:tc>
      </w:tr>
      <w:tr>
        <w:trPr>
          <w:trHeight w:val="65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5"/>
              <w:jc w:val="left"/>
              <w:rPr>
                <w:rFonts w:ascii="宋体" w:hAnsi="宋体" w:cs="宋体" w:eastAsia="宋体" w:hint="default"/>
                <w:sz w:val="18"/>
                <w:szCs w:val="18"/>
              </w:rPr>
            </w:pPr>
            <w:r>
              <w:rPr>
                <w:rFonts w:ascii="宋体" w:hAnsi="宋体" w:cs="宋体" w:eastAsia="宋体" w:hint="default"/>
                <w:spacing w:val="-4"/>
                <w:sz w:val="18"/>
                <w:szCs w:val="18"/>
              </w:rPr>
              <w:t>商誉减值损失（大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348,697,515.38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491,115,876.24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263,606,408.09</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归</w:t>
            </w:r>
            <w:r>
              <w:rPr>
                <w:rFonts w:ascii="宋体" w:hAnsi="宋体" w:cs="宋体" w:eastAsia="宋体" w:hint="default"/>
                <w:spacing w:val="-64"/>
                <w:sz w:val="18"/>
                <w:szCs w:val="18"/>
              </w:rPr>
              <w:t> </w:t>
            </w:r>
            <w:r>
              <w:rPr>
                <w:rFonts w:ascii="宋体" w:hAnsi="宋体" w:cs="宋体" w:eastAsia="宋体" w:hint="default"/>
                <w:sz w:val="18"/>
                <w:szCs w:val="18"/>
              </w:rPr>
              <w:t>属</w:t>
            </w:r>
            <w:r>
              <w:rPr>
                <w:rFonts w:ascii="宋体" w:hAnsi="宋体" w:cs="宋体" w:eastAsia="宋体" w:hint="default"/>
                <w:spacing w:val="-64"/>
                <w:sz w:val="18"/>
                <w:szCs w:val="18"/>
              </w:rPr>
              <w:t> </w:t>
            </w:r>
            <w:r>
              <w:rPr>
                <w:rFonts w:ascii="宋体" w:hAnsi="宋体" w:cs="宋体" w:eastAsia="宋体" w:hint="default"/>
                <w:sz w:val="18"/>
                <w:szCs w:val="18"/>
              </w:rPr>
              <w:t>于</w:t>
            </w:r>
            <w:r>
              <w:rPr>
                <w:rFonts w:ascii="宋体" w:hAnsi="宋体" w:cs="宋体" w:eastAsia="宋体" w:hint="default"/>
                <w:spacing w:val="-67"/>
                <w:sz w:val="18"/>
                <w:szCs w:val="18"/>
              </w:rPr>
              <w:t> </w:t>
            </w:r>
            <w:r>
              <w:rPr>
                <w:rFonts w:ascii="宋体" w:hAnsi="宋体" w:cs="宋体" w:eastAsia="宋体" w:hint="default"/>
                <w:sz w:val="18"/>
                <w:szCs w:val="18"/>
              </w:rPr>
              <w:t>母</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z w:val="18"/>
                <w:szCs w:val="18"/>
              </w:rPr>
              <w:t> 商誉减值损失⑧</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348,697,515.38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491,115,876.24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134,439,268.13</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4" w:right="4"/>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前</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pacing w:val="-64"/>
                <w:sz w:val="18"/>
                <w:szCs w:val="18"/>
              </w:rPr>
              <w:t> </w:t>
            </w:r>
            <w:r>
              <w:rPr>
                <w:rFonts w:ascii="宋体" w:hAnsi="宋体" w:cs="宋体" w:eastAsia="宋体" w:hint="default"/>
                <w:sz w:val="18"/>
                <w:szCs w:val="18"/>
              </w:rPr>
              <w:t>已</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z w:val="18"/>
                <w:szCs w:val="18"/>
              </w:rPr>
              <w:t> 商誉减值损失⑨</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73,621,036.39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262,175,805.16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412,215,424.00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135,554,300.30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7"/>
                <w:sz w:val="18"/>
                <w:szCs w:val="18"/>
              </w:rPr>
              <w:t> </w:t>
            </w:r>
            <w:r>
              <w:rPr>
                <w:rFonts w:ascii="宋体" w:hAnsi="宋体" w:cs="宋体" w:eastAsia="宋体" w:hint="default"/>
                <w:sz w:val="18"/>
                <w:szCs w:val="18"/>
              </w:rPr>
              <w:t>商</w:t>
            </w:r>
            <w:r>
              <w:rPr>
                <w:rFonts w:ascii="宋体" w:hAnsi="宋体" w:cs="宋体" w:eastAsia="宋体" w:hint="default"/>
                <w:spacing w:val="-64"/>
                <w:sz w:val="18"/>
                <w:szCs w:val="18"/>
              </w:rPr>
              <w:t> </w:t>
            </w:r>
            <w:r>
              <w:rPr>
                <w:rFonts w:ascii="宋体" w:hAnsi="宋体" w:cs="宋体" w:eastAsia="宋体" w:hint="default"/>
                <w:sz w:val="18"/>
                <w:szCs w:val="18"/>
              </w:rPr>
              <w:t>誉</w:t>
            </w:r>
            <w:r>
              <w:rPr>
                <w:rFonts w:ascii="宋体" w:hAnsi="宋体" w:cs="宋体" w:eastAsia="宋体" w:hint="default"/>
                <w:sz w:val="18"/>
                <w:szCs w:val="18"/>
              </w:rPr>
              <w:t> 减值损失⑩</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86,521,710.22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78,900,452.24</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3,671,997.77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2,433,254.65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1,451,322.06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4,653,930.36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3,671,997.77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2,433,254.65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1,451,322.06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4,653,930.36</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606,749,373.71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63,864,189.37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559,054,069.26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61,307,909.08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4,815,704.24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721,217.83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16,145,230.04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3,027,707.36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8,672,289.52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1,300,843.42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10,998,038.92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1,662,093.13</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其他非流动金融资产公 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22,768,579.05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2,276,857.91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33,375,464.76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3,337,546.48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643,005,946.52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68,163,108.53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619,572,802.98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69,335,256.05</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2,771,770.00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415,765.50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12,991,661.34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1,948,749.20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收购少数股东股权形成 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其他非流动金融资产公 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121,445,335.24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12,144,533.52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113,370,986.49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11,337,098.65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124,218,463.37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12,560,434.83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126,364,005.96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13,285,983.66</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68,163,108.53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69,335,256.05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12,560,434.83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13,285,983.66</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169,188,798.87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20,545,973.22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936,493,887.46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605,995,411.66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1,105,682,686.33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626,541,384.88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30,508,309.97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83,963,748.12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86,772,558.96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148,904,971.82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139,657,328.22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146,005,667.94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116,796,907.07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227,940,585.98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232,260,307.44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329,678,913.60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936,493,887.46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605,995,411.66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是否已执行新收入准则</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99,800.00</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69,696,443.85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358,328,517.00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440,947,968.86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1,317,432,348.11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769,301,201.91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保证及质押借款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短期贸易融资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323,063,392.04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346,011,106.71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2,072,520,701.00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1,845,260,277.48</w:t>
            </w:r>
          </w:p>
        </w:tc>
      </w:tr>
    </w:tbl>
    <w:p>
      <w:pPr>
        <w:pStyle w:val="BodyText"/>
        <w:spacing w:line="240" w:lineRule="auto" w:before="49"/>
        <w:ind w:right="986"/>
        <w:jc w:val="left"/>
      </w:pPr>
      <w:r>
        <w:rPr/>
        <w:t>短期借款分类的说明：</w:t>
      </w:r>
    </w:p>
    <w:p>
      <w:pPr>
        <w:spacing w:line="240" w:lineRule="auto" w:before="12"/>
        <w:rPr>
          <w:rFonts w:ascii="宋体" w:hAnsi="宋体" w:cs="宋体" w:eastAsia="宋体" w:hint="default"/>
          <w:sz w:val="17"/>
          <w:szCs w:val="17"/>
        </w:rPr>
      </w:pPr>
    </w:p>
    <w:p>
      <w:pPr>
        <w:pStyle w:val="BodyText"/>
        <w:spacing w:line="300" w:lineRule="auto"/>
        <w:ind w:right="1132" w:firstLine="360"/>
        <w:jc w:val="both"/>
      </w:pPr>
      <w:r>
        <w:rPr>
          <w:rFonts w:ascii="Times New Roman" w:hAnsi="Times New Roman" w:cs="Times New Roman" w:eastAsia="Times New Roman" w:hint="default"/>
          <w:spacing w:val="-1"/>
        </w:rPr>
        <w:t>1.2019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11</w:t>
      </w:r>
      <w:r>
        <w:rPr>
          <w:spacing w:val="-1"/>
        </w:rPr>
        <w:t>日，公司所属子公司</w:t>
      </w:r>
      <w:r>
        <w:rPr>
          <w:rFonts w:ascii="Times New Roman" w:hAnsi="Times New Roman" w:cs="Times New Roman" w:eastAsia="Times New Roman" w:hint="default"/>
          <w:spacing w:val="-1"/>
        </w:rPr>
        <w:t>-</w:t>
      </w:r>
      <w:r>
        <w:rPr>
          <w:spacing w:val="-1"/>
        </w:rPr>
        <w:t>北京神州新桥科技有限公司与星展银行签订信贷额度协议，最高应付账款融资额度</w:t>
      </w:r>
      <w:r>
        <w:rPr/>
        <w:t> 合计人民币壹亿元，同时，双方签订《最高额应收账款质押合同》（编号</w:t>
      </w:r>
      <w:r>
        <w:rPr>
          <w:rFonts w:ascii="Times New Roman" w:hAnsi="Times New Roman" w:cs="Times New Roman" w:eastAsia="Times New Roman" w:hint="default"/>
        </w:rPr>
        <w:t>“AR/SZ/20190904</w:t>
      </w:r>
      <w:r>
        <w:rPr>
          <w:rFonts w:ascii="Times New Roman" w:hAnsi="Times New Roman" w:cs="Times New Roman" w:eastAsia="Times New Roman" w:hint="default"/>
        </w:rPr>
        <w:t>-</w:t>
      </w:r>
      <w:r>
        <w:rPr>
          <w:rFonts w:ascii="Times New Roman" w:hAnsi="Times New Roman" w:cs="Times New Roman" w:eastAsia="Times New Roman" w:hint="default"/>
        </w:rPr>
        <w:t>01”</w:t>
      </w:r>
      <w:r>
        <w:rPr/>
        <w:t>），质押的应收账款最高债</w:t>
      </w:r>
      <w:r>
        <w:rPr>
          <w:w w:val="100"/>
        </w:rPr>
        <w:t> </w:t>
      </w:r>
      <w:r>
        <w:rPr/>
        <w:t>权额度为人民币壹亿元。截至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日，北京神州新桥科技有限公司在该合同项下的借款余额为</w:t>
      </w:r>
      <w:r>
        <w:rPr>
          <w:rFonts w:ascii="Times New Roman" w:hAnsi="Times New Roman" w:cs="Times New Roman" w:eastAsia="Times New Roman" w:hint="default"/>
        </w:rPr>
        <w:t>69,696,443.85</w:t>
      </w:r>
      <w:r>
        <w:rPr/>
        <w:t>元。</w:t>
      </w:r>
    </w:p>
    <w:p>
      <w:pPr>
        <w:spacing w:line="240" w:lineRule="auto" w:before="12"/>
        <w:rPr>
          <w:rFonts w:ascii="宋体" w:hAnsi="宋体" w:cs="宋体" w:eastAsia="宋体" w:hint="default"/>
          <w:sz w:val="12"/>
          <w:szCs w:val="12"/>
        </w:rPr>
      </w:pPr>
    </w:p>
    <w:p>
      <w:pPr>
        <w:pStyle w:val="BodyText"/>
        <w:spacing w:line="240" w:lineRule="auto"/>
        <w:ind w:left="513" w:right="986"/>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日，公司所属子公司</w:t>
      </w:r>
      <w:r>
        <w:rPr>
          <w:rFonts w:ascii="Times New Roman" w:hAnsi="Times New Roman" w:cs="Times New Roman" w:eastAsia="Times New Roman" w:hint="default"/>
        </w:rPr>
        <w:t>-</w:t>
      </w:r>
      <w:r>
        <w:rPr/>
        <w:t>北京神州新桥科技有限公司借款余额</w:t>
      </w:r>
      <w:r>
        <w:rPr>
          <w:rFonts w:ascii="Times New Roman" w:hAnsi="Times New Roman" w:cs="Times New Roman" w:eastAsia="Times New Roman" w:hint="default"/>
        </w:rPr>
        <w:t>358,278,517.00</w:t>
      </w:r>
      <w:r>
        <w:rPr/>
        <w:t>元，信用证余额</w:t>
      </w:r>
    </w:p>
    <w:p>
      <w:pPr>
        <w:pStyle w:val="BodyText"/>
        <w:spacing w:line="300" w:lineRule="auto" w:before="63"/>
        <w:ind w:right="1199"/>
        <w:jc w:val="left"/>
      </w:pPr>
      <w:r>
        <w:rPr>
          <w:rFonts w:ascii="Times New Roman" w:hAnsi="Times New Roman" w:cs="Times New Roman" w:eastAsia="Times New Roman" w:hint="default"/>
        </w:rPr>
        <w:t>47,243,301.78</w:t>
      </w:r>
      <w:r>
        <w:rPr/>
        <w:t>元，由本公司提供连带责任保证。公司所属子公司</w:t>
      </w:r>
      <w:r>
        <w:rPr>
          <w:rFonts w:ascii="Times New Roman" w:hAnsi="Times New Roman" w:cs="Times New Roman" w:eastAsia="Times New Roman" w:hint="default"/>
        </w:rPr>
        <w:t>-</w:t>
      </w:r>
      <w:r>
        <w:rPr/>
        <w:t>北京东华合创科技有限公司借款余额</w:t>
      </w:r>
      <w:r>
        <w:rPr>
          <w:rFonts w:ascii="Times New Roman" w:hAnsi="Times New Roman" w:cs="Times New Roman" w:eastAsia="Times New Roman" w:hint="default"/>
        </w:rPr>
        <w:t>50,000.00</w:t>
      </w:r>
      <w:r>
        <w:rPr/>
        <w:t>元，由本公 司提供连带责任保证公司。</w:t>
      </w:r>
    </w:p>
    <w:p>
      <w:pPr>
        <w:spacing w:after="0" w:line="300" w:lineRule="auto"/>
        <w:jc w:val="left"/>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43"/>
        <w:jc w:val="right"/>
      </w:pPr>
      <w:r>
        <w:rPr>
          <w:rFonts w:ascii="Times New Roman" w:hAnsi="Times New Roman" w:cs="Times New Roman" w:eastAsia="Times New Roman" w:hint="default"/>
          <w:spacing w:val="-1"/>
        </w:rPr>
        <w:t>3.2018</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26</w:t>
      </w:r>
      <w:r>
        <w:rPr>
          <w:spacing w:val="-1"/>
        </w:rPr>
        <w:t>日，公司所属子公司</w:t>
      </w:r>
      <w:r>
        <w:rPr>
          <w:rFonts w:ascii="Times New Roman" w:hAnsi="Times New Roman" w:cs="Times New Roman" w:eastAsia="Times New Roman" w:hint="default"/>
          <w:spacing w:val="-1"/>
        </w:rPr>
        <w:t>-</w:t>
      </w:r>
      <w:r>
        <w:rPr>
          <w:spacing w:val="-1"/>
        </w:rPr>
        <w:t>东华互联宜家数据服务有限公司与北京银行天津承德道支行签订编号</w:t>
      </w:r>
      <w:r>
        <w:rPr>
          <w:rFonts w:ascii="Times New Roman" w:hAnsi="Times New Roman" w:cs="Times New Roman" w:eastAsia="Times New Roman" w:hint="default"/>
          <w:spacing w:val="-1"/>
        </w:rPr>
        <w:t>“0489586”</w:t>
      </w:r>
      <w:r>
        <w:rPr>
          <w:spacing w:val="-1"/>
        </w:rPr>
        <w:t>的</w:t>
      </w:r>
    </w:p>
    <w:p>
      <w:pPr>
        <w:pStyle w:val="BodyText"/>
        <w:spacing w:line="307" w:lineRule="auto" w:before="63"/>
        <w:ind w:right="1131"/>
        <w:jc w:val="both"/>
      </w:pPr>
      <w:r>
        <w:rPr>
          <w:spacing w:val="-2"/>
        </w:rPr>
        <w:t>《综合授信合同》，最高授信额度为人民币伍佰万元整，由北京中关村科技融资担保有限公司提供最高额连带责任保证。同</w:t>
      </w:r>
      <w:r>
        <w:rPr>
          <w:spacing w:val="-66"/>
        </w:rPr>
        <w:t> </w:t>
      </w:r>
      <w:r>
        <w:rPr>
          <w:spacing w:val="-66"/>
        </w:rPr>
      </w:r>
      <w:r>
        <w:rPr/>
        <w:t>时，东华互联宜家数据服务有限公司与北京中关村科技融资担保有限公司为该授信合同另行签订编号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WT0646</w:t>
      </w:r>
      <w:r>
        <w:rPr/>
        <w:t>号</w:t>
      </w:r>
      <w:r>
        <w:rPr>
          <w:rFonts w:ascii="Times New Roman" w:hAnsi="Times New Roman" w:cs="Times New Roman" w:eastAsia="Times New Roman" w:hint="default"/>
        </w:rPr>
        <w:t>”</w:t>
      </w:r>
      <w:r>
        <w:rPr/>
        <w:t>的 </w:t>
      </w:r>
      <w:r>
        <w:rPr>
          <w:spacing w:val="-2"/>
        </w:rPr>
        <w:t>最高额委托保证合同，由东华互联宜家数据服务有限公司股东陈震、东华互联宜家数据服务有限公司分别与北京中关村科技</w:t>
      </w:r>
      <w:r>
        <w:rPr>
          <w:spacing w:val="-64"/>
        </w:rPr>
        <w:t> </w:t>
      </w:r>
      <w:r>
        <w:rPr>
          <w:spacing w:val="-64"/>
        </w:rPr>
      </w:r>
      <w:r>
        <w:rPr>
          <w:spacing w:val="-1"/>
        </w:rPr>
        <w:t>融资担保有限公司签订编号</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BZ0646</w:t>
      </w:r>
      <w:r>
        <w:rPr>
          <w:spacing w:val="-1"/>
        </w:rPr>
        <w:t>号</w:t>
      </w:r>
      <w:r>
        <w:rPr>
          <w:rFonts w:ascii="Times New Roman" w:hAnsi="Times New Roman" w:cs="Times New Roman" w:eastAsia="Times New Roman" w:hint="default"/>
          <w:spacing w:val="-1"/>
        </w:rPr>
        <w:t>”</w:t>
      </w:r>
      <w:r>
        <w:rPr>
          <w:spacing w:val="-1"/>
        </w:rPr>
        <w:t>的《最高额反担保（保证）合同》和编号</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ZYZK0646</w:t>
      </w:r>
      <w:r>
        <w:rPr>
          <w:spacing w:val="-1"/>
        </w:rPr>
        <w:t>号</w:t>
      </w:r>
      <w:r>
        <w:rPr>
          <w:rFonts w:ascii="Times New Roman" w:hAnsi="Times New Roman" w:cs="Times New Roman" w:eastAsia="Times New Roman" w:hint="default"/>
          <w:spacing w:val="-1"/>
        </w:rPr>
        <w:t>”</w:t>
      </w:r>
      <w:r>
        <w:rPr>
          <w:spacing w:val="-1"/>
        </w:rPr>
        <w:t>的最高额反担</w:t>
      </w:r>
      <w:r>
        <w:rPr>
          <w:spacing w:val="-65"/>
        </w:rPr>
        <w:t> </w:t>
      </w:r>
      <w:r>
        <w:rPr>
          <w:spacing w:val="-65"/>
        </w:rPr>
      </w:r>
      <w:r>
        <w:rPr>
          <w:spacing w:val="-1"/>
        </w:rPr>
        <w:t>保（应收账款质押）合同》，质押物为应收账款</w:t>
      </w:r>
      <w:r>
        <w:rPr>
          <w:rFonts w:ascii="Times New Roman" w:hAnsi="Times New Roman" w:cs="Times New Roman" w:eastAsia="Times New Roman" w:hint="default"/>
          <w:spacing w:val="-1"/>
        </w:rPr>
        <w:t>11,109,193.27</w:t>
      </w:r>
      <w:r>
        <w:rPr>
          <w:spacing w:val="-1"/>
        </w:rPr>
        <w:t>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日，东华互联宜家数据服务有限公司在</w:t>
      </w:r>
      <w:r>
        <w:rPr>
          <w:spacing w:val="-73"/>
        </w:rPr>
        <w:t> </w:t>
      </w:r>
      <w:r>
        <w:rPr>
          <w:spacing w:val="-73"/>
        </w:rPr>
      </w:r>
      <w:r>
        <w:rPr/>
        <w:t>该合同项下的借款余额为</w:t>
      </w:r>
      <w:r>
        <w:rPr>
          <w:rFonts w:ascii="Times New Roman" w:hAnsi="Times New Roman" w:cs="Times New Roman" w:eastAsia="Times New Roman" w:hint="default"/>
        </w:rPr>
        <w:t>4,000,000.00</w:t>
      </w:r>
      <w:r>
        <w:rPr/>
        <w:t>元。</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229,898,932.28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113,247,032.12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37,910,185.91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17,203,635.38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267,809,118.19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130,450,667.50</w:t>
            </w:r>
          </w:p>
        </w:tc>
      </w:tr>
    </w:tbl>
    <w:p>
      <w:pPr>
        <w:pStyle w:val="BodyText"/>
        <w:spacing w:line="240" w:lineRule="auto" w:before="49"/>
        <w:ind w:right="986"/>
        <w:jc w:val="left"/>
      </w:pPr>
      <w:r>
        <w:rPr/>
        <w:t>本期末已到期未支付的应付票据总额为</w:t>
      </w:r>
      <w:r>
        <w:rPr>
          <w:spacing w:val="-46"/>
        </w:rPr>
        <w:t> </w:t>
      </w:r>
      <w:r>
        <w:rPr>
          <w:rFonts w:ascii="Times New Roman" w:hAnsi="Times New Roman" w:cs="Times New Roman" w:eastAsia="Times New Roman" w:hint="default"/>
        </w:rPr>
        <w:t>20,070,000.00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1,232,678,206.69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1,259,030,712.02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1,232,678,206.69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1,259,030,712.02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3401"/>
        <w:gridCol w:w="2057"/>
      </w:tblGrid>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12"/>
        <w:gridCol w:w="3401"/>
        <w:gridCol w:w="2057"/>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北京安氏领信科技发展有限公司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16,987,624.00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北京时代远行信息科技有限公司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16,616,326.69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北京北科环测科技有限公司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14,662,207.16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中国移动通信集团山东有限公司青岛分公司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14,648,598.44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东华融通（北京）信息技术有限公司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12,330,611.69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杭州字节信息技术有限公司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11,277,877.60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86,523,245.58</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t>是否已执行新收入准则</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1,547,862,165.19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1,226,465,240.61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1,547,862,165.19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1,226,465,240.61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12"/>
        <w:gridCol w:w="3401"/>
        <w:gridCol w:w="2057"/>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天津荣丰工贸有限公司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18,219,190.00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广西安全生产监督管理局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18,199,404.60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贵州公安局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7,006,495.21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合同尚未执行完</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43,425,089.81</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702"/>
        <w:gridCol w:w="1844"/>
        <w:gridCol w:w="1844"/>
        <w:gridCol w:w="177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8,032,010.05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1,257,246,458.66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1,254,903,696.06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10,374,772.65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268,114.02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98,159,195.75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98,314,926.98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112,382.79</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139,500.00</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8,300,124.07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1,355,545,154.41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1,353,358,123.04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10,487,155.44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7,305,776.02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1,161,712,407.39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1,159,885,760.06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9,132,423.35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5,569,155.09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5,569,155.09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42,372,144.63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42,392,611.67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57,972.04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38,017,153.61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38,032,290.12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52,143.77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4,070.91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1,208,777.32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1,211,701.19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1,147.04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7,087.89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3,146,213.70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3,148,620.36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4,681.23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230,802.71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41,774,663.44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41,871,440.90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134,025.25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416,992.24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5,818,088.11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5,184,728.34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1,050,352.01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8,032,010.05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1,257,246,458.66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1,254,903,696.06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10,374,772.65</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258,004.34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95,770,456.45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95,923,569.83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104,890.96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2,388,739.30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2,391,357.15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7,491.83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268,114.02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98,159,195.75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98,314,926.98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112,382.79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31,913,271.10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65,383,465.34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31,145,299.88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23,161,541.44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9,293,755.16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11,109,833.69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1,468,185.14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1,950,427.56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586,004.80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795,575.50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533,129.75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166,642.18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157,228.40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182,497.25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119,958.48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127,260.67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27,300.05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8,064.71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75,255,340.02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103,458,810.22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566,250,618.97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438,934,312.27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1,305,566,637.38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1,656,565,415.91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1,871,817,256.35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2,095,499,728.18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566,250,618.97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438,934,312.27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566,250,618.97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438,934,312.27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27,445,469.12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41,217,564.84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5,150,030.68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7,427,381.03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1,272,339,403.14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1,607,330,320.04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1,305,566,637.38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1,656,565,415.91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476"/>
        <w:gridCol w:w="2907"/>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1,007,125,606.44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用于上市公司业务发展，尚未偿还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1,007,125,606.44</w:t>
            </w:r>
          </w:p>
        </w:tc>
        <w:tc>
          <w:tcPr>
            <w:tcW w:w="29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26,865,522.07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26,865,522.07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62,335,769.89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62,335,769.89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19,409,049.26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69,792,242.70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26,865,522.07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62,335,769.89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10"/>
        <w:rPr>
          <w:rFonts w:ascii="宋体" w:hAnsi="宋体" w:cs="宋体" w:eastAsia="宋体" w:hint="default"/>
          <w:sz w:val="17"/>
          <w:szCs w:val="17"/>
        </w:rPr>
      </w:pPr>
    </w:p>
    <w:p>
      <w:pPr>
        <w:pStyle w:val="BodyText"/>
        <w:spacing w:line="300" w:lineRule="auto"/>
        <w:ind w:right="1154" w:firstLine="360"/>
        <w:jc w:val="left"/>
      </w:pPr>
      <w:r>
        <w:rPr/>
        <w:t>公司所属子公司</w:t>
      </w:r>
      <w:r>
        <w:rPr>
          <w:rFonts w:ascii="Times New Roman" w:hAnsi="Times New Roman" w:cs="Times New Roman" w:eastAsia="Times New Roman" w:hint="default"/>
        </w:rPr>
        <w:t>-</w:t>
      </w:r>
      <w:r>
        <w:rPr/>
        <w:t>北京神州新桥科技有限公司与远东宏信（天津）融资租赁有限公司签订售后回租协议，租赁标的物为 北京神州新桥科技有限公司拥有的固定资产，租赁期限</w:t>
      </w:r>
      <w:r>
        <w:rPr>
          <w:rFonts w:ascii="Times New Roman" w:hAnsi="Times New Roman" w:cs="Times New Roman" w:eastAsia="Times New Roman" w:hint="default"/>
        </w:rPr>
        <w:t>36</w:t>
      </w:r>
      <w:r>
        <w:rPr/>
        <w:t>个月，租赁本金</w:t>
      </w:r>
      <w:r>
        <w:rPr>
          <w:rFonts w:ascii="Times New Roman" w:hAnsi="Times New Roman" w:cs="Times New Roman" w:eastAsia="Times New Roman" w:hint="default"/>
        </w:rPr>
        <w:t>2</w:t>
      </w:r>
      <w:r>
        <w:rPr>
          <w:rFonts w:ascii="Times New Roman" w:hAnsi="Times New Roman" w:cs="Times New Roman" w:eastAsia="Times New Roman" w:hint="default"/>
          <w:b/>
          <w:bCs/>
        </w:rPr>
        <w:t>,</w:t>
      </w:r>
      <w:r>
        <w:rPr>
          <w:rFonts w:ascii="Times New Roman" w:hAnsi="Times New Roman" w:cs="Times New Roman" w:eastAsia="Times New Roman" w:hint="default"/>
        </w:rPr>
        <w:t>100</w:t>
      </w:r>
      <w:r>
        <w:rPr/>
        <w:t>万元，租赁年利率为</w:t>
      </w:r>
      <w:r>
        <w:rPr>
          <w:rFonts w:ascii="Times New Roman" w:hAnsi="Times New Roman" w:cs="Times New Roman" w:eastAsia="Times New Roman" w:hint="default"/>
        </w:rPr>
        <w:t>6%</w:t>
      </w:r>
      <w:r>
        <w:rPr/>
        <w:t>。</w:t>
      </w:r>
    </w:p>
    <w:p>
      <w:pPr>
        <w:spacing w:line="240" w:lineRule="auto" w:before="12"/>
        <w:rPr>
          <w:rFonts w:ascii="宋体" w:hAnsi="宋体" w:cs="宋体" w:eastAsia="宋体" w:hint="default"/>
          <w:sz w:val="12"/>
          <w:szCs w:val="12"/>
        </w:rPr>
      </w:pPr>
    </w:p>
    <w:p>
      <w:pPr>
        <w:pStyle w:val="BodyText"/>
        <w:spacing w:line="300" w:lineRule="auto"/>
        <w:ind w:right="1154" w:firstLine="360"/>
        <w:jc w:val="left"/>
      </w:pPr>
      <w:r>
        <w:rPr/>
        <w:t>应收账款质押借款是公司所属子公司</w:t>
      </w:r>
      <w:r>
        <w:rPr>
          <w:rFonts w:ascii="Times New Roman" w:hAnsi="Times New Roman" w:cs="Times New Roman" w:eastAsia="Times New Roman" w:hint="default"/>
        </w:rPr>
        <w:t>-</w:t>
      </w:r>
      <w:r>
        <w:rPr/>
        <w:t>东华互联宜家数据服务有限公司及贵阳分公司与贵州广电传媒集团有限公司签订 了《应收账款债权转让及回购协议》形成。</w:t>
      </w:r>
    </w:p>
    <w:p>
      <w:pPr>
        <w:spacing w:line="240" w:lineRule="auto" w:before="10"/>
        <w:rPr>
          <w:rFonts w:ascii="宋体" w:hAnsi="宋体" w:cs="宋体" w:eastAsia="宋体" w:hint="default"/>
          <w:sz w:val="23"/>
          <w:szCs w:val="23"/>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669"/>
        <w:gridCol w:w="1702"/>
        <w:gridCol w:w="1700"/>
        <w:gridCol w:w="1561"/>
        <w:gridCol w:w="134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60,461,757.35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4,719,300.00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9,341,460.75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55,839,596.60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60,461,757.35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4,719,300.00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9,341,460.75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55,839,596.60</w:t>
            </w:r>
          </w:p>
        </w:tc>
        <w:tc>
          <w:tcPr>
            <w:tcW w:w="13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涉及政府补助的项目：</w:t>
      </w:r>
    </w:p>
    <w:p>
      <w:pPr>
        <w:pStyle w:val="BodyText"/>
        <w:spacing w:line="240" w:lineRule="auto" w:before="119"/>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气象医疗行</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业核心软件 研发项目资</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云计算的数</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字化医疗和</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区域医疗协</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11,710,000.00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11,710,000.00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同系统项目</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新一代互联</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网上网行为 管理系统产</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10,754.99</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10,754.99</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信息技术服</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务能力提升</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银行安全</w:t>
            </w:r>
            <w:r>
              <w:rPr>
                <w:rFonts w:ascii="宋体" w:hAnsi="宋体" w:cs="宋体" w:eastAsia="宋体" w:hint="default"/>
                <w:w w:val="99"/>
                <w:sz w:val="18"/>
                <w:szCs w:val="18"/>
              </w:rPr>
              <w:t> </w:t>
            </w:r>
            <w:r>
              <w:rPr>
                <w:rFonts w:ascii="宋体" w:hAnsi="宋体" w:cs="宋体" w:eastAsia="宋体" w:hint="default"/>
                <w:sz w:val="18"/>
                <w:szCs w:val="18"/>
              </w:rPr>
              <w:t>可靠业务系</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469,543.88</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426,610.77</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42,933.11</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统研发及应</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用示范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海淀联合重 大攻关项目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71,196.58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71,196.58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中小商业银</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行一体化服</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1,902,000.00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1,902,000.00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数字化医疗</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区域协同应</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用示范（</w:t>
            </w:r>
            <w:r>
              <w:rPr>
                <w:rFonts w:ascii="Times New Roman" w:hAnsi="Times New Roman" w:cs="Times New Roman" w:eastAsia="Times New Roman" w:hint="default"/>
                <w:spacing w:val="-5"/>
                <w:sz w:val="18"/>
                <w:szCs w:val="18"/>
              </w:rPr>
              <w:t>863</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40,683.76</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34,871.80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5,811.96</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计划华西医</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计划数</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字化医疗医</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院流程研究 及应用示范</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48,721.01</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48,721.01</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协和医院）</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基于安全可</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靠软硬件的</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系统集成开</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发工具</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IDE)</w:t>
            </w:r>
            <w:r>
              <w:rPr>
                <w:rFonts w:ascii="宋体" w:hAnsi="宋体" w:cs="宋体" w:eastAsia="宋体" w:hint="default"/>
                <w:sz w:val="18"/>
                <w:szCs w:val="18"/>
              </w:rPr>
              <w:t>研发</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超大规模数</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据智能分析</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2,097,709.40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1,297,709.40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电力装备智</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能运维平台</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关键技术研</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896,387.90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183,400.00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712,987.90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究及应用示</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基于大数据 的健康服务 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7,054,759.83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1,596,000.00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5,458,759.83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7"/>
              <w:jc w:val="both"/>
              <w:rPr>
                <w:rFonts w:ascii="宋体" w:hAnsi="宋体" w:cs="宋体" w:eastAsia="宋体" w:hint="default"/>
                <w:sz w:val="18"/>
                <w:szCs w:val="18"/>
              </w:rPr>
            </w:pPr>
            <w:r>
              <w:rPr>
                <w:rFonts w:ascii="宋体" w:hAnsi="宋体" w:cs="宋体" w:eastAsia="宋体" w:hint="default"/>
                <w:sz w:val="18"/>
                <w:szCs w:val="18"/>
              </w:rPr>
              <w:t>大数据及人 工智能技术 健康监测分 析与管理</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909,300.00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909,300.00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基于住院病 案首页的慢 病多源数据 整合与交换 机制研究</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27,905.60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782,094.40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7"/>
              <w:jc w:val="both"/>
              <w:rPr>
                <w:rFonts w:ascii="宋体" w:hAnsi="宋体" w:cs="宋体" w:eastAsia="宋体" w:hint="default"/>
                <w:sz w:val="18"/>
                <w:szCs w:val="18"/>
              </w:rPr>
            </w:pPr>
            <w:r>
              <w:rPr>
                <w:rFonts w:ascii="宋体" w:hAnsi="宋体" w:cs="宋体" w:eastAsia="宋体" w:hint="default"/>
                <w:sz w:val="18"/>
                <w:szCs w:val="18"/>
              </w:rPr>
              <w:t>新华舆情网 络预警系统 及配套智能 移动终端产 业化项目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-1,400,000.0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高清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摄像机及关 键技术研发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年市未 来产业发展 专项资金</w:t>
            </w:r>
          </w:p>
          <w:p>
            <w:pPr>
              <w:pStyle w:val="TableParagraph"/>
              <w:spacing w:line="316" w:lineRule="auto" w:before="26"/>
              <w:ind w:left="24" w:right="77"/>
              <w:jc w:val="both"/>
              <w:rPr>
                <w:rFonts w:ascii="宋体" w:hAnsi="宋体" w:cs="宋体" w:eastAsia="宋体" w:hint="default"/>
                <w:sz w:val="18"/>
                <w:szCs w:val="18"/>
              </w:rPr>
            </w:pPr>
            <w:r>
              <w:rPr>
                <w:rFonts w:ascii="宋体" w:hAnsi="宋体" w:cs="宋体" w:eastAsia="宋体" w:hint="default"/>
                <w:sz w:val="18"/>
                <w:szCs w:val="18"/>
              </w:rPr>
              <w:t>（军民融合 专项）扶持 计划第二批 项目资助计 划</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13,920,000.00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13,920,000.00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年省企 业发展专项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发改委省服 务引导资金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60,461,757.35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4,719,300.00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7,941,460.75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55,839,596.60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986"/>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178"/>
        <w:gridCol w:w="1310"/>
        <w:gridCol w:w="1179"/>
        <w:gridCol w:w="1178"/>
        <w:gridCol w:w="1179"/>
        <w:gridCol w:w="1181"/>
        <w:gridCol w:w="1181"/>
        <w:gridCol w:w="1310"/>
      </w:tblGrid>
      <w:tr>
        <w:trPr>
          <w:trHeight w:val="403" w:hRule="exact"/>
        </w:trPr>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78"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1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3,115,482,375.00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3,115,482,375.00</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2,150,223,866.54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6,842,913.35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2,143,380,953.19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3,958,790.32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10,580,428.03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14,539,218.35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2,154,182,656.86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10,580,428.03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6,842,913.35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2,157,920,171.54</w:t>
            </w:r>
          </w:p>
        </w:tc>
      </w:tr>
    </w:tbl>
    <w:p>
      <w:pPr>
        <w:pStyle w:val="BodyText"/>
        <w:spacing w:line="240" w:lineRule="auto" w:before="49"/>
        <w:ind w:right="986"/>
        <w:jc w:val="left"/>
      </w:pPr>
      <w:r>
        <w:rPr/>
        <w:t>其他说明，包括本期增减变动情况、变动原因说明：</w:t>
      </w:r>
    </w:p>
    <w:p>
      <w:pPr>
        <w:spacing w:line="240" w:lineRule="auto" w:before="10"/>
        <w:rPr>
          <w:rFonts w:ascii="宋体" w:hAnsi="宋体" w:cs="宋体" w:eastAsia="宋体" w:hint="default"/>
          <w:sz w:val="17"/>
          <w:szCs w:val="17"/>
        </w:rPr>
      </w:pPr>
    </w:p>
    <w:p>
      <w:pPr>
        <w:pStyle w:val="BodyText"/>
        <w:spacing w:line="302" w:lineRule="auto"/>
        <w:ind w:right="986" w:firstLine="360"/>
        <w:jc w:val="left"/>
      </w:pPr>
      <w:r>
        <w:rPr>
          <w:spacing w:val="-1"/>
        </w:rPr>
        <w:t>资本公积说明：因购买子公司少数股东权益，导致本公司应享有子公司净资产份额的变动冲减资本公积</w:t>
      </w:r>
      <w:r>
        <w:rPr>
          <w:rFonts w:ascii="Times New Roman" w:hAnsi="Times New Roman" w:cs="Times New Roman" w:eastAsia="Times New Roman" w:hint="default"/>
          <w:spacing w:val="-1"/>
        </w:rPr>
        <w:t>6,842,913.35</w:t>
      </w:r>
      <w:r>
        <w:rPr>
          <w:spacing w:val="-1"/>
        </w:rPr>
        <w:t>元；</w:t>
      </w:r>
      <w:r>
        <w:rPr/>
        <w:t> 因权益法核算的长期股权投资被投资单位其他权益变动增加资本公积</w:t>
      </w:r>
      <w:r>
        <w:rPr>
          <w:rFonts w:ascii="Times New Roman" w:hAnsi="Times New Roman" w:cs="Times New Roman" w:eastAsia="Times New Roman" w:hint="default"/>
        </w:rPr>
        <w:t>10,580,428.03</w:t>
      </w:r>
      <w:r>
        <w:rPr/>
        <w:t>元。</w:t>
      </w:r>
    </w:p>
    <w:p>
      <w:pPr>
        <w:spacing w:line="240" w:lineRule="auto" w:before="2"/>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567"/>
        <w:gridCol w:w="965"/>
        <w:gridCol w:w="864"/>
        <w:gridCol w:w="1044"/>
        <w:gridCol w:w="840"/>
        <w:gridCol w:w="840"/>
        <w:gridCol w:w="867"/>
        <w:gridCol w:w="842"/>
        <w:gridCol w:w="866"/>
      </w:tblGrid>
      <w:tr>
        <w:trPr>
          <w:trHeight w:val="403" w:hRule="exact"/>
        </w:trPr>
        <w:tc>
          <w:tcPr>
            <w:tcW w:w="2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49" w:hRule="exact"/>
        </w:trPr>
        <w:tc>
          <w:tcPr>
            <w:tcW w:w="2567"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3"/>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3"/>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6" w:right="53"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1" w:right="63"/>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5" w:right="55"/>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568"/>
        <w:gridCol w:w="965"/>
        <w:gridCol w:w="864"/>
        <w:gridCol w:w="1044"/>
        <w:gridCol w:w="840"/>
        <w:gridCol w:w="840"/>
        <w:gridCol w:w="867"/>
        <w:gridCol w:w="842"/>
        <w:gridCol w:w="866"/>
      </w:tblGrid>
      <w:tr>
        <w:trPr>
          <w:trHeight w:val="713"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367,438.39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478,719.24</w:t>
            </w:r>
          </w:p>
        </w:tc>
        <w:tc>
          <w:tcPr>
            <w:tcW w:w="104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478,719.24</w:t>
            </w:r>
          </w:p>
        </w:tc>
        <w:tc>
          <w:tcPr>
            <w:tcW w:w="84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846,157.63</w:t>
            </w:r>
          </w:p>
        </w:tc>
      </w:tr>
      <w:tr>
        <w:trPr>
          <w:trHeight w:val="403"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367,438.39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478,719.24</w:t>
            </w:r>
          </w:p>
        </w:tc>
        <w:tc>
          <w:tcPr>
            <w:tcW w:w="104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478,719.24</w:t>
            </w:r>
          </w:p>
        </w:tc>
        <w:tc>
          <w:tcPr>
            <w:tcW w:w="84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846,157.63</w:t>
            </w:r>
          </w:p>
        </w:tc>
      </w:tr>
      <w:tr>
        <w:trPr>
          <w:trHeight w:val="403"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367,438.39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478,719.24</w:t>
            </w:r>
          </w:p>
        </w:tc>
        <w:tc>
          <w:tcPr>
            <w:tcW w:w="104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478,719.24</w:t>
            </w:r>
          </w:p>
        </w:tc>
        <w:tc>
          <w:tcPr>
            <w:tcW w:w="84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846,157.63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622,573,289.39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62,766,818.98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685,340,108.37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622,573,289.39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62,766,818.98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685,340,108.37</w:t>
            </w:r>
          </w:p>
        </w:tc>
      </w:tr>
    </w:tbl>
    <w:p>
      <w:pPr>
        <w:pStyle w:val="BodyText"/>
        <w:spacing w:line="240" w:lineRule="auto" w:before="49"/>
        <w:ind w:right="986"/>
        <w:jc w:val="left"/>
      </w:pPr>
      <w:r>
        <w:rPr/>
        <w:t>盈余公积说明，包括本期增减变动情况、变动原因说明：</w:t>
      </w:r>
    </w:p>
    <w:p>
      <w:pPr>
        <w:spacing w:line="240" w:lineRule="auto" w:before="10"/>
        <w:rPr>
          <w:rFonts w:ascii="宋体" w:hAnsi="宋体" w:cs="宋体" w:eastAsia="宋体" w:hint="default"/>
          <w:sz w:val="17"/>
          <w:szCs w:val="17"/>
        </w:rPr>
      </w:pPr>
    </w:p>
    <w:p>
      <w:pPr>
        <w:pStyle w:val="BodyText"/>
        <w:spacing w:line="309" w:lineRule="auto"/>
        <w:ind w:right="1128" w:firstLine="360"/>
        <w:jc w:val="both"/>
      </w:pPr>
      <w:r>
        <w:rPr>
          <w:spacing w:val="-1"/>
        </w:rPr>
        <w:t>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w:t>
      </w:r>
      <w:r>
        <w:rPr/>
        <w:t> </w:t>
      </w:r>
      <w:r>
        <w:rPr>
          <w:spacing w:val="-2"/>
        </w:rPr>
        <w:t>上的，可不再提取。在提取法定盈余公积金后，可提取任意盈余公积金。经批准，任意盈余公积金可用于弥补以前年度亏损</w:t>
      </w:r>
      <w:r>
        <w:rPr>
          <w:spacing w:val="-67"/>
        </w:rPr>
        <w:t> </w:t>
      </w:r>
      <w:r>
        <w:rPr>
          <w:spacing w:val="-67"/>
        </w:rPr>
      </w:r>
      <w:r>
        <w:rPr/>
        <w:t>或增加股本。</w:t>
      </w:r>
    </w:p>
    <w:p>
      <w:pPr>
        <w:spacing w:line="240" w:lineRule="auto" w:before="3"/>
        <w:rPr>
          <w:rFonts w:ascii="宋体" w:hAnsi="宋体" w:cs="宋体" w:eastAsia="宋体" w:hint="default"/>
          <w:sz w:val="23"/>
          <w:szCs w:val="23"/>
        </w:rPr>
      </w:pPr>
    </w:p>
    <w:p>
      <w:pPr>
        <w:pStyle w:val="Heading4"/>
        <w:spacing w:line="240" w:lineRule="auto"/>
        <w:ind w:right="986"/>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3,282,424,450.60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2,849,927,261.22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71,995,969.56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3,354,420,420.16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2,849,927,261.22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583,701,772.02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806,409,576.38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62,766,818.98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60,069,266.90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311,092,983.94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313,843,120.10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3,564,262,389.26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3,282,424,450.60</w:t>
            </w:r>
          </w:p>
        </w:tc>
      </w:tr>
    </w:tbl>
    <w:p>
      <w:pPr>
        <w:pStyle w:val="BodyText"/>
        <w:spacing w:line="240" w:lineRule="auto" w:before="49"/>
        <w:ind w:right="986"/>
        <w:jc w:val="left"/>
      </w:pPr>
      <w:r>
        <w:rPr/>
        <w:t>调整期初未分配利润明细：</w:t>
      </w:r>
    </w:p>
    <w:p>
      <w:pPr>
        <w:spacing w:line="240" w:lineRule="auto" w:before="10"/>
        <w:rPr>
          <w:rFonts w:ascii="宋体" w:hAnsi="宋体" w:cs="宋体" w:eastAsia="宋体" w:hint="default"/>
          <w:sz w:val="17"/>
          <w:szCs w:val="17"/>
        </w:rPr>
      </w:pPr>
    </w:p>
    <w:p>
      <w:pPr>
        <w:pStyle w:val="BodyText"/>
        <w:spacing w:line="240" w:lineRule="auto"/>
        <w:ind w:left="513" w:right="986"/>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71,995,969.56</w:t>
      </w:r>
      <w:r>
        <w:rPr>
          <w:rFonts w:ascii="Times New Roman" w:hAnsi="Times New Roman" w:cs="Times New Roman" w:eastAsia="Times New Roman" w:hint="default"/>
          <w:spacing w:val="1"/>
        </w:rPr>
        <w:t> </w:t>
      </w:r>
      <w:r>
        <w:rPr/>
        <w:t>元。</w:t>
      </w:r>
    </w:p>
    <w:p>
      <w:pPr>
        <w:spacing w:line="240" w:lineRule="auto" w:before="12"/>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6"/>
          <w:szCs w:val="16"/>
        </w:rPr>
      </w:pPr>
    </w:p>
    <w:p>
      <w:pPr>
        <w:pStyle w:val="BodyText"/>
        <w:spacing w:line="240" w:lineRule="auto"/>
        <w:ind w:left="513" w:right="986"/>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8,844,439,961.11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6,393,098,894.62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8,455,752,573.90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6,189,405,007.62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4,572,702.95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2,296,295.02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14,838,510.20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14,030,626.01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8,849,012,664.06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6,395,395,189.64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8,470,591,084.10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6,203,435,633.63</w:t>
            </w:r>
          </w:p>
        </w:tc>
      </w:tr>
    </w:tbl>
    <w:p>
      <w:pPr>
        <w:spacing w:line="240" w:lineRule="auto" w:before="5"/>
        <w:rPr>
          <w:rFonts w:ascii="宋体" w:hAnsi="宋体" w:cs="宋体" w:eastAsia="宋体" w:hint="default"/>
          <w:sz w:val="9"/>
          <w:szCs w:val="9"/>
        </w:rPr>
      </w:pPr>
    </w:p>
    <w:p>
      <w:pPr>
        <w:pStyle w:val="BodyText"/>
        <w:spacing w:line="240" w:lineRule="auto" w:before="44"/>
        <w:ind w:right="986"/>
        <w:jc w:val="left"/>
      </w:pPr>
      <w:r>
        <w:rPr/>
        <w:t>是否已执行新收入准则</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10,994,694.21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6,554,024.94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4,714,275.12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2,871,567.11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1,324,952.88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1,605,499.11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1,038,584.28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744,459.70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54,854.83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3,140,825.55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3,532,067.60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3,143,499.70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1,826,666.82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35,009.35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150,546.67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防洪保安费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51,146.96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24,575,639.80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17,325,473.28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181,464,681.29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147,760,446.15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55,167,501.93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47,956,433.58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34,769,238.50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37,463,916.02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21,840,299.66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20,883,880.56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4,672.73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118,214.65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5,112,966.24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6,489,967.20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7,879,288.47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5,934,511.07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37,617,049.07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26,959,591.58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343,855,697.89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293,566,960.81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326,602,005.99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312,576,684.76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33,993,530.96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30,920,839.46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34,992,414.50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102,048,027.58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35,845,774.60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58,262,567.76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10,629,627.31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6,404,993.86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78,207,172.87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89,317,354.25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520,270,526.23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599,530,467.67</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475,035,506.94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319,314,521.92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63,144,804.82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48,662,359.05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7,291,770.77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3,329,678.84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21,021,168.73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4,958,246.46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6,080,156.91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16,647,254.93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3,534,695.94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2,077,968.32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20,394,089.07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21,938,933.97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596,502,193.18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416,928,963.49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83,988,074.48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76,870,919.53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3,192,057.65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17,696,311.68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4,591,825.10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-28,639,988.05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-17,764,945.89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-7,803,861.83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-5,305,336.01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3,190,413.32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17,147,980.87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16,134,281.80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4,367,354.40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7,298,131.09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75,998,224.65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98,972,856.49</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22,494,910.29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34,058,465.11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42,458,077.43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48,384,573.67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538,480.41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64,982,959.72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82,981,519.19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-26,834,128.69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-21,705,793.05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17,336,079.96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6,224,078.73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-17,947.40</w:t>
            </w: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6"/>
              <w:jc w:val="left"/>
              <w:rPr>
                <w:rFonts w:ascii="宋体" w:hAnsi="宋体" w:cs="宋体" w:eastAsia="宋体" w:hint="default"/>
                <w:sz w:val="18"/>
                <w:szCs w:val="18"/>
              </w:rPr>
            </w:pPr>
            <w:r>
              <w:rPr>
                <w:rFonts w:ascii="宋体" w:hAnsi="宋体" w:cs="宋体" w:eastAsia="宋体" w:hint="default"/>
                <w:sz w:val="18"/>
                <w:szCs w:val="18"/>
              </w:rPr>
              <w:t>取得控制权时股权按公允价值重新计量产 生的利得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19,495,252.39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9,997,203.66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-15,499,661.72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18,681,234.46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18,681,234.46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-166,659,151.91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-166,659,151.91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t>是否已执行新收入准则</w:t>
      </w:r>
    </w:p>
    <w:p>
      <w:pPr>
        <w:spacing w:line="240" w:lineRule="auto" w:before="11"/>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-154,936,070.04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-39,788,531.65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-5,966,314.89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-165,422,162.46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-226,207,198.24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-205,210,694.11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-387,109,583.17</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93,449.58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-417,255.11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6"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7,001.46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与日常活动无关的政府补助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27,448,874.32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3,201,299.39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27,448,874.32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947,088.12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227,259.37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947,088.12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3,078,260.16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304,660,116.25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3,078,260.16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31,474,222.60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308,095,676.47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31,474,222.60</w:t>
            </w:r>
          </w:p>
        </w:tc>
      </w:tr>
    </w:tbl>
    <w:p>
      <w:pPr>
        <w:pStyle w:val="BodyText"/>
        <w:spacing w:line="240" w:lineRule="auto" w:before="49"/>
        <w:ind w:right="986"/>
        <w:jc w:val="left"/>
      </w:pPr>
      <w:r>
        <w:rPr/>
        <w:t>计入当期损益的政府补助：</w:t>
      </w:r>
    </w:p>
    <w:p>
      <w:pPr>
        <w:pStyle w:val="BodyText"/>
        <w:spacing w:line="240" w:lineRule="auto" w:before="119"/>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427"/>
        <w:gridCol w:w="497"/>
        <w:gridCol w:w="1627"/>
        <w:gridCol w:w="994"/>
        <w:gridCol w:w="708"/>
        <w:gridCol w:w="991"/>
        <w:gridCol w:w="994"/>
        <w:gridCol w:w="1063"/>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7" w:right="27"/>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64" w:right="60"/>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00" w:right="38"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03" w:right="39"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297"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428"/>
        <w:gridCol w:w="497"/>
        <w:gridCol w:w="1627"/>
        <w:gridCol w:w="994"/>
        <w:gridCol w:w="708"/>
        <w:gridCol w:w="991"/>
        <w:gridCol w:w="994"/>
        <w:gridCol w:w="1063"/>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支持技术交易奖励</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西安瞪羚企业奖励</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科技进步奖励</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产业发展专项资金补贴</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因从事国家鼓励和 </w:t>
            </w:r>
            <w:r>
              <w:rPr>
                <w:rFonts w:ascii="宋体" w:hAnsi="宋体" w:cs="宋体" w:eastAsia="宋体" w:hint="default"/>
                <w:spacing w:val="-6"/>
                <w:sz w:val="18"/>
                <w:szCs w:val="18"/>
              </w:rPr>
              <w:t>扶持特定行业、产业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而获得的补助（按国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家级政策规定依法 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优秀企业奖金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优惠政策补贴</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427,980.09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济宁仙营街道政府扶持资金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38,874.32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100,919.30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股权转让个税奖励</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创新奖励</w:t>
            </w:r>
          </w:p>
        </w:tc>
        <w:tc>
          <w:tcPr>
            <w:tcW w:w="42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1"/>
              <w:jc w:val="left"/>
              <w:rPr>
                <w:rFonts w:ascii="宋体" w:hAnsi="宋体" w:cs="宋体" w:eastAsia="宋体" w:hint="default"/>
                <w:sz w:val="18"/>
                <w:szCs w:val="18"/>
              </w:rPr>
            </w:pPr>
            <w:r>
              <w:rPr>
                <w:rFonts w:ascii="宋体" w:hAnsi="宋体" w:cs="宋体" w:eastAsia="宋体" w:hint="default"/>
                <w:sz w:val="18"/>
                <w:szCs w:val="18"/>
              </w:rPr>
              <w:t>奖励上市而给予的 政府补助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6,208,579.60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78,504.18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6,208,579.60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197,663.83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1,546,176.90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197,663.83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1,192,224.46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1,147,247.62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1,192,224.46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7,656,967.89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2,781,928.70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7,656,967.89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59,928,387.42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47,571,148.20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446,598.69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-19,280,317.23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60,374,986.11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28,290,830.97</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638,117,448.78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63,811,744.88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-32,625,307.38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-1,997,917.24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2,583,627.72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3,127,814.83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-1,066,086.43</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109,520,709.03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技术开发费及残疾人工资加计扣除的影响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-99,521,815.55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计提商誉减值准备的影响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16,542,216.25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60,374,986.11</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t>详见附注注释</w:t>
      </w:r>
      <w:r>
        <w:rPr>
          <w:spacing w:val="-43"/>
        </w:rPr>
        <w:t> </w:t>
      </w:r>
      <w:r>
        <w:rPr>
          <w:rFonts w:ascii="Times New Roman" w:hAnsi="Times New Roman" w:cs="Times New Roman" w:eastAsia="Times New Roman" w:hint="default"/>
        </w:rPr>
        <w:t>32</w:t>
      </w:r>
      <w:r>
        <w:rPr/>
        <w:t>。</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28,639,988.05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17,764,945.89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45,728,880.30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24,618,154.18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174,875,461.72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144,955,781.28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10,112,293.32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296,447.02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收回受限的保证金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35,358,603.16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112,453,995.21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294,715,226.55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300,089,323.58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技术服务成本</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18,132,133.60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143,216,525.62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144,942,624.90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106,030,970.51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108,715,955.86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115,653,801.77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66,896,660.29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4,367,354.40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7,298,131.09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241,762,747.10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181,350,079.24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支付受限的保证金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69,459,602.62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101,160,613.37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11,428,249.74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3,457,703.19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691,919,251.76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631,953,901.54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93,480,713.45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子公司取得时点的现金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330,344.91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330,344.91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93,537,785.00</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子公司处置时点的现金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9,923,159.21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9,923,159.21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523,585,906.92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1,631,990,194.78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793,200.00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用于贷款质押的定期存款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823,585,906.92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1,632,783,394.78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638,040,800.92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1,327,190,194.78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退回股东减资款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用于贷款质押的定期存款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638,040,800.92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1,630,440,194.78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577,742,462.67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797,808,664.72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371,869,846.02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387,109,583.17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56,669,439.83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106,126,263.04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54,254,199.27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71,683,766.89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1,451,322.06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2,391,384.55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-93,449.58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417,255.11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6,208,579.60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71,502.72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-18,681,234.46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101,684,386.16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81,462,744.63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-9,997,203.66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15,499,661.72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1,172,147.52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-17,045,880.82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108.259979pt;width:185.55pt;height:19.6pt;mso-position-horizontal-relative:page;mso-position-vertical-relative:page;z-index:-1079296"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-725,548.83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-2,234,436.41</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3058"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-692,931,081.41</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-991,303,070.60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-586,426,067.52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-817,563,335.17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439,230,462.22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1,022,391,452.60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976,095.80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-305,354,748.51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302,404,355.69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351,460,807.64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1,922,529,941.21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1,763,956,347.68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1,763,956,347.68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1,599,348,732.26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158,573,593.53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164,607,615.42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446,667.52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446,667.52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63,332.48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3" w:right="0"/>
              <w:jc w:val="left"/>
              <w:rPr>
                <w:rFonts w:ascii="Times New Roman" w:hAnsi="Times New Roman" w:cs="Times New Roman" w:eastAsia="Times New Roman" w:hint="default"/>
                <w:sz w:val="18"/>
                <w:szCs w:val="18"/>
              </w:rPr>
            </w:pPr>
            <w:r>
              <w:rPr>
                <w:rFonts w:ascii="Times New Roman"/>
                <w:sz w:val="18"/>
              </w:rPr>
              <w:t>1,922,529,941.21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1" w:right="0"/>
              <w:jc w:val="left"/>
              <w:rPr>
                <w:rFonts w:ascii="Times New Roman" w:hAnsi="Times New Roman" w:cs="Times New Roman" w:eastAsia="Times New Roman" w:hint="default"/>
                <w:sz w:val="18"/>
                <w:szCs w:val="18"/>
              </w:rPr>
            </w:pPr>
            <w:r>
              <w:rPr>
                <w:rFonts w:ascii="Times New Roman"/>
                <w:sz w:val="18"/>
              </w:rPr>
              <w:t>1,763,956,347.68</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377,607.24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513,537.92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1,921,682,970.81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1,752,378,202.27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469,363.16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11,064,607.49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1,922,529,941.21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1,763,956,347.68</w:t>
            </w:r>
          </w:p>
        </w:tc>
      </w:tr>
    </w:tbl>
    <w:p>
      <w:pPr>
        <w:pStyle w:val="BodyText"/>
        <w:spacing w:line="240" w:lineRule="auto" w:before="49"/>
        <w:ind w:right="986"/>
        <w:jc w:val="left"/>
      </w:pPr>
      <w:r>
        <w:rPr/>
        <w:t>其他说明：</w:t>
      </w:r>
    </w:p>
    <w:p>
      <w:pPr>
        <w:spacing w:line="240" w:lineRule="auto" w:before="10"/>
        <w:rPr>
          <w:rFonts w:ascii="宋体" w:hAnsi="宋体" w:cs="宋体" w:eastAsia="宋体" w:hint="default"/>
          <w:sz w:val="17"/>
          <w:szCs w:val="17"/>
        </w:rPr>
      </w:pPr>
    </w:p>
    <w:p>
      <w:pPr>
        <w:pStyle w:val="BodyText"/>
        <w:spacing w:line="319" w:lineRule="auto"/>
        <w:ind w:right="1214" w:firstLine="360"/>
        <w:jc w:val="left"/>
      </w:pPr>
      <w:r>
        <w:rPr/>
        <w:t>现金流量表中现金的期初、期末余额以本公司货币资金减去其他货币资金中不可以随时用于支付的银行承兑汇票保证 金、保函保证金等列示：</w:t>
      </w:r>
    </w:p>
    <w:p>
      <w:pPr>
        <w:spacing w:line="240" w:lineRule="auto" w:before="7"/>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660"/>
        <w:gridCol w:w="3692"/>
        <w:gridCol w:w="3308"/>
      </w:tblGrid>
      <w:tr>
        <w:trPr>
          <w:trHeight w:val="326"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货币资金余额</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right"/>
              <w:rPr>
                <w:rFonts w:ascii="Times New Roman" w:hAnsi="Times New Roman" w:cs="Times New Roman" w:eastAsia="Times New Roman" w:hint="default"/>
                <w:sz w:val="18"/>
                <w:szCs w:val="18"/>
              </w:rPr>
            </w:pPr>
            <w:r>
              <w:rPr>
                <w:rFonts w:ascii="Times New Roman"/>
                <w:spacing w:val="-1"/>
                <w:sz w:val="18"/>
              </w:rPr>
              <w:t>1,980,680,688.09</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2,086,641,271.60</w:t>
            </w:r>
          </w:p>
        </w:tc>
      </w:tr>
      <w:tr>
        <w:trPr>
          <w:trHeight w:val="34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减：保证金</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58,150,746.88</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322,684,923.92</w:t>
            </w:r>
          </w:p>
        </w:tc>
      </w:tr>
      <w:tr>
        <w:trPr>
          <w:trHeight w:val="34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现金流量中列示的现金</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1,922,529,941.21</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1,763,956,347.68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3"/>
        <w:gridCol w:w="3190"/>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58,150,746.88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见本附注六、注释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19,318,612.37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见本附注六、注释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87,617,871.00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见本附注六、注释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22,779,304.17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存放在银行保证金账户归其占有的银行 承兑汇票保证金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187,866,534.42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6,767,191.39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47,209,280.57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4,245,543.95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3,803,073.36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31,392.90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872,297.84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781,386.96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29,255,196.37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204,090,100.92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65,332.21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455,770.56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2,064,213.38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14,400,365.38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2,991,974.66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2,680,151.06</w:t>
            </w:r>
          </w:p>
        </w:tc>
      </w:tr>
    </w:tbl>
    <w:p>
      <w:pPr>
        <w:spacing w:line="240" w:lineRule="auto" w:before="5"/>
        <w:rPr>
          <w:rFonts w:ascii="宋体" w:hAnsi="宋体" w:cs="宋体" w:eastAsia="宋体" w:hint="default"/>
          <w:sz w:val="19"/>
          <w:szCs w:val="19"/>
        </w:rPr>
      </w:pPr>
    </w:p>
    <w:p>
      <w:pPr>
        <w:pStyle w:val="Heading4"/>
        <w:spacing w:line="256" w:lineRule="auto" w:before="36"/>
        <w:ind w:right="98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794"/>
        <w:gridCol w:w="2772"/>
        <w:gridCol w:w="2093"/>
      </w:tblGrid>
      <w:tr>
        <w:trPr>
          <w:trHeight w:val="343" w:hRule="exact"/>
        </w:trPr>
        <w:tc>
          <w:tcPr>
            <w:tcW w:w="4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子（孙）公司名称</w:t>
            </w:r>
          </w:p>
        </w:tc>
        <w:tc>
          <w:tcPr>
            <w:tcW w:w="2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经营地</w:t>
            </w:r>
          </w:p>
        </w:tc>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sz w:val="18"/>
              </w:rPr>
              <w:t>Hong Kong Sino Bridge</w:t>
            </w:r>
            <w:r>
              <w:rPr>
                <w:rFonts w:ascii="Times New Roman"/>
                <w:spacing w:val="-11"/>
                <w:sz w:val="18"/>
              </w:rPr>
              <w:t> </w:t>
            </w:r>
            <w:r>
              <w:rPr>
                <w:rFonts w:ascii="Times New Roman"/>
                <w:sz w:val="18"/>
              </w:rPr>
              <w:t>Limited</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SINO BRIDGE AMERICAN</w:t>
            </w:r>
            <w:r>
              <w:rPr>
                <w:rFonts w:ascii="Times New Roman"/>
                <w:spacing w:val="-9"/>
                <w:sz w:val="18"/>
              </w:rPr>
              <w:t> </w:t>
            </w:r>
            <w:r>
              <w:rPr>
                <w:rFonts w:ascii="Times New Roman"/>
                <w:sz w:val="18"/>
              </w:rPr>
              <w:t>LIMITED</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979"/>
        <w:gridCol w:w="1702"/>
        <w:gridCol w:w="1913"/>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详见附注六注释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7,941,460.75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57,011,526.97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详见附注六注释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57,011,526.97</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27,448,874.32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详见附注六注释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27,448,874.32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2979"/>
        <w:gridCol w:w="1702"/>
        <w:gridCol w:w="1913"/>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冲减相关资产账面价值的政府补助</w:t>
            </w:r>
          </w:p>
        </w:tc>
        <w:tc>
          <w:tcPr>
            <w:tcW w:w="297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297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减：退回的政府补助</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详见本注释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87,779,701.29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92,401,862.04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245"/>
        <w:gridCol w:w="3121"/>
        <w:gridCol w:w="1205"/>
      </w:tblGrid>
      <w:tr>
        <w:trPr>
          <w:trHeight w:val="404"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新华舆情网络预警系统及配套智能移动终端产业化项目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85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62"/>
        <w:gridCol w:w="958"/>
        <w:gridCol w:w="1181"/>
        <w:gridCol w:w="1061"/>
        <w:gridCol w:w="1064"/>
        <w:gridCol w:w="840"/>
        <w:gridCol w:w="1277"/>
        <w:gridCol w:w="1093"/>
        <w:gridCol w:w="1063"/>
      </w:tblGrid>
      <w:tr>
        <w:trPr>
          <w:trHeight w:val="1025"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2" w:lineRule="auto"/>
              <w:ind w:left="305" w:right="305"/>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2" w:lineRule="auto"/>
              <w:ind w:left="115" w:right="110" w:firstLine="180"/>
              <w:jc w:val="left"/>
              <w:rPr>
                <w:rFonts w:ascii="宋体" w:hAnsi="宋体" w:cs="宋体" w:eastAsia="宋体" w:hint="default"/>
                <w:sz w:val="18"/>
                <w:szCs w:val="18"/>
              </w:rPr>
            </w:pPr>
            <w:r>
              <w:rPr>
                <w:rFonts w:ascii="宋体" w:hAnsi="宋体" w:cs="宋体" w:eastAsia="宋体" w:hint="default"/>
                <w:sz w:val="18"/>
                <w:szCs w:val="18"/>
              </w:rPr>
              <w:t>股权 取得时点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2" w:lineRule="auto"/>
              <w:ind w:left="225" w:right="224" w:firstLine="180"/>
              <w:jc w:val="left"/>
              <w:rPr>
                <w:rFonts w:ascii="宋体" w:hAnsi="宋体" w:cs="宋体" w:eastAsia="宋体" w:hint="default"/>
                <w:sz w:val="18"/>
                <w:szCs w:val="18"/>
              </w:rPr>
            </w:pPr>
            <w:r>
              <w:rPr>
                <w:rFonts w:ascii="宋体" w:hAnsi="宋体" w:cs="宋体" w:eastAsia="宋体" w:hint="default"/>
                <w:sz w:val="18"/>
                <w:szCs w:val="18"/>
              </w:rPr>
              <w:t>股权 取得成本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2" w:lineRule="auto"/>
              <w:ind w:left="165" w:right="163" w:firstLine="180"/>
              <w:jc w:val="left"/>
              <w:rPr>
                <w:rFonts w:ascii="宋体" w:hAnsi="宋体" w:cs="宋体" w:eastAsia="宋体" w:hint="default"/>
                <w:sz w:val="18"/>
                <w:szCs w:val="18"/>
              </w:rPr>
            </w:pPr>
            <w:r>
              <w:rPr>
                <w:rFonts w:ascii="宋体" w:hAnsi="宋体" w:cs="宋体" w:eastAsia="宋体" w:hint="default"/>
                <w:sz w:val="18"/>
                <w:szCs w:val="18"/>
              </w:rPr>
              <w:t>股权 取得比例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2" w:lineRule="auto"/>
              <w:ind w:left="167" w:right="165" w:firstLine="180"/>
              <w:jc w:val="left"/>
              <w:rPr>
                <w:rFonts w:ascii="宋体" w:hAnsi="宋体" w:cs="宋体" w:eastAsia="宋体" w:hint="default"/>
                <w:sz w:val="18"/>
                <w:szCs w:val="18"/>
              </w:rPr>
            </w:pPr>
            <w:r>
              <w:rPr>
                <w:rFonts w:ascii="宋体" w:hAnsi="宋体" w:cs="宋体" w:eastAsia="宋体" w:hint="default"/>
                <w:sz w:val="18"/>
                <w:szCs w:val="18"/>
              </w:rPr>
              <w:t>股权 取得方式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2" w:lineRule="auto"/>
              <w:ind w:left="273" w:right="271"/>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7"/>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北京中能博泰 科技有限公司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103,078,000.00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完成工商变更</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44,513,892.41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9,953,033.16</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103"/>
        <w:gridCol w:w="4467"/>
      </w:tblGrid>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1,378,000.00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76,500,000.00</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77,878,000.00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22,192,697.97</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55,685,302.03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1,708,344.91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1,708,344.91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535,269.14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535,269.14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607,065.17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607,065.17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2,276,703.39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2,276,703.39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1,661,282.88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1,661,282.88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42,475.74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42,475.74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350,168.02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350,168.02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2,567,698.72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2,567,698.72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69,113.47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69,113.47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2,425,758.91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2,425,758.91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1,418,402.11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1,418,402.11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1,418,402.11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1,418,402.11</w:t>
            </w:r>
          </w:p>
        </w:tc>
      </w:tr>
    </w:tbl>
    <w:p>
      <w:pPr>
        <w:pStyle w:val="BodyText"/>
        <w:spacing w:line="240" w:lineRule="auto" w:before="49"/>
        <w:ind w:right="986"/>
        <w:jc w:val="left"/>
      </w:pPr>
      <w:r>
        <w:rPr/>
        <w:t>可辨认资产、负债公允价值的确定方法：</w:t>
      </w:r>
    </w:p>
    <w:p>
      <w:pPr>
        <w:spacing w:line="240" w:lineRule="auto" w:before="10"/>
        <w:rPr>
          <w:rFonts w:ascii="宋体" w:hAnsi="宋体" w:cs="宋体" w:eastAsia="宋体" w:hint="default"/>
          <w:sz w:val="17"/>
          <w:szCs w:val="17"/>
        </w:rPr>
      </w:pPr>
    </w:p>
    <w:p>
      <w:pPr>
        <w:pStyle w:val="BodyText"/>
        <w:spacing w:line="302" w:lineRule="auto"/>
        <w:ind w:right="1124" w:firstLine="360"/>
        <w:jc w:val="left"/>
      </w:pPr>
      <w:r>
        <w:rPr/>
        <w:t>因北京中能博泰科技有限公司股东出资尚未全部到位，此处取得的净资产金额与本注释</w:t>
      </w:r>
      <w:r>
        <w:rPr>
          <w:rFonts w:ascii="Times New Roman" w:hAnsi="Times New Roman" w:cs="Times New Roman" w:eastAsia="Times New Roman" w:hint="default"/>
        </w:rPr>
        <w:t>2</w:t>
      </w:r>
      <w:r>
        <w:rPr/>
        <w:t>中取得的可辨认净资产公允价 值份额存在差异。</w:t>
      </w:r>
    </w:p>
    <w:p>
      <w:pPr>
        <w:spacing w:line="240" w:lineRule="auto" w:before="8"/>
        <w:rPr>
          <w:rFonts w:ascii="宋体" w:hAnsi="宋体" w:cs="宋体" w:eastAsia="宋体" w:hint="default"/>
          <w:sz w:val="23"/>
          <w:szCs w:val="23"/>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t>是否存在通过多次交易分步实现企业合并且在报告期内取得控制权的交易</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9"/>
        <w:rPr>
          <w:rFonts w:ascii="宋体" w:hAnsi="宋体" w:cs="宋体" w:eastAsia="宋体" w:hint="default"/>
          <w:sz w:val="16"/>
          <w:szCs w:val="1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2"/>
        <w:gridCol w:w="1592"/>
        <w:gridCol w:w="1596"/>
        <w:gridCol w:w="1596"/>
        <w:gridCol w:w="1597"/>
        <w:gridCol w:w="1596"/>
      </w:tblGrid>
      <w:tr>
        <w:trPr>
          <w:trHeight w:val="1337"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68"/>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1"/>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北京中能博泰科技 有限公司</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57,004,747.61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19,495,252.39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交易对价</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57,004,747.61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19,495,252.39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t>是否存在单次处置对子公司投资即丧失控制权的情形</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19"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93" w:right="89"/>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358"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取得股</w:t>
            </w:r>
          </w:p>
        </w:tc>
        <w:tc>
          <w:tcPr>
            <w:tcW w:w="735"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明数据 信息技 术有限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8" w:right="0"/>
              <w:jc w:val="left"/>
              <w:rPr>
                <w:rFonts w:ascii="Times New Roman" w:hAnsi="Times New Roman" w:cs="Times New Roman" w:eastAsia="Times New Roman" w:hint="default"/>
                <w:sz w:val="18"/>
                <w:szCs w:val="18"/>
              </w:rPr>
            </w:pPr>
            <w:r>
              <w:rPr>
                <w:rFonts w:ascii="Times New Roman"/>
                <w:sz w:val="18"/>
              </w:rPr>
              <w:t>51.00%</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权处置 </w:t>
            </w:r>
            <w:r>
              <w:rPr>
                <w:rFonts w:ascii="宋体" w:hAnsi="宋体" w:cs="宋体" w:eastAsia="宋体" w:hint="default"/>
                <w:spacing w:val="-11"/>
                <w:sz w:val="18"/>
                <w:szCs w:val="18"/>
              </w:rPr>
              <w:t>价款，完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成工商</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281,793.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7"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是否存在通过多次交易分步处置对子公司投资且在本期丧失控制权的情形</w:t>
      </w:r>
    </w:p>
    <w:p>
      <w:pPr>
        <w:pStyle w:val="BodyText"/>
        <w:spacing w:line="240" w:lineRule="auto" w:before="117"/>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360"/>
        <w:jc w:val="left"/>
      </w:pPr>
      <w:r>
        <w:rPr>
          <w:spacing w:val="-2"/>
        </w:rPr>
        <w:t>公司本期投资设立河南东华智慧云城软件有限公司、东华软件（扬州）有限公司、东华智金科技有限公司、东华慧湾数</w:t>
      </w:r>
      <w:r>
        <w:rPr/>
        <w:t> 字科技有限公司、山东曹州云都大数据科技有限公司；本期注销哈密东华软件有限公司，健康乐软件有限公司转为孙公司。</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04"/>
        <w:gridCol w:w="850"/>
        <w:gridCol w:w="992"/>
        <w:gridCol w:w="1418"/>
        <w:gridCol w:w="850"/>
        <w:gridCol w:w="853"/>
        <w:gridCol w:w="1207"/>
      </w:tblGrid>
      <w:tr>
        <w:trPr>
          <w:trHeight w:val="401" w:hRule="exact"/>
        </w:trPr>
        <w:tc>
          <w:tcPr>
            <w:tcW w:w="3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331" w:right="59"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340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哈尔滨市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南昌市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南昌市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04"/>
        <w:gridCol w:w="850"/>
        <w:gridCol w:w="992"/>
        <w:gridCol w:w="1418"/>
        <w:gridCol w:w="850"/>
        <w:gridCol w:w="853"/>
        <w:gridCol w:w="1207"/>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太原市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太原市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东华智慧城市股份有限公司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珠海市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兰州市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兰州市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20"/>
              <w:jc w:val="left"/>
              <w:rPr>
                <w:rFonts w:ascii="宋体" w:hAnsi="宋体" w:cs="宋体" w:eastAsia="宋体" w:hint="default"/>
                <w:sz w:val="18"/>
                <w:szCs w:val="18"/>
              </w:rPr>
            </w:pPr>
            <w:r>
              <w:rPr>
                <w:rFonts w:ascii="宋体" w:hAnsi="宋体" w:cs="宋体" w:eastAsia="宋体" w:hint="default"/>
                <w:sz w:val="18"/>
                <w:szCs w:val="18"/>
              </w:rPr>
              <w:t>风电机组振动监 测诊断系统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盘锦市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盘锦市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1" w:right="59" w:hanging="272"/>
              <w:jc w:val="left"/>
              <w:rPr>
                <w:rFonts w:ascii="宋体" w:hAnsi="宋体" w:cs="宋体" w:eastAsia="宋体" w:hint="default"/>
                <w:sz w:val="18"/>
                <w:szCs w:val="18"/>
              </w:rPr>
            </w:pPr>
            <w:r>
              <w:rPr>
                <w:rFonts w:ascii="宋体" w:hAnsi="宋体" w:cs="宋体" w:eastAsia="宋体" w:hint="default"/>
                <w:sz w:val="18"/>
                <w:szCs w:val="18"/>
              </w:rPr>
              <w:t>呼和浩特 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呼和浩特市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儋州市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儋州市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威海市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威海市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北京卓智能研科技有限公司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长春市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长春市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贵州东华云数据科技有限责任公司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贵阳市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贵阳市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马鞍山市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河北东华冀通软件有限公司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廊坊市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廊坊市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南京东华科创信息技术有限公司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04"/>
        <w:gridCol w:w="850"/>
        <w:gridCol w:w="992"/>
        <w:gridCol w:w="1418"/>
        <w:gridCol w:w="850"/>
        <w:gridCol w:w="853"/>
        <w:gridCol w:w="1207"/>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三亚东华云信数据服务有限公司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三亚市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云南东合数据信息技术有限公司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昆明市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昆明市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广西东华云数据信息技术有限责任公司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南宁市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南宁市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北京国能智研信息科技有限公司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安阳东华软件有限公司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安阳市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东华智城云计算有限公司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东华至高通信技术有限公司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安徽东华智慧城市信息技术有限责任公司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安庆市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安庆市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陕西空港云谷科技有限公司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陕西省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东华鲁信计算机技术有限公司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青岛市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北京银企汇科技有限公司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河南东华大数据科技有限公司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东华软件（扬州）有限公司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东华智金科技有限公司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东华慧湾数字科技有限公司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山东曹州云都大数据科技有限公司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70.85%</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48" w:right="55" w:hanging="89"/>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河南东华智慧云城软件有限公司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邓州市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邓州市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986"/>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left="513" w:right="986"/>
        <w:jc w:val="left"/>
      </w:pPr>
      <w:r>
        <w:rPr/>
        <w:t>北京东华智中能源互联网科技有限公司名称变更为北京卓智能研科技有限公司。</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17" w:firstLine="360"/>
        <w:jc w:val="left"/>
      </w:pPr>
      <w:r>
        <w:rPr>
          <w:spacing w:val="-1"/>
        </w:rPr>
        <w:t>公司本期购买北京卓智能研科技有限公司、北京国能智研信息科技有限公司少数股东持有的</w:t>
      </w:r>
      <w:r>
        <w:rPr>
          <w:rFonts w:ascii="Times New Roman" w:hAnsi="Times New Roman" w:cs="Times New Roman" w:eastAsia="Times New Roman" w:hint="default"/>
          <w:spacing w:val="-1"/>
        </w:rPr>
        <w:t>49%</w:t>
      </w:r>
      <w:r>
        <w:rPr>
          <w:spacing w:val="-1"/>
        </w:rPr>
        <w:t>股权，交易后公司对北</w:t>
      </w:r>
      <w:r>
        <w:rPr/>
        <w:t> 京卓智能研科技有限公司、北京国能智研信息科技有限公司持股比例变为</w:t>
      </w:r>
      <w:r>
        <w:rPr>
          <w:rFonts w:ascii="Times New Roman" w:hAnsi="Times New Roman" w:cs="Times New Roman" w:eastAsia="Times New Roman" w:hint="default"/>
        </w:rPr>
        <w:t>100%</w:t>
      </w:r>
      <w:r>
        <w:rPr/>
        <w:t>。</w:t>
      </w:r>
    </w:p>
    <w:p>
      <w:pPr>
        <w:spacing w:line="240" w:lineRule="auto" w:before="12"/>
        <w:rPr>
          <w:rFonts w:ascii="宋体" w:hAnsi="宋体" w:cs="宋体" w:eastAsia="宋体" w:hint="default"/>
          <w:sz w:val="12"/>
          <w:szCs w:val="12"/>
        </w:rPr>
      </w:pPr>
    </w:p>
    <w:p>
      <w:pPr>
        <w:pStyle w:val="BodyText"/>
        <w:spacing w:line="300" w:lineRule="auto"/>
        <w:ind w:right="986" w:firstLine="360"/>
        <w:jc w:val="left"/>
      </w:pPr>
      <w:r>
        <w:rPr/>
        <w:t>公司所属子</w:t>
      </w:r>
      <w:r>
        <w:rPr>
          <w:rFonts w:ascii="Times New Roman" w:hAnsi="Times New Roman" w:cs="Times New Roman" w:eastAsia="Times New Roman" w:hint="default"/>
        </w:rPr>
        <w:t>-</w:t>
      </w:r>
      <w:r>
        <w:rPr/>
        <w:t>东华云计算有限公司公司对东华恵生活（北京）信息技术有限公司增资，增资后对东华恵生活（北京）信 息技术有限公司持股比例变为</w:t>
      </w:r>
      <w:r>
        <w:rPr>
          <w:rFonts w:ascii="Times New Roman" w:hAnsi="Times New Roman" w:cs="Times New Roman" w:eastAsia="Times New Roman" w:hint="default"/>
        </w:rPr>
        <w:t>77.50%</w:t>
      </w:r>
      <w:r>
        <w:rPr/>
        <w:t>。</w:t>
      </w:r>
    </w:p>
    <w:p>
      <w:pPr>
        <w:spacing w:line="240" w:lineRule="auto" w:before="4"/>
        <w:rPr>
          <w:rFonts w:ascii="宋体" w:hAnsi="宋体" w:cs="宋体" w:eastAsia="宋体" w:hint="default"/>
          <w:sz w:val="22"/>
          <w:szCs w:val="22"/>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北京卓智能研科技有限公司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北京国能智研信息科技有限 公司</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0" w:right="22" w:hanging="807"/>
              <w:jc w:val="left"/>
              <w:rPr>
                <w:rFonts w:ascii="宋体" w:hAnsi="宋体" w:cs="宋体" w:eastAsia="宋体" w:hint="default"/>
                <w:sz w:val="18"/>
                <w:szCs w:val="18"/>
              </w:rPr>
            </w:pPr>
            <w:r>
              <w:rPr>
                <w:rFonts w:ascii="宋体" w:hAnsi="宋体" w:cs="宋体" w:eastAsia="宋体" w:hint="default"/>
                <w:sz w:val="18"/>
                <w:szCs w:val="18"/>
              </w:rPr>
              <w:t>东华恵生活（北京）信息技术 有限公司</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pacing w:val="-4"/>
                <w:sz w:val="18"/>
                <w:szCs w:val="18"/>
              </w:rPr>
              <w:t>减：按取得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处置的股权比例计</w:t>
            </w:r>
            <w:r>
              <w:rPr>
                <w:rFonts w:ascii="宋体" w:hAnsi="宋体" w:cs="宋体" w:eastAsia="宋体" w:hint="default"/>
                <w:sz w:val="18"/>
                <w:szCs w:val="18"/>
              </w:rPr>
              <w:t> 算的子公司净资产份额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-453,654.18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-4,191,257.56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2,156,798.38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1,708,454.18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4,691,257.56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443,201.62</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150,117,383.43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220,607,273.97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-28,103,466.05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-21,705,793.05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-28,103,466.05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-21,705,793.05</w:t>
            </w:r>
          </w:p>
        </w:tc>
      </w:tr>
    </w:tbl>
    <w:p>
      <w:pPr>
        <w:spacing w:line="240" w:lineRule="auto" w:before="5"/>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财务报表范围的结构化主体中的权益</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本公司主要金融工具包括应收款项、其他非流动金融资产、应付款项、短期借款、长期借款等，各项金融工具的详细情</w:t>
      </w:r>
      <w:r>
        <w:rPr/>
        <w:t> 况说明见本附注六相关项目。与这些金融工具有关的风险，以及本公司为降低这些风险采取的风险管理政策如下所述。</w:t>
      </w:r>
    </w:p>
    <w:p>
      <w:pPr>
        <w:spacing w:line="468" w:lineRule="exact" w:before="10"/>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9" w:lineRule="auto" w:before="8"/>
        <w:ind w:right="1130"/>
        <w:jc w:val="both"/>
      </w:pP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spacing w:after="0" w:line="319"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Heading5"/>
        <w:spacing w:line="240" w:lineRule="auto" w:before="44"/>
        <w:ind w:right="986"/>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450" w:lineRule="atLeast" w:before="18"/>
        <w:ind w:left="513" w:right="986"/>
        <w:jc w:val="left"/>
      </w:pPr>
      <w:r>
        <w:rPr/>
        <w:t>（</w:t>
      </w:r>
      <w:r>
        <w:rPr>
          <w:rFonts w:ascii="Times New Roman" w:hAnsi="Times New Roman" w:cs="Times New Roman" w:eastAsia="Times New Roman" w:hint="default"/>
        </w:rPr>
        <w:t>1</w:t>
      </w:r>
      <w:r>
        <w:rPr/>
        <w:t>）外汇风险 </w:t>
      </w:r>
      <w:r>
        <w:rPr>
          <w:spacing w:val="-2"/>
        </w:rPr>
        <w:t>外汇风险，是指金融工具的公允价值或未来现金流量因外汇汇率变动而发生波动的风险。本公司面临的汇率变动的风险</w:t>
      </w:r>
    </w:p>
    <w:p>
      <w:pPr>
        <w:pStyle w:val="BodyText"/>
        <w:spacing w:line="477" w:lineRule="auto" w:before="76"/>
        <w:ind w:left="513" w:right="1394" w:hanging="361"/>
        <w:jc w:val="left"/>
      </w:pPr>
      <w:r>
        <w:rPr/>
        <w:t>主要与公司外币货币性资产、负债及境外经营实体有关。本公司尽可能将外币收入与外币支出相匹配以降低外汇风险。 公司期末外币金融资产和外币金融负债列示见本附注六、注释</w:t>
      </w:r>
      <w:r>
        <w:rPr>
          <w:rFonts w:ascii="Times New Roman" w:hAnsi="Times New Roman" w:cs="Times New Roman" w:eastAsia="Times New Roman" w:hint="default"/>
        </w:rPr>
        <w:t>53</w:t>
      </w:r>
      <w:r>
        <w:rPr/>
        <w:t>之说明。</w:t>
      </w:r>
    </w:p>
    <w:p>
      <w:pPr>
        <w:pStyle w:val="BodyText"/>
        <w:spacing w:line="240" w:lineRule="auto" w:before="21"/>
        <w:ind w:left="513" w:right="986"/>
        <w:jc w:val="left"/>
      </w:pPr>
      <w:r>
        <w:rPr/>
        <w:t>（</w:t>
      </w:r>
      <w:r>
        <w:rPr>
          <w:rFonts w:ascii="Times New Roman" w:hAnsi="Times New Roman" w:cs="Times New Roman" w:eastAsia="Times New Roman" w:hint="default"/>
        </w:rPr>
        <w:t>2</w:t>
      </w:r>
      <w:r>
        <w:rPr/>
        <w:t>）利率风险</w:t>
      </w:r>
    </w:p>
    <w:p>
      <w:pPr>
        <w:spacing w:line="240" w:lineRule="auto" w:before="9"/>
        <w:rPr>
          <w:rFonts w:ascii="宋体" w:hAnsi="宋体" w:cs="宋体" w:eastAsia="宋体" w:hint="default"/>
          <w:sz w:val="16"/>
          <w:szCs w:val="16"/>
        </w:rPr>
      </w:pPr>
    </w:p>
    <w:p>
      <w:pPr>
        <w:pStyle w:val="BodyText"/>
        <w:spacing w:line="316" w:lineRule="auto"/>
        <w:ind w:right="1132" w:firstLine="360"/>
        <w:jc w:val="both"/>
      </w:pPr>
      <w:r>
        <w:rPr>
          <w:spacing w:val="-2"/>
        </w:rPr>
        <w:t>利率风险，是指金融工具的公允价值或未来现金流量因市场利率变动而发生波动的风险。本公司面临的利率风险主要与</w:t>
      </w:r>
      <w:r>
        <w:rPr/>
        <w:t> 本公司以浮动利率计息的借款有关。</w:t>
      </w:r>
    </w:p>
    <w:p>
      <w:pPr>
        <w:spacing w:line="240" w:lineRule="auto" w:before="5"/>
        <w:rPr>
          <w:rFonts w:ascii="宋体" w:hAnsi="宋体" w:cs="宋体" w:eastAsia="宋体" w:hint="default"/>
          <w:sz w:val="13"/>
          <w:szCs w:val="13"/>
        </w:rPr>
      </w:pPr>
    </w:p>
    <w:p>
      <w:pPr>
        <w:pStyle w:val="BodyText"/>
        <w:spacing w:line="312" w:lineRule="auto"/>
        <w:ind w:right="1128" w:firstLine="360"/>
        <w:jc w:val="both"/>
      </w:pPr>
      <w:r>
        <w:rPr>
          <w:spacing w:val="-2"/>
        </w:rPr>
        <w:t>因公司存在银行借款，故在货币政策稳健偏紧和融资供求关系相对偏紧的条件下，会推动银行贷款利率水平上升，从而</w:t>
      </w:r>
      <w:r>
        <w:rPr/>
        <w:t> </w:t>
      </w:r>
      <w:r>
        <w:rPr>
          <w:spacing w:val="-2"/>
        </w:rPr>
        <w:t>增加公司的融资成本。公司通过建立良好的银企关系，根据资金计划合理安排贷款的期限及金额，降低利率波动风险。截至</w:t>
      </w:r>
      <w:r>
        <w:rPr>
          <w:spacing w:val="-64"/>
        </w:rPr>
        <w:t> </w:t>
      </w:r>
      <w:r>
        <w:rPr>
          <w:spacing w:val="-64"/>
        </w:rPr>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日，公司短期借款</w:t>
      </w:r>
      <w:r>
        <w:rPr>
          <w:rFonts w:ascii="Times New Roman" w:hAnsi="Times New Roman" w:cs="Times New Roman" w:eastAsia="Times New Roman" w:hint="default"/>
          <w:spacing w:val="-1"/>
        </w:rPr>
        <w:t>2,072,520,701.00</w:t>
      </w:r>
      <w:r>
        <w:rPr>
          <w:spacing w:val="-1"/>
        </w:rPr>
        <w:t>元，在其他变量不变的假设下，利率发生可能的</w:t>
      </w:r>
      <w:r>
        <w:rPr>
          <w:rFonts w:ascii="Times New Roman" w:hAnsi="Times New Roman" w:cs="Times New Roman" w:eastAsia="Times New Roman" w:hint="default"/>
          <w:spacing w:val="-1"/>
        </w:rPr>
        <w:t>20%</w:t>
      </w:r>
      <w:r>
        <w:rPr>
          <w:spacing w:val="-1"/>
        </w:rPr>
        <w:t>变动时，将不会对公司</w:t>
      </w:r>
      <w:r>
        <w:rPr>
          <w:spacing w:val="-86"/>
        </w:rPr>
        <w:t> </w:t>
      </w:r>
      <w:r>
        <w:rPr>
          <w:spacing w:val="-86"/>
        </w:rPr>
      </w:r>
      <w:r>
        <w:rPr/>
        <w:t>的营业利润和股东权益产生重大的影响。</w:t>
      </w:r>
    </w:p>
    <w:p>
      <w:pPr>
        <w:pStyle w:val="BodyText"/>
        <w:spacing w:line="468" w:lineRule="exact" w:before="14"/>
        <w:ind w:left="513" w:right="986"/>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信用风险，是指金融工具的一方不履行义务，造成另一方发生财务损失的风险。本公司的信用风险主要与应收款项有关。</w:t>
      </w:r>
    </w:p>
    <w:p>
      <w:pPr>
        <w:pStyle w:val="BodyText"/>
        <w:spacing w:line="316" w:lineRule="auto" w:before="8"/>
        <w:ind w:right="986"/>
        <w:jc w:val="left"/>
      </w:pPr>
      <w:r>
        <w:rPr>
          <w:spacing w:val="-2"/>
        </w:rPr>
        <w:t>在客户信用考察方面，本公司首先从客户的经营情况、资金来源、与本公司合作的历史记录等方面进行信用考察，选择商业</w:t>
      </w:r>
      <w:r>
        <w:rPr>
          <w:spacing w:val="-65"/>
        </w:rPr>
        <w:t> </w:t>
      </w:r>
      <w:r>
        <w:rPr>
          <w:spacing w:val="-65"/>
        </w:rPr>
      </w:r>
      <w:r>
        <w:rPr>
          <w:spacing w:val="-2"/>
        </w:rPr>
        <w:t>信誉良好、支付能力较高的客户进行业务合作，如各级行政机关及事业单位、大中型国有企业等；其次，在项目实施过程中</w:t>
      </w:r>
      <w:r>
        <w:rPr>
          <w:spacing w:val="-67"/>
        </w:rPr>
        <w:t> </w:t>
      </w:r>
      <w:r>
        <w:rPr>
          <w:spacing w:val="-67"/>
        </w:rPr>
      </w:r>
      <w:r>
        <w:rPr>
          <w:spacing w:val="-2"/>
        </w:rPr>
        <w:t>要求销售人员密切关注客户的经营情况和财务状况并及时反馈信息，以便在客户出现经营恶化、支付能力下降等情况时能及</w:t>
      </w:r>
      <w:r>
        <w:rPr>
          <w:spacing w:val="-64"/>
        </w:rPr>
        <w:t> </w:t>
      </w:r>
      <w:r>
        <w:rPr>
          <w:spacing w:val="-64"/>
        </w:rPr>
      </w:r>
      <w:r>
        <w:rPr>
          <w:spacing w:val="-2"/>
        </w:rPr>
        <w:t>时采取补救措施。在应收账款控制管理方面，本公司在签订销售合同前均由法律部对合同条款进行审查，防止错漏、歧义发</w:t>
      </w:r>
      <w:r>
        <w:rPr>
          <w:spacing w:val="-64"/>
        </w:rPr>
        <w:t> </w:t>
      </w:r>
      <w:r>
        <w:rPr>
          <w:spacing w:val="-64"/>
        </w:rPr>
      </w:r>
      <w:r>
        <w:rPr>
          <w:spacing w:val="-4"/>
        </w:rPr>
        <w:t>生，并在合同签订时根据客户的信用情况具体确定应收账款的信用额度和信用期间，尽量争取对本公司收取账款有利的条款；</w:t>
      </w:r>
      <w:r>
        <w:rPr>
          <w:spacing w:val="-44"/>
        </w:rPr>
        <w:t> </w:t>
      </w:r>
      <w:r>
        <w:rPr>
          <w:spacing w:val="-44"/>
        </w:rPr>
      </w:r>
      <w:r>
        <w:rPr>
          <w:spacing w:val="-2"/>
        </w:rPr>
        <w:t>其次，对于信用期内的应收账款，要求财务部专门人员定期对账并及时抄报销售部和公司有关高管，以督促销售人员及时做</w:t>
      </w:r>
      <w:r>
        <w:rPr>
          <w:spacing w:val="-63"/>
        </w:rPr>
        <w:t> </w:t>
      </w:r>
      <w:r>
        <w:rPr>
          <w:spacing w:val="-63"/>
        </w:rPr>
      </w:r>
      <w:r>
        <w:rPr>
          <w:spacing w:val="-2"/>
        </w:rPr>
        <w:t>好与客户之间的对账、催收工作；第三，对于超过信用期的应收账款，除财务部继续作好对账工作外，由法律部、销售部会</w:t>
      </w:r>
      <w:r>
        <w:rPr>
          <w:spacing w:val="-66"/>
        </w:rPr>
        <w:t> </w:t>
      </w:r>
      <w:r>
        <w:rPr>
          <w:spacing w:val="-66"/>
        </w:rPr>
      </w:r>
      <w:r>
        <w:rPr/>
        <w:t>同公司有关高管根据客户的具体情况研究确定催收方案；第四，将货款的回笼作为考核相关销售人员的主要指。</w:t>
      </w:r>
    </w:p>
    <w:p>
      <w:pPr>
        <w:pStyle w:val="BodyText"/>
        <w:spacing w:line="468" w:lineRule="exact" w:before="10"/>
        <w:ind w:left="513" w:right="986"/>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本公司加强资金的预测和监控，同时在</w:t>
      </w:r>
      <w:r>
        <w:rPr>
          <w:rFonts w:ascii="Times New Roman" w:hAnsi="Times New Roman" w:cs="Times New Roman" w:eastAsia="Times New Roman" w:hint="default"/>
          <w:spacing w:val="-2"/>
        </w:rPr>
        <w:t>10</w:t>
      </w:r>
      <w:r>
        <w:rPr>
          <w:spacing w:val="-2"/>
        </w:rPr>
        <w:t>家商业银行取得综合授信，银行信贷信誉良好，融资渠道畅通，未来资金来源</w:t>
      </w:r>
    </w:p>
    <w:p>
      <w:pPr>
        <w:pStyle w:val="BodyText"/>
        <w:spacing w:line="300" w:lineRule="auto" w:before="8"/>
        <w:ind w:right="1127"/>
        <w:jc w:val="left"/>
      </w:pPr>
      <w:r>
        <w:rPr>
          <w:spacing w:val="-1"/>
        </w:rPr>
        <w:t>有充足保证。截止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日，本公司资产负债率</w:t>
      </w:r>
      <w:r>
        <w:rPr>
          <w:rFonts w:ascii="Times New Roman" w:hAnsi="Times New Roman" w:cs="Times New Roman" w:eastAsia="Times New Roman" w:hint="default"/>
          <w:spacing w:val="-1"/>
        </w:rPr>
        <w:t>42.98%</w:t>
      </w:r>
      <w:r>
        <w:rPr>
          <w:spacing w:val="-1"/>
        </w:rPr>
        <w:t>，流动比率</w:t>
      </w:r>
      <w:r>
        <w:rPr>
          <w:rFonts w:ascii="Times New Roman" w:hAnsi="Times New Roman" w:cs="Times New Roman" w:eastAsia="Times New Roman" w:hint="default"/>
          <w:spacing w:val="-1"/>
        </w:rPr>
        <w:t>2.05</w:t>
      </w:r>
      <w:r>
        <w:rPr>
          <w:spacing w:val="-1"/>
        </w:rPr>
        <w:t>，有充足的资金偿还债务，不存在重大流动性</w:t>
      </w:r>
      <w:r>
        <w:rPr>
          <w:spacing w:val="-88"/>
        </w:rPr>
        <w:t> </w:t>
      </w:r>
      <w:r>
        <w:rPr>
          <w:spacing w:val="-88"/>
        </w:rPr>
      </w:r>
      <w:r>
        <w:rPr/>
        <w:t>风险。</w:t>
      </w:r>
    </w:p>
    <w:p>
      <w:pPr>
        <w:spacing w:line="240" w:lineRule="auto" w:before="5"/>
        <w:rPr>
          <w:rFonts w:ascii="宋体" w:hAnsi="宋体" w:cs="宋体" w:eastAsia="宋体" w:hint="default"/>
          <w:sz w:val="14"/>
          <w:szCs w:val="14"/>
        </w:rPr>
      </w:pPr>
    </w:p>
    <w:p>
      <w:pPr>
        <w:pStyle w:val="Heading5"/>
        <w:spacing w:line="477" w:lineRule="auto"/>
        <w:ind w:right="8767"/>
        <w:jc w:val="left"/>
        <w:rPr>
          <w:rFonts w:ascii="宋体" w:hAnsi="宋体" w:cs="宋体" w:eastAsia="宋体" w:hint="default"/>
          <w:b w:val="0"/>
          <w:bCs w:val="0"/>
        </w:rPr>
      </w:pPr>
      <w:r>
        <w:rPr/>
        <w:t>（二）金融资产转移</w:t>
      </w:r>
      <w:r>
        <w:rPr>
          <w:w w:val="99"/>
        </w:rPr>
        <w:t> </w:t>
      </w:r>
      <w:r>
        <w:rPr>
          <w:rFonts w:ascii="宋体" w:hAnsi="宋体" w:cs="宋体" w:eastAsia="宋体" w:hint="default"/>
          <w:b w:val="0"/>
          <w:bCs w:val="0"/>
        </w:rPr>
        <w:t>无。</w:t>
      </w:r>
    </w:p>
    <w:p>
      <w:pPr>
        <w:pStyle w:val="Heading5"/>
        <w:spacing w:line="477" w:lineRule="auto" w:before="54"/>
        <w:ind w:right="7682"/>
        <w:jc w:val="left"/>
        <w:rPr>
          <w:rFonts w:ascii="宋体" w:hAnsi="宋体" w:cs="宋体" w:eastAsia="宋体" w:hint="default"/>
          <w:b w:val="0"/>
          <w:bCs w:val="0"/>
        </w:rPr>
      </w:pPr>
      <w:r>
        <w:rPr/>
        <w:t>（三）金融资产与金融负债的抵销</w:t>
      </w:r>
      <w:r>
        <w:rPr>
          <w:w w:val="99"/>
        </w:rPr>
        <w:t> </w:t>
      </w:r>
      <w:r>
        <w:rPr>
          <w:rFonts w:ascii="宋体" w:hAnsi="宋体" w:cs="宋体" w:eastAsia="宋体" w:hint="default"/>
          <w:b w:val="0"/>
          <w:bCs w:val="0"/>
        </w:rPr>
        <w:t>无。</w:t>
      </w:r>
    </w:p>
    <w:p>
      <w:pPr>
        <w:pStyle w:val="Heading3"/>
        <w:spacing w:line="240" w:lineRule="auto" w:before="152"/>
        <w:ind w:right="986"/>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15pt;height:21pt;mso-position-horizontal-relative:char;mso-position-vertical-relative:line" coordorigin="0,0" coordsize="9583,420">
            <v:group style="position:absolute;left:2105;top:14;width:24;height:392" coordorigin="2105,14" coordsize="24,392">
              <v:shape style="position:absolute;left:2105;top:14;width:24;height:392" coordorigin="2105,14" coordsize="24,392" path="m2105,406l2129,406,2129,14,2105,14,2105,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2072;height:392" coordorigin="34,14" coordsize="2072,392">
              <v:shape style="position:absolute;left:34;top:14;width:2072;height:392" coordorigin="34,14" coordsize="2072,392" path="m34,406l2105,406,2105,14,34,14,34,406xe" filled="true" fillcolor="#d2d2d2" stroked="false">
                <v:path arrowok="t"/>
                <v:fill type="solid"/>
              </v:shape>
            </v:group>
            <v:group style="position:absolute;left:2139;top:14;width:22;height:392" coordorigin="2139,14" coordsize="22,392">
              <v:shape style="position:absolute;left:2139;top:14;width:22;height:392" coordorigin="2139,14" coordsize="22,392" path="m2139,406l2160,406,2160,14,2139,14,2139,406xe" filled="true" fillcolor="#d2d2d2"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d2d2d2" stroked="false">
                <v:path arrowok="t"/>
                <v:fill type="solid"/>
              </v:shape>
            </v:group>
            <v:group style="position:absolute;left:2160;top:14;width:7389;height:392" coordorigin="2160,14" coordsize="7389,392">
              <v:shape style="position:absolute;left:2160;top:14;width:7389;height:392" coordorigin="2160,14" coordsize="7389,392" path="m2160,406l9549,406,9549,14,2160,14,2160,406xe" filled="true" fillcolor="#d2d2d2" stroked="false">
                <v:path arrowok="t"/>
                <v:fill type="solid"/>
              </v:shape>
            </v:group>
            <v:group style="position:absolute;left:10;top:10;width:2118;height:2" coordorigin="10,10" coordsize="2118,2">
              <v:shape style="position:absolute;left:10;top:10;width:2118;height:2" coordorigin="10,10" coordsize="2118,0" path="m10,10l2127,10e" filled="false" stroked="true" strokeweight=".47998pt" strokecolor="#000000">
                <v:path arrowok="t"/>
              </v:shape>
            </v:group>
            <v:group style="position:absolute;left:2136;top:10;width:7437;height:2" coordorigin="2136,10" coordsize="7437,2">
              <v:shape style="position:absolute;left:2136;top:10;width:7437;height:2" coordorigin="2136,10" coordsize="7437,0" path="m2136,10l9573,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2118;height:2" coordorigin="10,410" coordsize="2118,2">
              <v:shape style="position:absolute;left:10;top:410;width:2118;height:2" coordorigin="10,410" coordsize="2118,0" path="m10,410l2127,410e" filled="false" stroked="true" strokeweight=".47998pt" strokecolor="#000000">
                <v:path arrowok="t"/>
              </v:shape>
            </v:group>
            <v:group style="position:absolute;left:2132;top:5;width:2;height:411" coordorigin="2132,5" coordsize="2,411">
              <v:shape style="position:absolute;left:2132;top:5;width:2;height:411" coordorigin="2132,5" coordsize="0,411" path="m2132,5l2132,415e" filled="false" stroked="true" strokeweight=".48pt" strokecolor="#000000">
                <v:path arrowok="t"/>
              </v:shape>
            </v:group>
            <v:group style="position:absolute;left:2136;top:410;width:7437;height:2" coordorigin="2136,410" coordsize="7437,2">
              <v:shape style="position:absolute;left:2136;top:410;width:7437;height:2" coordorigin="2136,410" coordsize="7437,0" path="m2136,410l9573,410e" filled="false" stroked="true" strokeweight=".47998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7998pt" strokecolor="#000000">
                <v:path arrowok="t"/>
              </v:shape>
              <v:shape style="position:absolute;left:6;top:10;width:2126;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2132;top:10;width:7447;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期末公允价值</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2127"/>
        <w:gridCol w:w="2127"/>
        <w:gridCol w:w="1985"/>
        <w:gridCol w:w="1207"/>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
              <w:jc w:val="center"/>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
              <w:jc w:val="center"/>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776,140,866.20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776,140,866.20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t>持有交易所上市无锁定期股票，以期末股票收盘价作为第一层次公允价值计量依据。</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360"/>
        <w:jc w:val="both"/>
      </w:pPr>
      <w:r>
        <w:rPr>
          <w:spacing w:val="-2"/>
        </w:rPr>
        <w:t>持有有明确锁定期的股票，如果股票的初始取得成本高于在证券交易所上市交易的同一股票的市价，采用在证券交易所</w:t>
      </w:r>
      <w:r>
        <w:rPr/>
        <w:t> </w:t>
      </w:r>
      <w:r>
        <w:rPr>
          <w:spacing w:val="-2"/>
        </w:rPr>
        <w:t>上市交易的同一股票的市价作为估值日该股票的价值。如果股票的初始取得成本低于在证券交易所上市交易的同一股票的市</w:t>
      </w:r>
      <w:r>
        <w:rPr>
          <w:spacing w:val="-64"/>
        </w:rPr>
        <w:t> </w:t>
      </w:r>
      <w:r>
        <w:rPr>
          <w:spacing w:val="-64"/>
        </w:rPr>
      </w:r>
      <w:r>
        <w:rPr/>
        <w:t>价，采用相应的估值技术确定估值日该股票的公允价值。</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6"/>
        <w:gridCol w:w="852"/>
        <w:gridCol w:w="1560"/>
        <w:gridCol w:w="1416"/>
        <w:gridCol w:w="1419"/>
        <w:gridCol w:w="1344"/>
      </w:tblGrid>
      <w:tr>
        <w:trPr>
          <w:trHeight w:val="715"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4" w:right="74"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5"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3,983.5347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2" w:right="0"/>
              <w:jc w:val="left"/>
              <w:rPr>
                <w:rFonts w:ascii="Times New Roman" w:hAnsi="Times New Roman" w:cs="Times New Roman" w:eastAsia="Times New Roman" w:hint="default"/>
                <w:sz w:val="18"/>
                <w:szCs w:val="18"/>
              </w:rPr>
            </w:pPr>
            <w:r>
              <w:rPr>
                <w:rFonts w:ascii="Times New Roman"/>
                <w:sz w:val="18"/>
              </w:rPr>
              <w:t>20.41%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20.41%</w:t>
            </w:r>
          </w:p>
        </w:tc>
      </w:tr>
    </w:tbl>
    <w:p>
      <w:pPr>
        <w:spacing w:line="240" w:lineRule="auto" w:before="5"/>
        <w:rPr>
          <w:rFonts w:ascii="宋体" w:hAnsi="宋体" w:cs="宋体" w:eastAsia="宋体" w:hint="default"/>
          <w:b/>
          <w:bCs/>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t>本企业子公司的情况详见附注八（一）在子公司中的权益。</w:t>
      </w:r>
    </w:p>
    <w:p>
      <w:pPr>
        <w:spacing w:line="240" w:lineRule="auto" w:before="0"/>
        <w:rPr>
          <w:rFonts w:ascii="宋体" w:hAnsi="宋体" w:cs="宋体" w:eastAsia="宋体" w:hint="default"/>
          <w:sz w:val="18"/>
          <w:szCs w:val="18"/>
        </w:rPr>
      </w:pPr>
    </w:p>
    <w:p>
      <w:pPr>
        <w:pStyle w:val="BodyText"/>
        <w:spacing w:line="501" w:lineRule="auto" w:before="118"/>
        <w:ind w:right="2294"/>
        <w:jc w:val="left"/>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t>本企业重要的合营或联营企业详见附注八（三）在合营安排或联营企业中的权益。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深圳市贝尔加数据信息有限公司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本公司的联营企业</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820"/>
        <w:gridCol w:w="4751"/>
      </w:tblGrid>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建水同欣奋斗企业管理中心（有限合伙）</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本公司董事、总经理</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bl>
    <w:p>
      <w:pPr>
        <w:spacing w:line="240" w:lineRule="auto" w:before="5"/>
        <w:rPr>
          <w:rFonts w:ascii="宋体" w:hAnsi="宋体" w:cs="宋体" w:eastAsia="宋体" w:hint="default"/>
          <w:b/>
          <w:bCs/>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1416"/>
        <w:gridCol w:w="1560"/>
        <w:gridCol w:w="1561"/>
        <w:gridCol w:w="1346"/>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10,261,891.21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16,444,846.40</w:t>
            </w:r>
          </w:p>
        </w:tc>
      </w:tr>
    </w:tbl>
    <w:p>
      <w:pPr>
        <w:pStyle w:val="BodyText"/>
        <w:spacing w:line="240" w:lineRule="auto" w:before="49"/>
        <w:ind w:right="98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1680"/>
        <w:gridCol w:w="2259"/>
        <w:gridCol w:w="2655"/>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3" w:right="0"/>
              <w:jc w:val="left"/>
              <w:rPr>
                <w:rFonts w:ascii="Times New Roman" w:hAnsi="Times New Roman" w:cs="Times New Roman" w:eastAsia="Times New Roman" w:hint="default"/>
                <w:sz w:val="18"/>
                <w:szCs w:val="18"/>
              </w:rPr>
            </w:pPr>
            <w:r>
              <w:rPr>
                <w:rFonts w:ascii="Times New Roman"/>
                <w:sz w:val="18"/>
              </w:rPr>
              <w:t>18,428,242.69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77" w:lineRule="auto" w:before="49"/>
        <w:ind w:left="513" w:right="2473" w:hanging="361"/>
        <w:jc w:val="left"/>
      </w:pPr>
      <w:r>
        <w:rPr/>
        <w:t>购销商品、提供和接受劳务的关联交易说明 存在控制关系且已纳入本公司合并财务报表范围的子公司，其相互间交易及母子公司交易已作抵销。</w:t>
      </w:r>
    </w:p>
    <w:p>
      <w:pPr>
        <w:spacing w:line="240" w:lineRule="auto" w:before="10"/>
        <w:rPr>
          <w:rFonts w:ascii="宋体" w:hAnsi="宋体" w:cs="宋体" w:eastAsia="宋体" w:hint="default"/>
          <w:sz w:val="13"/>
          <w:szCs w:val="13"/>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6"/>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43"/>
        <w:gridCol w:w="2554"/>
        <w:gridCol w:w="1138"/>
        <w:gridCol w:w="1148"/>
        <w:gridCol w:w="1262"/>
        <w:gridCol w:w="994"/>
        <w:gridCol w:w="960"/>
        <w:gridCol w:w="461"/>
      </w:tblGrid>
      <w:tr>
        <w:trPr>
          <w:trHeight w:val="1589" w:hRule="exact"/>
        </w:trPr>
        <w:tc>
          <w:tcPr>
            <w:tcW w:w="1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借款单位</w:t>
            </w:r>
            <w:r>
              <w:rPr>
                <w:rFonts w:ascii="Times New Roman" w:hAnsi="Times New Roman" w:cs="Times New Roman" w:eastAsia="Times New Roman" w:hint="default"/>
                <w:sz w:val="18"/>
                <w:szCs w:val="18"/>
              </w:rPr>
              <w:t>/</w:t>
            </w:r>
            <w:r>
              <w:rPr>
                <w:rFonts w:ascii="宋体" w:hAnsi="宋体" w:cs="宋体" w:eastAsia="宋体" w:hint="default"/>
                <w:sz w:val="18"/>
                <w:szCs w:val="18"/>
              </w:rPr>
              <w:t>借款银行</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0"/>
              <w:ind w:left="45" w:right="43"/>
              <w:jc w:val="both"/>
              <w:rPr>
                <w:rFonts w:ascii="宋体" w:hAnsi="宋体" w:cs="宋体" w:eastAsia="宋体" w:hint="default"/>
                <w:sz w:val="18"/>
                <w:szCs w:val="18"/>
              </w:rPr>
            </w:pPr>
            <w:r>
              <w:rPr>
                <w:rFonts w:ascii="宋体" w:hAnsi="宋体" w:cs="宋体" w:eastAsia="宋体" w:hint="default"/>
                <w:sz w:val="18"/>
                <w:szCs w:val="18"/>
              </w:rPr>
              <w:t>担保 是否 已经 履行 完毕</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7" w:right="2"/>
              <w:jc w:val="left"/>
              <w:rPr>
                <w:rFonts w:ascii="宋体" w:hAnsi="宋体" w:cs="宋体" w:eastAsia="宋体" w:hint="default"/>
                <w:sz w:val="18"/>
                <w:szCs w:val="18"/>
              </w:rPr>
            </w:pPr>
            <w:r>
              <w:rPr>
                <w:rFonts w:ascii="宋体" w:hAnsi="宋体" w:cs="宋体" w:eastAsia="宋体" w:hint="default"/>
                <w:spacing w:val="5"/>
                <w:sz w:val="18"/>
                <w:szCs w:val="18"/>
              </w:rPr>
              <w:t>东华软件股份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中国民生银行股份有限公司北京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中关村支行</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512,850.47</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7" w:right="2"/>
              <w:jc w:val="left"/>
              <w:rPr>
                <w:rFonts w:ascii="宋体" w:hAnsi="宋体" w:cs="宋体" w:eastAsia="宋体" w:hint="default"/>
                <w:sz w:val="18"/>
                <w:szCs w:val="18"/>
              </w:rPr>
            </w:pPr>
            <w:r>
              <w:rPr>
                <w:rFonts w:ascii="宋体" w:hAnsi="宋体" w:cs="宋体" w:eastAsia="宋体" w:hint="default"/>
                <w:sz w:val="18"/>
                <w:szCs w:val="18"/>
              </w:rPr>
              <w:t>中国民生银行股份有限公司北京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中关村支行</w:t>
            </w:r>
          </w:p>
        </w:tc>
        <w:tc>
          <w:tcPr>
            <w:tcW w:w="1138"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180,000,000.00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2019/2/2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2020/2/2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vMerge/>
            <w:tcBorders>
              <w:left w:val="single" w:sz="4" w:space="0" w:color="000000"/>
              <w:right w:val="single" w:sz="4" w:space="0" w:color="000000"/>
            </w:tcBorders>
          </w:tcPr>
          <w:p>
            <w:pPr/>
          </w:p>
        </w:tc>
        <w:tc>
          <w:tcPr>
            <w:tcW w:w="2554"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9,000,000.00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2019/2/12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2020/2/12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2019/4/18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2020/4/17</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2,154,251.13</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7"/>
                <w:sz w:val="18"/>
                <w:szCs w:val="18"/>
              </w:rPr>
              <w:t>东华软件股份 </w:t>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vMerge w:val="restart"/>
            <w:tcBorders>
              <w:top w:val="single" w:sz="4" w:space="0" w:color="000000"/>
              <w:left w:val="single" w:sz="4" w:space="0" w:color="000000"/>
              <w:right w:val="single" w:sz="4" w:space="0" w:color="000000"/>
            </w:tcBorders>
          </w:tcPr>
          <w:p>
            <w:pPr>
              <w:pStyle w:val="TableParagraph"/>
              <w:spacing w:line="316" w:lineRule="auto" w:before="37"/>
              <w:ind w:left="7" w:right="2"/>
              <w:jc w:val="left"/>
              <w:rPr>
                <w:rFonts w:ascii="宋体" w:hAnsi="宋体" w:cs="宋体" w:eastAsia="宋体" w:hint="default"/>
                <w:sz w:val="18"/>
                <w:szCs w:val="18"/>
              </w:rPr>
            </w:pPr>
            <w:r>
              <w:rPr>
                <w:rFonts w:ascii="宋体" w:hAnsi="宋体" w:cs="宋体" w:eastAsia="宋体" w:hint="default"/>
                <w:sz w:val="18"/>
                <w:szCs w:val="18"/>
              </w:rPr>
              <w:t>广发银行股份有限公司北京奥运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村支行</w:t>
            </w:r>
          </w:p>
        </w:tc>
        <w:tc>
          <w:tcPr>
            <w:tcW w:w="1138"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4"/>
              <w:ind w:left="98" w:right="0"/>
              <w:jc w:val="left"/>
              <w:rPr>
                <w:rFonts w:ascii="Times New Roman" w:hAnsi="Times New Roman" w:cs="Times New Roman" w:eastAsia="Times New Roman" w:hint="default"/>
                <w:sz w:val="18"/>
                <w:szCs w:val="18"/>
              </w:rPr>
            </w:pPr>
            <w:r>
              <w:rPr>
                <w:rFonts w:ascii="Times New Roman"/>
                <w:sz w:val="18"/>
              </w:rPr>
              <w:t>10,000,000.00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964,706.40</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2,293,323.17</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广发银行股份有限公司北京奥运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村支行</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150,000,000.00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39,417,005.72</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广发银行股份有限公司北京奥运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村支行</w:t>
            </w:r>
          </w:p>
        </w:tc>
        <w:tc>
          <w:tcPr>
            <w:tcW w:w="113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3" w:right="0"/>
              <w:jc w:val="center"/>
              <w:rPr>
                <w:rFonts w:ascii="Times New Roman" w:hAnsi="Times New Roman" w:cs="Times New Roman" w:eastAsia="Times New Roman" w:hint="default"/>
                <w:sz w:val="18"/>
                <w:szCs w:val="18"/>
              </w:rPr>
            </w:pPr>
            <w:r>
              <w:rPr>
                <w:rFonts w:ascii="Times New Roman"/>
                <w:sz w:val="18"/>
              </w:rPr>
              <w:t>10,000,000.00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915,200.00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4"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316" w:lineRule="auto" w:before="37"/>
              <w:ind w:left="7" w:right="-3"/>
              <w:jc w:val="left"/>
              <w:rPr>
                <w:rFonts w:ascii="宋体" w:hAnsi="宋体" w:cs="宋体" w:eastAsia="宋体" w:hint="default"/>
                <w:sz w:val="18"/>
                <w:szCs w:val="18"/>
              </w:rPr>
            </w:pPr>
            <w:r>
              <w:rPr>
                <w:rFonts w:ascii="宋体" w:hAnsi="宋体" w:cs="宋体" w:eastAsia="宋体" w:hint="default"/>
                <w:spacing w:val="7"/>
                <w:sz w:val="18"/>
                <w:szCs w:val="18"/>
              </w:rPr>
              <w:t>东华软件股份 </w:t>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中国建设银行北京北环支行</w:t>
            </w:r>
          </w:p>
        </w:tc>
        <w:tc>
          <w:tcPr>
            <w:tcW w:w="113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148,000,000.00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16,127,811.80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2019/2/3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2020/2/2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143"/>
        <w:gridCol w:w="2554"/>
        <w:gridCol w:w="1138"/>
        <w:gridCol w:w="1148"/>
        <w:gridCol w:w="1262"/>
        <w:gridCol w:w="994"/>
        <w:gridCol w:w="960"/>
        <w:gridCol w:w="461"/>
      </w:tblGrid>
      <w:tr>
        <w:trPr>
          <w:trHeight w:val="344"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vMerge w:val="restart"/>
            <w:tcBorders>
              <w:top w:val="single" w:sz="4" w:space="0" w:color="000000"/>
              <w:left w:val="single" w:sz="4" w:space="0" w:color="000000"/>
              <w:right w:val="single" w:sz="4" w:space="0" w:color="000000"/>
            </w:tcBorders>
          </w:tcPr>
          <w:p>
            <w:pPr/>
          </w:p>
        </w:tc>
        <w:tc>
          <w:tcPr>
            <w:tcW w:w="1138" w:type="dxa"/>
            <w:vMerge w:val="restart"/>
            <w:tcBorders>
              <w:top w:val="single" w:sz="4" w:space="0" w:color="000000"/>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3,872,188.20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2019/2/25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2020/2/2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2,982,133.70</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7"/>
                <w:sz w:val="18"/>
                <w:szCs w:val="18"/>
              </w:rPr>
              <w:t>东华软件股份 </w:t>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招商银行北京万寿路支行</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8,174,426.64</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招商银行北京万寿路支行</w:t>
            </w:r>
          </w:p>
        </w:tc>
        <w:tc>
          <w:tcPr>
            <w:tcW w:w="1138"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50,000,000.00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2019/8/16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2020/8/10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w:t>
            </w: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753,856.50</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7"/>
                <w:sz w:val="18"/>
                <w:szCs w:val="18"/>
              </w:rPr>
              <w:t>东华软件股份 </w:t>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2"/>
              <w:ind w:left="7" w:right="2"/>
              <w:jc w:val="left"/>
              <w:rPr>
                <w:rFonts w:ascii="宋体" w:hAnsi="宋体" w:cs="宋体" w:eastAsia="宋体" w:hint="default"/>
                <w:sz w:val="18"/>
                <w:szCs w:val="18"/>
              </w:rPr>
            </w:pPr>
            <w:r>
              <w:rPr>
                <w:rFonts w:ascii="宋体" w:hAnsi="宋体" w:cs="宋体" w:eastAsia="宋体" w:hint="default"/>
                <w:sz w:val="18"/>
                <w:szCs w:val="18"/>
              </w:rPr>
              <w:t>中国工商银行股份有限公司北京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南礼士路支行</w:t>
            </w:r>
          </w:p>
        </w:tc>
        <w:tc>
          <w:tcPr>
            <w:tcW w:w="1138"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150,000,000.00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2019/2/1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2020/1/31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vMerge/>
            <w:tcBorders>
              <w:left w:val="single" w:sz="4" w:space="0" w:color="000000"/>
              <w:right w:val="single" w:sz="4" w:space="0" w:color="000000"/>
            </w:tcBorders>
          </w:tcPr>
          <w:p>
            <w:pPr/>
          </w:p>
        </w:tc>
        <w:tc>
          <w:tcPr>
            <w:tcW w:w="2554"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2019/4/9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2020/4/9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2019/8/27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2020/8/28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138" w:type="dxa"/>
            <w:vMerge/>
            <w:tcBorders>
              <w:left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中国工商银行股份有限公司北京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南礼士路支行</w:t>
            </w:r>
          </w:p>
        </w:tc>
        <w:tc>
          <w:tcPr>
            <w:tcW w:w="1138"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5"/>
                <w:sz w:val="18"/>
              </w:rPr>
              <w:t>2019/12/31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2020/12/30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7"/>
                <w:sz w:val="18"/>
                <w:szCs w:val="18"/>
              </w:rPr>
              <w:t>东华软件股份 </w:t>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北京银行中关村支行</w:t>
            </w:r>
          </w:p>
        </w:tc>
        <w:tc>
          <w:tcPr>
            <w:tcW w:w="1138"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150,000,000.00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8" w:right="0"/>
              <w:jc w:val="left"/>
              <w:rPr>
                <w:rFonts w:ascii="Times New Roman" w:hAnsi="Times New Roman" w:cs="Times New Roman" w:eastAsia="Times New Roman" w:hint="default"/>
                <w:sz w:val="18"/>
                <w:szCs w:val="18"/>
              </w:rPr>
            </w:pPr>
            <w:r>
              <w:rPr>
                <w:rFonts w:ascii="Times New Roman"/>
                <w:sz w:val="18"/>
              </w:rPr>
              <w:t>39,660,000.00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4" w:right="0"/>
              <w:jc w:val="left"/>
              <w:rPr>
                <w:rFonts w:ascii="Times New Roman" w:hAnsi="Times New Roman" w:cs="Times New Roman" w:eastAsia="Times New Roman" w:hint="default"/>
                <w:sz w:val="18"/>
                <w:szCs w:val="18"/>
              </w:rPr>
            </w:pPr>
            <w:r>
              <w:rPr>
                <w:rFonts w:ascii="Times New Roman"/>
                <w:sz w:val="18"/>
              </w:rPr>
              <w:t>2019/3/14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2020/3/13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8" w:right="0"/>
              <w:jc w:val="left"/>
              <w:rPr>
                <w:rFonts w:ascii="Times New Roman" w:hAnsi="Times New Roman" w:cs="Times New Roman" w:eastAsia="Times New Roman" w:hint="default"/>
                <w:sz w:val="18"/>
                <w:szCs w:val="18"/>
              </w:rPr>
            </w:pPr>
            <w:r>
              <w:rPr>
                <w:rFonts w:ascii="Times New Roman"/>
                <w:sz w:val="18"/>
              </w:rPr>
              <w:t>49,820,000.00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0" w:right="0"/>
              <w:jc w:val="left"/>
              <w:rPr>
                <w:rFonts w:ascii="Times New Roman" w:hAnsi="Times New Roman" w:cs="Times New Roman" w:eastAsia="Times New Roman" w:hint="default"/>
                <w:sz w:val="18"/>
                <w:szCs w:val="18"/>
              </w:rPr>
            </w:pPr>
            <w:r>
              <w:rPr>
                <w:rFonts w:ascii="Times New Roman"/>
                <w:sz w:val="18"/>
              </w:rPr>
              <w:t>2019/7/4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6" w:right="0"/>
              <w:jc w:val="left"/>
              <w:rPr>
                <w:rFonts w:ascii="Times New Roman" w:hAnsi="Times New Roman" w:cs="Times New Roman" w:eastAsia="Times New Roman" w:hint="default"/>
                <w:sz w:val="18"/>
                <w:szCs w:val="18"/>
              </w:rPr>
            </w:pPr>
            <w:r>
              <w:rPr>
                <w:rFonts w:ascii="Times New Roman"/>
                <w:sz w:val="18"/>
              </w:rPr>
              <w:t>2020/7/3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7"/>
                <w:sz w:val="18"/>
                <w:szCs w:val="18"/>
              </w:rPr>
              <w:t>东华软件股份 </w:t>
            </w:r>
            <w:r>
              <w:rPr>
                <w:rFonts w:ascii="宋体" w:hAnsi="宋体" w:cs="宋体" w:eastAsia="宋体" w:hint="default"/>
                <w:sz w:val="18"/>
                <w:szCs w:val="18"/>
              </w:rPr>
              <w:t>公司</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7" w:right="2"/>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北京分行</w:t>
            </w:r>
          </w:p>
        </w:tc>
        <w:tc>
          <w:tcPr>
            <w:tcW w:w="1138" w:type="dxa"/>
            <w:vMerge/>
            <w:tcBorders>
              <w:left w:val="single" w:sz="4" w:space="0" w:color="000000"/>
              <w:right w:val="single" w:sz="4" w:space="0" w:color="000000"/>
            </w:tcBorders>
          </w:tcPr>
          <w:p>
            <w:pP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200,000,000.00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20,000,000.00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4" w:right="0"/>
              <w:jc w:val="left"/>
              <w:rPr>
                <w:rFonts w:ascii="Times New Roman" w:hAnsi="Times New Roman" w:cs="Times New Roman" w:eastAsia="Times New Roman" w:hint="default"/>
                <w:sz w:val="18"/>
                <w:szCs w:val="18"/>
              </w:rPr>
            </w:pPr>
            <w:r>
              <w:rPr>
                <w:rFonts w:ascii="Times New Roman"/>
                <w:sz w:val="18"/>
              </w:rPr>
              <w:t>2019/4/24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2020/3/30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vMerge/>
            <w:tcBorders>
              <w:left w:val="single" w:sz="4" w:space="0" w:color="000000"/>
              <w:right w:val="single" w:sz="4" w:space="0" w:color="000000"/>
            </w:tcBorders>
          </w:tcPr>
          <w:p>
            <w:pPr/>
          </w:p>
        </w:tc>
        <w:tc>
          <w:tcPr>
            <w:tcW w:w="2554"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13,798,517.00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4" w:right="0"/>
              <w:jc w:val="left"/>
              <w:rPr>
                <w:rFonts w:ascii="Times New Roman" w:hAnsi="Times New Roman" w:cs="Times New Roman" w:eastAsia="Times New Roman" w:hint="default"/>
                <w:sz w:val="18"/>
                <w:szCs w:val="18"/>
              </w:rPr>
            </w:pPr>
            <w:r>
              <w:rPr>
                <w:rFonts w:ascii="Times New Roman"/>
                <w:sz w:val="18"/>
              </w:rPr>
              <w:t>2019/7/24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2020/7/23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1143"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148" w:type="dxa"/>
            <w:vMerge/>
            <w:tcBorders>
              <w:left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14,000,000.00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4" w:right="0"/>
              <w:jc w:val="left"/>
              <w:rPr>
                <w:rFonts w:ascii="Times New Roman" w:hAnsi="Times New Roman" w:cs="Times New Roman" w:eastAsia="Times New Roman" w:hint="default"/>
                <w:sz w:val="18"/>
                <w:szCs w:val="18"/>
              </w:rPr>
            </w:pPr>
            <w:r>
              <w:rPr>
                <w:rFonts w:ascii="Times New Roman"/>
                <w:sz w:val="18"/>
              </w:rPr>
              <w:t>2019/8/16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0" w:right="0"/>
              <w:jc w:val="left"/>
              <w:rPr>
                <w:rFonts w:ascii="Times New Roman" w:hAnsi="Times New Roman" w:cs="Times New Roman" w:eastAsia="Times New Roman" w:hint="default"/>
                <w:sz w:val="18"/>
                <w:szCs w:val="18"/>
              </w:rPr>
            </w:pPr>
            <w:r>
              <w:rPr>
                <w:rFonts w:ascii="Times New Roman"/>
                <w:sz w:val="18"/>
              </w:rPr>
              <w:t>2020/8/15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信用证</w:t>
            </w:r>
          </w:p>
        </w:tc>
        <w:tc>
          <w:tcPr>
            <w:tcW w:w="255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47,243,301.78</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9"/>
          <w:szCs w:val="9"/>
        </w:rPr>
      </w:pPr>
    </w:p>
    <w:p>
      <w:pPr>
        <w:pStyle w:val="BodyText"/>
        <w:spacing w:line="240" w:lineRule="auto" w:before="44"/>
        <w:ind w:left="513" w:right="986"/>
        <w:jc w:val="left"/>
      </w:pPr>
      <w:r>
        <w:rPr/>
        <w:t>关联担保情况说明：</w:t>
      </w:r>
    </w:p>
    <w:p>
      <w:pPr>
        <w:spacing w:line="240" w:lineRule="auto" w:before="10"/>
        <w:rPr>
          <w:rFonts w:ascii="宋体" w:hAnsi="宋体" w:cs="宋体" w:eastAsia="宋体" w:hint="default"/>
          <w:sz w:val="17"/>
          <w:szCs w:val="17"/>
        </w:rPr>
      </w:pPr>
    </w:p>
    <w:p>
      <w:pPr>
        <w:pStyle w:val="BodyText"/>
        <w:spacing w:line="302" w:lineRule="auto"/>
        <w:ind w:right="1130" w:firstLine="36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01</w:t>
      </w:r>
      <w:r>
        <w:rPr>
          <w:spacing w:val="4"/>
        </w:rPr>
        <w:t>月</w:t>
      </w:r>
      <w:r>
        <w:rPr>
          <w:rFonts w:ascii="Times New Roman" w:hAnsi="Times New Roman" w:cs="Times New Roman" w:eastAsia="Times New Roman" w:hint="default"/>
          <w:spacing w:val="4"/>
        </w:rPr>
        <w:t>30</w:t>
      </w:r>
      <w:r>
        <w:rPr>
          <w:spacing w:val="4"/>
        </w:rPr>
        <w:t>日，公司与中国民生银行股份有限公司北京分行签订的《最高额保证合同》（编号</w:t>
      </w:r>
      <w:r>
        <w:rPr>
          <w:rFonts w:ascii="Times New Roman" w:hAnsi="Times New Roman" w:cs="Times New Roman" w:eastAsia="Times New Roman" w:hint="default"/>
          <w:spacing w:val="4"/>
        </w:rPr>
        <w:t>“</w:t>
      </w:r>
      <w:r>
        <w:rPr>
          <w:spacing w:val="4"/>
        </w:rPr>
        <w:t>公高保字第</w:t>
      </w:r>
      <w:r>
        <w:rPr/>
        <w:t> </w:t>
      </w:r>
      <w:r>
        <w:rPr>
          <w:rFonts w:ascii="Times New Roman" w:hAnsi="Times New Roman" w:cs="Times New Roman" w:eastAsia="Times New Roman" w:hint="default"/>
          <w:spacing w:val="-1"/>
        </w:rPr>
        <w:t>1900000002900</w:t>
      </w:r>
      <w:r>
        <w:rPr>
          <w:spacing w:val="-1"/>
        </w:rPr>
        <w:t>号</w:t>
      </w:r>
      <w:r>
        <w:rPr>
          <w:rFonts w:ascii="Times New Roman" w:hAnsi="Times New Roman" w:cs="Times New Roman" w:eastAsia="Times New Roman" w:hint="default"/>
          <w:spacing w:val="-1"/>
        </w:rPr>
        <w:t>”</w:t>
      </w:r>
      <w:r>
        <w:rPr>
          <w:spacing w:val="-1"/>
        </w:rPr>
        <w:t>），为公司与该行签订的编号为</w:t>
      </w:r>
      <w:r>
        <w:rPr>
          <w:rFonts w:ascii="Times New Roman" w:hAnsi="Times New Roman" w:cs="Times New Roman" w:eastAsia="Times New Roman" w:hint="default"/>
          <w:spacing w:val="-1"/>
        </w:rPr>
        <w:t>“</w:t>
      </w:r>
      <w:r>
        <w:rPr>
          <w:spacing w:val="-1"/>
        </w:rPr>
        <w:t>公授信字第</w:t>
      </w:r>
      <w:r>
        <w:rPr>
          <w:rFonts w:ascii="Times New Roman" w:hAnsi="Times New Roman" w:cs="Times New Roman" w:eastAsia="Times New Roman" w:hint="default"/>
          <w:spacing w:val="-1"/>
        </w:rPr>
        <w:t>1900000002900</w:t>
      </w:r>
      <w:r>
        <w:rPr>
          <w:spacing w:val="-1"/>
        </w:rPr>
        <w:t>号</w:t>
      </w:r>
      <w:r>
        <w:rPr>
          <w:rFonts w:ascii="Times New Roman" w:hAnsi="Times New Roman" w:cs="Times New Roman" w:eastAsia="Times New Roman" w:hint="default"/>
          <w:spacing w:val="-1"/>
        </w:rPr>
        <w:t>”</w:t>
      </w:r>
      <w:r>
        <w:rPr>
          <w:spacing w:val="-1"/>
        </w:rPr>
        <w:t>《综合授信合同》项下公司所属子公司</w:t>
      </w:r>
      <w:r>
        <w:rPr>
          <w:rFonts w:ascii="Times New Roman" w:hAnsi="Times New Roman" w:cs="Times New Roman" w:eastAsia="Times New Roman" w:hint="default"/>
          <w:spacing w:val="-1"/>
        </w:rPr>
        <w:t>-</w:t>
      </w:r>
      <w:r>
        <w:rPr>
          <w:spacing w:val="-1"/>
        </w:rPr>
        <w:t>北</w:t>
      </w:r>
      <w:r>
        <w:rPr>
          <w:spacing w:val="-55"/>
        </w:rPr>
        <w:t> </w:t>
      </w:r>
      <w:r>
        <w:rPr>
          <w:spacing w:val="-2"/>
        </w:rPr>
        <w:t>京东华合创科技有限公司、北京银联通科技有限公司、北京神州新桥科技有限公司在该行的全部债务提供最高额保证，保证</w:t>
      </w:r>
      <w:r>
        <w:rPr>
          <w:spacing w:val="-63"/>
        </w:rPr>
        <w:t> </w:t>
      </w:r>
      <w:r>
        <w:rPr>
          <w:spacing w:val="-63"/>
        </w:rPr>
      </w:r>
      <w:r>
        <w:rPr/>
        <w:t>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29</w:t>
      </w:r>
      <w:r>
        <w:rPr/>
        <w:t>日，北京东华合创科技有限公司最高限额为</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w:t>
      </w:r>
      <w:r>
        <w:rPr>
          <w:spacing w:val="-47"/>
        </w:rPr>
        <w:t> </w:t>
      </w:r>
      <w:r>
        <w:rPr>
          <w:spacing w:val="-47"/>
        </w:rPr>
      </w:r>
      <w:r>
        <w:rPr/>
        <w:t>东华合创科技有限公司在该合同项下未结清的保函金额</w:t>
      </w:r>
      <w:r>
        <w:rPr>
          <w:rFonts w:ascii="Times New Roman" w:hAnsi="Times New Roman" w:cs="Times New Roman" w:eastAsia="Times New Roman" w:hint="default"/>
        </w:rPr>
        <w:t>512,850.47</w:t>
      </w:r>
      <w:r>
        <w:rPr/>
        <w:t>元；北京神州新桥科技有限公司最高限额为</w:t>
      </w:r>
      <w:r>
        <w:rPr>
          <w:rFonts w:ascii="Times New Roman" w:hAnsi="Times New Roman" w:cs="Times New Roman" w:eastAsia="Times New Roman" w:hint="default"/>
        </w:rPr>
        <w:t>18,000</w:t>
      </w:r>
      <w:r>
        <w:rPr/>
        <w:t>万元，</w:t>
      </w:r>
      <w:r>
        <w:rPr>
          <w:spacing w:val="-46"/>
        </w:rPr>
        <w:t> </w:t>
      </w:r>
      <w:r>
        <w:rPr>
          <w:spacing w:val="-46"/>
        </w:rPr>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日，北京神州新桥科技有限公司在该合同项下借款余额</w:t>
      </w:r>
      <w:r>
        <w:rPr>
          <w:rFonts w:ascii="Times New Roman" w:hAnsi="Times New Roman" w:cs="Times New Roman" w:eastAsia="Times New Roman" w:hint="default"/>
        </w:rPr>
        <w:t>115,000,000.00</w:t>
      </w:r>
      <w:r>
        <w:rPr/>
        <w:t>元，未结清的保函金额</w:t>
      </w:r>
      <w:r>
        <w:rPr>
          <w:rFonts w:ascii="Times New Roman" w:hAnsi="Times New Roman" w:cs="Times New Roman" w:eastAsia="Times New Roman" w:hint="default"/>
        </w:rPr>
        <w:t>2,154,251.13 </w:t>
      </w:r>
      <w:r>
        <w:rPr/>
        <w:t>元。</w:t>
      </w:r>
    </w:p>
    <w:p>
      <w:pPr>
        <w:spacing w:line="240" w:lineRule="auto" w:before="2"/>
        <w:rPr>
          <w:rFonts w:ascii="宋体" w:hAnsi="宋体" w:cs="宋体" w:eastAsia="宋体" w:hint="default"/>
          <w:sz w:val="14"/>
          <w:szCs w:val="14"/>
        </w:rPr>
      </w:pPr>
    </w:p>
    <w:p>
      <w:pPr>
        <w:pStyle w:val="BodyText"/>
        <w:spacing w:line="300" w:lineRule="auto"/>
        <w:ind w:right="109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05</w:t>
      </w:r>
      <w:r>
        <w:rPr/>
        <w:t>日，公司与广发银行股份有限公司北京奥运村支行签订的编号为</w:t>
      </w:r>
      <w:r>
        <w:rPr>
          <w:rFonts w:ascii="Times New Roman" w:hAnsi="Times New Roman" w:cs="Times New Roman" w:eastAsia="Times New Roman" w:hint="default"/>
        </w:rPr>
        <w:t>“(2019)</w:t>
      </w:r>
      <w:r>
        <w:rPr/>
        <w:t>京银综授额字第</w:t>
      </w:r>
      <w:r>
        <w:rPr>
          <w:rFonts w:ascii="Times New Roman" w:hAnsi="Times New Roman" w:cs="Times New Roman" w:eastAsia="Times New Roman" w:hint="default"/>
        </w:rPr>
        <w:t>000160</w:t>
      </w:r>
      <w:r>
        <w:rPr/>
        <w:t>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的《授信额度合同》，授信期限为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04</w:t>
      </w:r>
      <w:r>
        <w:rPr/>
        <w:t>日。北京神州新桥科技有限公司最高限额为</w:t>
      </w:r>
      <w:r>
        <w:rPr>
          <w:rFonts w:ascii="Times New Roman" w:hAnsi="Times New Roman" w:cs="Times New Roman" w:eastAsia="Times New Roman" w:hint="default"/>
        </w:rPr>
        <w:t>15,000</w:t>
      </w:r>
      <w:r>
        <w:rPr/>
        <w:t>万元， 北京东华合创科技有限公司和北京联银通科技有限公司最高限额均为</w:t>
      </w:r>
      <w:r>
        <w:rPr>
          <w:rFonts w:ascii="Times New Roman" w:hAnsi="Times New Roman" w:cs="Times New Roman" w:eastAsia="Times New Roman" w:hint="default"/>
        </w:rPr>
        <w:t>1,000</w:t>
      </w:r>
      <w:r>
        <w:rPr/>
        <w:t>万。截至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日，北京东华合创科技有</w:t>
      </w:r>
      <w:r>
        <w:rPr>
          <w:spacing w:val="-41"/>
        </w:rPr>
        <w:t> </w:t>
      </w:r>
      <w:r>
        <w:rPr>
          <w:spacing w:val="-41"/>
        </w:rPr>
      </w:r>
      <w:r>
        <w:rPr/>
        <w:t>限公司在该行未结清的保函余额为</w:t>
      </w:r>
      <w:r>
        <w:rPr>
          <w:rFonts w:ascii="Times New Roman" w:hAnsi="Times New Roman" w:cs="Times New Roman" w:eastAsia="Times New Roman" w:hint="default"/>
        </w:rPr>
        <w:t>964,706.4</w:t>
      </w:r>
      <w:r>
        <w:rPr/>
        <w:t>元，银行承兑汇票余额为</w:t>
      </w:r>
      <w:r>
        <w:rPr>
          <w:rFonts w:ascii="Times New Roman" w:hAnsi="Times New Roman" w:cs="Times New Roman" w:eastAsia="Times New Roman" w:hint="default"/>
        </w:rPr>
        <w:t>2,293,323.17</w:t>
      </w:r>
      <w:r>
        <w:rPr/>
        <w:t>元；北京神州新桥科技有限公司在该行未</w:t>
      </w:r>
      <w:r>
        <w:rPr>
          <w:spacing w:val="-49"/>
        </w:rPr>
        <w:t> </w:t>
      </w:r>
      <w:r>
        <w:rPr>
          <w:spacing w:val="-49"/>
        </w:rPr>
      </w:r>
      <w:r>
        <w:rPr/>
        <w:t>结清的保函余额为</w:t>
      </w:r>
      <w:r>
        <w:rPr>
          <w:rFonts w:ascii="Times New Roman" w:hAnsi="Times New Roman" w:cs="Times New Roman" w:eastAsia="Times New Roman" w:hint="default"/>
        </w:rPr>
        <w:t>39,417,005.72</w:t>
      </w:r>
      <w:r>
        <w:rPr/>
        <w:t>元；北京联银通科技有限公司在该行未结清的保函余额为</w:t>
      </w:r>
      <w:r>
        <w:rPr>
          <w:rFonts w:ascii="Times New Roman" w:hAnsi="Times New Roman" w:cs="Times New Roman" w:eastAsia="Times New Roman" w:hint="default"/>
        </w:rPr>
        <w:t>915,200.00</w:t>
      </w:r>
      <w:r>
        <w:rPr/>
        <w:t>元。</w:t>
      </w:r>
    </w:p>
    <w:p>
      <w:pPr>
        <w:spacing w:line="240" w:lineRule="auto" w:before="12"/>
        <w:rPr>
          <w:rFonts w:ascii="宋体" w:hAnsi="宋体" w:cs="宋体" w:eastAsia="宋体" w:hint="default"/>
          <w:sz w:val="12"/>
          <w:szCs w:val="12"/>
        </w:rPr>
      </w:pPr>
    </w:p>
    <w:p>
      <w:pPr>
        <w:pStyle w:val="BodyText"/>
        <w:spacing w:line="300" w:lineRule="auto"/>
        <w:ind w:right="1130" w:firstLine="360"/>
        <w:jc w:val="both"/>
      </w:pPr>
      <w:r>
        <w:rPr/>
        <w:t>（</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04</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w:t>
      </w:r>
      <w:r>
        <w:rPr>
          <w:spacing w:val="-57"/>
        </w:rPr>
        <w:t> </w:t>
      </w:r>
      <w:r>
        <w:rPr/>
        <w:t>，</w:t>
      </w:r>
      <w:r>
        <w:rPr>
          <w:spacing w:val="-57"/>
        </w:rPr>
        <w:t> </w:t>
      </w:r>
      <w:r>
        <w:rPr/>
        <w:t>公</w:t>
      </w:r>
      <w:r>
        <w:rPr>
          <w:spacing w:val="-55"/>
        </w:rPr>
        <w:t> </w:t>
      </w:r>
      <w:r>
        <w:rPr/>
        <w:t>司</w:t>
      </w:r>
      <w:r>
        <w:rPr>
          <w:spacing w:val="-57"/>
        </w:rPr>
        <w:t> </w:t>
      </w:r>
      <w:r>
        <w:rPr/>
        <w:t>通</w:t>
      </w:r>
      <w:r>
        <w:rPr>
          <w:spacing w:val="-57"/>
        </w:rPr>
        <w:t> </w:t>
      </w:r>
      <w:r>
        <w:rPr/>
        <w:t>过</w:t>
      </w:r>
      <w:r>
        <w:rPr>
          <w:spacing w:val="-57"/>
        </w:rPr>
        <w:t> </w:t>
      </w:r>
      <w:r>
        <w:rPr/>
        <w:t>中</w:t>
      </w:r>
      <w:r>
        <w:rPr>
          <w:spacing w:val="-55"/>
        </w:rPr>
        <w:t> </w:t>
      </w:r>
      <w:r>
        <w:rPr/>
        <w:t>国</w:t>
      </w:r>
      <w:r>
        <w:rPr>
          <w:spacing w:val="-57"/>
        </w:rPr>
        <w:t> </w:t>
      </w:r>
      <w:r>
        <w:rPr/>
        <w:t>建</w:t>
      </w:r>
      <w:r>
        <w:rPr>
          <w:spacing w:val="-55"/>
        </w:rPr>
        <w:t> </w:t>
      </w:r>
      <w:r>
        <w:rPr/>
        <w:t>设</w:t>
      </w:r>
      <w:r>
        <w:rPr>
          <w:spacing w:val="-57"/>
        </w:rPr>
        <w:t> </w:t>
      </w:r>
      <w:r>
        <w:rPr/>
        <w:t>银</w:t>
      </w:r>
      <w:r>
        <w:rPr>
          <w:spacing w:val="-57"/>
        </w:rPr>
        <w:t> </w:t>
      </w:r>
      <w:r>
        <w:rPr/>
        <w:t>行</w:t>
      </w:r>
      <w:r>
        <w:rPr>
          <w:spacing w:val="-55"/>
        </w:rPr>
        <w:t> </w:t>
      </w:r>
      <w:r>
        <w:rPr/>
        <w:t>股</w:t>
      </w:r>
      <w:r>
        <w:rPr>
          <w:spacing w:val="-57"/>
        </w:rPr>
        <w:t> </w:t>
      </w:r>
      <w:r>
        <w:rPr/>
        <w:t>份</w:t>
      </w:r>
      <w:r>
        <w:rPr>
          <w:spacing w:val="-55"/>
        </w:rPr>
        <w:t> </w:t>
      </w:r>
      <w:r>
        <w:rPr/>
        <w:t>有</w:t>
      </w:r>
      <w:r>
        <w:rPr>
          <w:spacing w:val="-57"/>
        </w:rPr>
        <w:t> </w:t>
      </w:r>
      <w:r>
        <w:rPr/>
        <w:t>限</w:t>
      </w:r>
      <w:r>
        <w:rPr>
          <w:spacing w:val="-57"/>
        </w:rPr>
        <w:t> </w:t>
      </w:r>
      <w:r>
        <w:rPr/>
        <w:t>公</w:t>
      </w:r>
      <w:r>
        <w:rPr>
          <w:spacing w:val="-57"/>
        </w:rPr>
        <w:t> </w:t>
      </w:r>
      <w:r>
        <w:rPr/>
        <w:t>司</w:t>
      </w:r>
      <w:r>
        <w:rPr>
          <w:spacing w:val="-55"/>
        </w:rPr>
        <w:t> </w:t>
      </w:r>
      <w:r>
        <w:rPr/>
        <w:t>北</w:t>
      </w:r>
      <w:r>
        <w:rPr>
          <w:spacing w:val="-57"/>
        </w:rPr>
        <w:t> </w:t>
      </w:r>
      <w:r>
        <w:rPr/>
        <w:t>京</w:t>
      </w:r>
      <w:r>
        <w:rPr>
          <w:spacing w:val="-55"/>
        </w:rPr>
        <w:t> </w:t>
      </w:r>
      <w:r>
        <w:rPr/>
        <w:t>市</w:t>
      </w:r>
      <w:r>
        <w:rPr>
          <w:spacing w:val="-57"/>
        </w:rPr>
        <w:t> </w:t>
      </w:r>
      <w:r>
        <w:rPr/>
        <w:t>分</w:t>
      </w:r>
      <w:r>
        <w:rPr>
          <w:spacing w:val="-57"/>
        </w:rPr>
        <w:t> </w:t>
      </w:r>
      <w:r>
        <w:rPr/>
        <w:t>行</w:t>
      </w:r>
      <w:r>
        <w:rPr>
          <w:spacing w:val="-55"/>
        </w:rPr>
        <w:t> </w:t>
      </w:r>
      <w:r>
        <w:rPr/>
        <w:t>的</w:t>
      </w:r>
      <w:r>
        <w:rPr>
          <w:spacing w:val="-57"/>
        </w:rPr>
        <w:t> </w:t>
      </w:r>
      <w:r>
        <w:rPr/>
        <w:t>信</w:t>
      </w:r>
      <w:r>
        <w:rPr>
          <w:spacing w:val="-55"/>
        </w:rPr>
        <w:t> </w:t>
      </w:r>
      <w:r>
        <w:rPr/>
        <w:t>用</w:t>
      </w:r>
      <w:r>
        <w:rPr>
          <w:spacing w:val="-57"/>
        </w:rPr>
        <w:t> </w:t>
      </w:r>
      <w:r>
        <w:rPr/>
        <w:t>额</w:t>
      </w:r>
      <w:r>
        <w:rPr>
          <w:spacing w:val="-57"/>
        </w:rPr>
        <w:t> </w:t>
      </w:r>
      <w:r>
        <w:rPr/>
        <w:t>度</w:t>
      </w:r>
      <w:r>
        <w:rPr>
          <w:spacing w:val="-57"/>
        </w:rPr>
        <w:t> </w:t>
      </w:r>
      <w:r>
        <w:rPr/>
        <w:t>审</w:t>
      </w:r>
      <w:r>
        <w:rPr>
          <w:spacing w:val="-55"/>
        </w:rPr>
        <w:t> </w:t>
      </w:r>
      <w:r>
        <w:rPr/>
        <w:t>批</w:t>
      </w:r>
      <w:r>
        <w:rPr>
          <w:spacing w:val="-57"/>
        </w:rPr>
        <w:t> </w:t>
      </w:r>
      <w:r>
        <w:rPr/>
        <w:t>，</w:t>
      </w:r>
      <w:r>
        <w:rPr>
          <w:spacing w:val="-55"/>
        </w:rPr>
        <w:t> </w:t>
      </w:r>
      <w:r>
        <w:rPr/>
        <w:t>批</w:t>
      </w:r>
      <w:r>
        <w:rPr>
          <w:spacing w:val="-57"/>
        </w:rPr>
        <w:t> </w:t>
      </w:r>
      <w:r>
        <w:rPr/>
        <w:t>复</w:t>
      </w:r>
      <w:r>
        <w:rPr>
          <w:spacing w:val="-57"/>
        </w:rPr>
        <w:t> </w:t>
      </w:r>
      <w:r>
        <w:rPr/>
        <w:t>编</w:t>
      </w:r>
      <w:r>
        <w:rPr>
          <w:spacing w:val="-57"/>
        </w:rPr>
        <w:t> </w:t>
      </w:r>
      <w:r>
        <w:rPr/>
        <w:t>号</w:t>
      </w:r>
      <w:r>
        <w:rPr/>
        <w:t> </w:t>
      </w:r>
      <w:r>
        <w:rPr>
          <w:rFonts w:ascii="Times New Roman" w:hAnsi="Times New Roman" w:cs="Times New Roman" w:eastAsia="Times New Roman" w:hint="default"/>
        </w:rPr>
        <w:t>PIFU110000000N201912826</w:t>
      </w:r>
      <w:r>
        <w:rPr/>
        <w:t>。授信期限为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26</w:t>
      </w:r>
      <w:r>
        <w:rPr/>
        <w:t>日。同意给予公司所属子公司</w:t>
      </w:r>
      <w:r>
        <w:rPr>
          <w:rFonts w:ascii="Times New Roman" w:hAnsi="Times New Roman" w:cs="Times New Roman" w:eastAsia="Times New Roman" w:hint="default"/>
        </w:rPr>
        <w:t>-</w:t>
      </w:r>
      <w:r>
        <w:rPr/>
        <w:t>北京神州新桥科技</w:t>
      </w:r>
      <w:r>
        <w:rPr>
          <w:spacing w:val="-54"/>
        </w:rPr>
        <w:t> </w:t>
      </w:r>
      <w:r>
        <w:rPr>
          <w:spacing w:val="-54"/>
        </w:rPr>
      </w:r>
      <w:r>
        <w:rPr>
          <w:spacing w:val="-1"/>
        </w:rPr>
        <w:t>有限公司信用额度</w:t>
      </w:r>
      <w:r>
        <w:rPr>
          <w:rFonts w:ascii="Times New Roman" w:hAnsi="Times New Roman" w:cs="Times New Roman" w:eastAsia="Times New Roman" w:hint="default"/>
          <w:spacing w:val="-1"/>
        </w:rPr>
        <w:t>14,800</w:t>
      </w:r>
      <w:r>
        <w:rPr>
          <w:spacing w:val="-1"/>
        </w:rPr>
        <w:t>万元，由母公司东华软件股份公司提供最高额保证担保。截至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日，北京神州新桥科技</w:t>
      </w:r>
      <w:r>
        <w:rPr>
          <w:spacing w:val="-76"/>
        </w:rPr>
        <w:t> </w:t>
      </w:r>
      <w:r>
        <w:rPr>
          <w:spacing w:val="-76"/>
        </w:rPr>
      </w:r>
      <w:r>
        <w:rPr/>
        <w:t>有限公司在该授信额度下借款余额为</w:t>
      </w:r>
      <w:r>
        <w:rPr>
          <w:rFonts w:ascii="Times New Roman" w:hAnsi="Times New Roman" w:cs="Times New Roman" w:eastAsia="Times New Roman" w:hint="default"/>
        </w:rPr>
        <w:t>2,000</w:t>
      </w:r>
      <w:r>
        <w:rPr/>
        <w:t>万元，未结清的保函余额为</w:t>
      </w:r>
      <w:r>
        <w:rPr>
          <w:rFonts w:ascii="Times New Roman" w:hAnsi="Times New Roman" w:cs="Times New Roman" w:eastAsia="Times New Roman" w:hint="default"/>
        </w:rPr>
        <w:t>2,982,133.70</w:t>
      </w:r>
      <w:r>
        <w:rPr/>
        <w:t>元。</w:t>
      </w:r>
    </w:p>
    <w:p>
      <w:pPr>
        <w:spacing w:after="0" w:line="300" w:lineRule="auto"/>
        <w:jc w:val="both"/>
        <w:sectPr>
          <w:pgSz w:w="11910" w:h="16840"/>
          <w:pgMar w:header="748" w:footer="979" w:top="1060" w:bottom="1160" w:left="980" w:right="0"/>
        </w:sectPr>
      </w:pPr>
    </w:p>
    <w:p>
      <w:pPr>
        <w:spacing w:line="240" w:lineRule="auto" w:before="10"/>
        <w:rPr>
          <w:rFonts w:ascii="宋体" w:hAnsi="宋体" w:cs="宋体" w:eastAsia="宋体" w:hint="default"/>
          <w:sz w:val="25"/>
          <w:szCs w:val="25"/>
        </w:rPr>
      </w:pPr>
    </w:p>
    <w:p>
      <w:pPr>
        <w:pStyle w:val="BodyText"/>
        <w:spacing w:line="304" w:lineRule="auto" w:before="44"/>
        <w:ind w:right="1126"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06</w:t>
      </w:r>
      <w:r>
        <w:rPr>
          <w:spacing w:val="-2"/>
        </w:rPr>
        <w:t>月</w:t>
      </w:r>
      <w:r>
        <w:rPr>
          <w:rFonts w:ascii="Times New Roman" w:hAnsi="Times New Roman" w:cs="Times New Roman" w:eastAsia="Times New Roman" w:hint="default"/>
          <w:spacing w:val="-2"/>
        </w:rPr>
        <w:t>04</w:t>
      </w:r>
      <w:r>
        <w:rPr>
          <w:spacing w:val="-2"/>
        </w:rPr>
        <w:t>日，公司与招商银行股份有限公司北京万寿路支行签订了《授信协议》（编号：</w:t>
      </w:r>
      <w:r>
        <w:rPr>
          <w:rFonts w:ascii="Times New Roman" w:hAnsi="Times New Roman" w:cs="Times New Roman" w:eastAsia="Times New Roman" w:hint="default"/>
          <w:spacing w:val="-2"/>
        </w:rPr>
        <w:t>2019</w:t>
      </w:r>
      <w:r>
        <w:rPr>
          <w:spacing w:val="-2"/>
        </w:rPr>
        <w:t>年万授字第</w:t>
      </w:r>
      <w:r>
        <w:rPr>
          <w:rFonts w:ascii="Times New Roman" w:hAnsi="Times New Roman" w:cs="Times New Roman" w:eastAsia="Times New Roman" w:hint="default"/>
          <w:spacing w:val="-2"/>
        </w:rPr>
        <w:t>006</w:t>
      </w:r>
      <w:r>
        <w:rPr>
          <w:rFonts w:ascii="Times New Roman" w:hAnsi="Times New Roman" w:cs="Times New Roman" w:eastAsia="Times New Roman" w:hint="default"/>
        </w:rPr>
        <w:t> </w:t>
      </w:r>
      <w:r>
        <w:rPr>
          <w:spacing w:val="-2"/>
        </w:rPr>
        <w:t>号），其中补充协议同意公司下属子公司占用母公司额度。子公司北京东华合创科技有限公司可占用人民币叁仟万元整，北</w:t>
      </w:r>
      <w:r>
        <w:rPr>
          <w:spacing w:val="-65"/>
        </w:rPr>
        <w:t> </w:t>
      </w:r>
      <w:r>
        <w:rPr>
          <w:spacing w:val="-65"/>
        </w:rPr>
      </w:r>
      <w:r>
        <w:rPr/>
        <w:t>京神州新桥科技有限公司可占用人民币伍仟万元整。授信期限</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04</w:t>
      </w:r>
      <w:r>
        <w:rPr/>
        <w:t>日起到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03</w:t>
      </w:r>
      <w:r>
        <w:rPr/>
        <w:t>日止。截至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4"/>
        </w:rPr>
        <w:t> </w:t>
      </w:r>
      <w:r>
        <w:rPr/>
        <w:t>日，北京东华合创科技有限公司在该合同项下未结清保函金额为</w:t>
      </w:r>
      <w:r>
        <w:rPr>
          <w:rFonts w:ascii="Times New Roman" w:hAnsi="Times New Roman" w:cs="Times New Roman" w:eastAsia="Times New Roman" w:hint="default"/>
        </w:rPr>
        <w:t>8,174,426.64</w:t>
      </w:r>
      <w:r>
        <w:rPr/>
        <w:t>元；北京神州新桥科技有限公司在该合同项下</w:t>
      </w:r>
      <w:r>
        <w:rPr>
          <w:spacing w:val="-46"/>
        </w:rPr>
        <w:t> </w:t>
      </w:r>
      <w:r>
        <w:rPr>
          <w:spacing w:val="-46"/>
        </w:rPr>
      </w:r>
      <w:r>
        <w:rPr/>
        <w:t>借款余额为</w:t>
      </w:r>
      <w:r>
        <w:rPr>
          <w:rFonts w:ascii="Times New Roman" w:hAnsi="Times New Roman" w:cs="Times New Roman" w:eastAsia="Times New Roman" w:hint="default"/>
        </w:rPr>
        <w:t>600</w:t>
      </w:r>
      <w:r>
        <w:rPr/>
        <w:t>万元，未结清保函金额为</w:t>
      </w:r>
      <w:r>
        <w:rPr>
          <w:rFonts w:ascii="Times New Roman" w:hAnsi="Times New Roman" w:cs="Times New Roman" w:eastAsia="Times New Roman" w:hint="default"/>
        </w:rPr>
        <w:t>753,856.50</w:t>
      </w:r>
      <w:r>
        <w:rPr/>
        <w:t>元。</w:t>
      </w:r>
    </w:p>
    <w:p>
      <w:pPr>
        <w:spacing w:line="240" w:lineRule="auto" w:before="8"/>
        <w:rPr>
          <w:rFonts w:ascii="宋体" w:hAnsi="宋体" w:cs="宋体" w:eastAsia="宋体" w:hint="default"/>
          <w:sz w:val="12"/>
          <w:szCs w:val="12"/>
        </w:rPr>
      </w:pPr>
    </w:p>
    <w:p>
      <w:pPr>
        <w:pStyle w:val="BodyText"/>
        <w:spacing w:line="300" w:lineRule="auto"/>
        <w:ind w:right="1129" w:firstLine="360"/>
        <w:jc w:val="both"/>
      </w:pPr>
      <w:r>
        <w:rPr>
          <w:spacing w:val="9"/>
        </w:rPr>
        <w:t>（</w:t>
      </w:r>
      <w:r>
        <w:rPr>
          <w:rFonts w:ascii="Times New Roman" w:hAnsi="Times New Roman" w:cs="Times New Roman" w:eastAsia="Times New Roman" w:hint="default"/>
          <w:spacing w:val="9"/>
        </w:rPr>
        <w:t>5</w:t>
      </w:r>
      <w:r>
        <w:rPr>
          <w:spacing w:val="9"/>
        </w:rPr>
        <w:t>）</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04</w:t>
      </w:r>
      <w:r>
        <w:rPr>
          <w:spacing w:val="9"/>
        </w:rPr>
        <w:t>月</w:t>
      </w:r>
      <w:r>
        <w:rPr>
          <w:rFonts w:ascii="Times New Roman" w:hAnsi="Times New Roman" w:cs="Times New Roman" w:eastAsia="Times New Roman" w:hint="default"/>
          <w:spacing w:val="9"/>
        </w:rPr>
        <w:t>09</w:t>
      </w:r>
      <w:r>
        <w:rPr>
          <w:spacing w:val="9"/>
        </w:rPr>
        <w:t>日，公司与中国工商银行股份有限公司北京南礼士路支行签订《最高额保证合同》（编号：</w:t>
      </w:r>
      <w:r>
        <w:rPr/>
        <w:t> </w:t>
      </w:r>
      <w:r>
        <w:rPr>
          <w:rFonts w:ascii="Times New Roman" w:hAnsi="Times New Roman" w:cs="Times New Roman" w:eastAsia="Times New Roman" w:hint="default"/>
        </w:rPr>
        <w:t>0020000057-2019</w:t>
      </w:r>
      <w:r>
        <w:rPr/>
        <w:t>年礼士（保）字</w:t>
      </w:r>
      <w:r>
        <w:rPr>
          <w:rFonts w:ascii="Times New Roman" w:hAnsi="Times New Roman" w:cs="Times New Roman" w:eastAsia="Times New Roman" w:hint="default"/>
        </w:rPr>
        <w:t>0007</w:t>
      </w:r>
      <w:r>
        <w:rPr/>
        <w:t>号），最高额度</w:t>
      </w:r>
      <w:r>
        <w:rPr>
          <w:rFonts w:ascii="Times New Roman" w:hAnsi="Times New Roman" w:cs="Times New Roman" w:eastAsia="Times New Roman" w:hint="default"/>
        </w:rPr>
        <w:t>15,000</w:t>
      </w:r>
      <w:r>
        <w:rPr/>
        <w:t>万元，为公司所属子公司北京神州新桥科技有限公司在该行发</w:t>
      </w:r>
      <w:r>
        <w:rPr>
          <w:spacing w:val="-28"/>
        </w:rPr>
        <w:t> </w:t>
      </w:r>
      <w:r>
        <w:rPr>
          <w:spacing w:val="-28"/>
        </w:rPr>
      </w:r>
      <w:r>
        <w:rPr>
          <w:spacing w:val="-2"/>
        </w:rPr>
        <w:t>生的债务承担连带责任保证。保证期限自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03</w:t>
      </w:r>
      <w:r>
        <w:rPr>
          <w:spacing w:val="-2"/>
        </w:rPr>
        <w:t>月</w:t>
      </w:r>
      <w:r>
        <w:rPr>
          <w:rFonts w:ascii="Times New Roman" w:hAnsi="Times New Roman" w:cs="Times New Roman" w:eastAsia="Times New Roman" w:hint="default"/>
          <w:spacing w:val="-2"/>
        </w:rPr>
        <w:t>25</w:t>
      </w:r>
      <w:r>
        <w:rPr>
          <w:spacing w:val="-2"/>
        </w:rPr>
        <w:t>日。截至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日，北京神州新桥科技有限</w:t>
      </w:r>
      <w:r>
        <w:rPr>
          <w:spacing w:val="-49"/>
        </w:rPr>
        <w:t> </w:t>
      </w:r>
      <w:r>
        <w:rPr>
          <w:spacing w:val="-49"/>
        </w:rPr>
      </w:r>
      <w:r>
        <w:rPr/>
        <w:t>公司在该合同项下借款余额为</w:t>
      </w:r>
      <w:r>
        <w:rPr>
          <w:rFonts w:ascii="Times New Roman" w:hAnsi="Times New Roman" w:cs="Times New Roman" w:eastAsia="Times New Roman" w:hint="default"/>
        </w:rPr>
        <w:t>80,000,000.00</w:t>
      </w:r>
      <w:r>
        <w:rPr/>
        <w:t>元，银行承兑汇票余额为</w:t>
      </w:r>
      <w:r>
        <w:rPr>
          <w:rFonts w:ascii="Times New Roman" w:hAnsi="Times New Roman" w:cs="Times New Roman" w:eastAsia="Times New Roman" w:hint="default"/>
        </w:rPr>
        <w:t>30,000,000.00</w:t>
      </w:r>
      <w:r>
        <w:rPr/>
        <w:t>。北京东华合创科技有限公司最高限额为</w:t>
      </w:r>
      <w:r>
        <w:rPr>
          <w:spacing w:val="-87"/>
        </w:rPr>
        <w:t> </w:t>
      </w:r>
      <w:r>
        <w:rPr>
          <w:spacing w:val="-87"/>
        </w:rPr>
      </w:r>
      <w:r>
        <w:rPr>
          <w:rFonts w:ascii="Times New Roman" w:hAnsi="Times New Roman" w:cs="Times New Roman" w:eastAsia="Times New Roman" w:hint="default"/>
        </w:rPr>
        <w:t>1,000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日，北京东华合创科技有限公司在该合同项下借款余额为</w:t>
      </w:r>
      <w:r>
        <w:rPr>
          <w:rFonts w:ascii="Times New Roman" w:hAnsi="Times New Roman" w:cs="Times New Roman" w:eastAsia="Times New Roman" w:hint="default"/>
        </w:rPr>
        <w:t>50,000.00</w:t>
      </w:r>
      <w:r>
        <w:rPr/>
        <w:t>元。</w:t>
      </w:r>
    </w:p>
    <w:p>
      <w:pPr>
        <w:spacing w:line="240" w:lineRule="auto" w:before="13"/>
        <w:rPr>
          <w:rFonts w:ascii="宋体" w:hAnsi="宋体" w:cs="宋体" w:eastAsia="宋体" w:hint="default"/>
          <w:sz w:val="12"/>
          <w:szCs w:val="12"/>
        </w:rPr>
      </w:pPr>
    </w:p>
    <w:p>
      <w:pPr>
        <w:pStyle w:val="BodyText"/>
        <w:spacing w:line="300" w:lineRule="auto"/>
        <w:ind w:right="1126"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21</w:t>
      </w:r>
      <w:r>
        <w:rPr/>
        <w:t>日，公司与北京银行股份有限公司中关村科技园区支行签订编号为</w:t>
      </w:r>
      <w:r>
        <w:rPr>
          <w:rFonts w:ascii="Times New Roman" w:hAnsi="Times New Roman" w:cs="Times New Roman" w:eastAsia="Times New Roman" w:hint="default"/>
        </w:rPr>
        <w:t>“0540537”</w:t>
      </w:r>
      <w:r>
        <w:rPr/>
        <w:t>《综合授信合同》</w:t>
      </w:r>
      <w:r>
        <w:rPr>
          <w:rFonts w:ascii="Times New Roman" w:hAnsi="Times New Roman" w:cs="Times New Roman" w:eastAsia="Times New Roman" w:hint="default"/>
        </w:rPr>
        <w:t>,</w:t>
      </w:r>
      <w:r>
        <w:rPr/>
        <w:t>授 信期限为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13</w:t>
      </w:r>
      <w:r>
        <w:rPr/>
        <w:t>日，公司与该行签订的编号为</w:t>
      </w:r>
      <w:r>
        <w:rPr>
          <w:rFonts w:ascii="Times New Roman" w:hAnsi="Times New Roman" w:cs="Times New Roman" w:eastAsia="Times New Roman" w:hint="default"/>
        </w:rPr>
        <w:t>“0538574_001”</w:t>
      </w:r>
      <w:r>
        <w:rPr/>
        <w:t>的《最高额保证合</w:t>
      </w:r>
      <w:r>
        <w:rPr>
          <w:spacing w:val="-72"/>
        </w:rPr>
        <w:t> </w:t>
      </w:r>
      <w:r>
        <w:rPr>
          <w:spacing w:val="-1"/>
        </w:rPr>
        <w:t>同》，为所属子公司</w:t>
      </w:r>
      <w:r>
        <w:rPr>
          <w:rFonts w:ascii="Times New Roman" w:hAnsi="Times New Roman" w:cs="Times New Roman" w:eastAsia="Times New Roman" w:hint="default"/>
          <w:spacing w:val="-1"/>
        </w:rPr>
        <w:t>-</w:t>
      </w:r>
      <w:r>
        <w:rPr>
          <w:spacing w:val="-1"/>
        </w:rPr>
        <w:t>北京神州新桥科技有限公司与该行签订的编号为</w:t>
      </w:r>
      <w:r>
        <w:rPr>
          <w:rFonts w:ascii="Times New Roman" w:hAnsi="Times New Roman" w:cs="Times New Roman" w:eastAsia="Times New Roman" w:hint="default"/>
          <w:spacing w:val="-1"/>
        </w:rPr>
        <w:t>“0538574”</w:t>
      </w:r>
      <w:r>
        <w:rPr>
          <w:spacing w:val="-1"/>
        </w:rPr>
        <w:t>的《综合授信合同》提供连带责任保证。担</w:t>
      </w:r>
      <w:r>
        <w:rPr>
          <w:spacing w:val="-65"/>
        </w:rPr>
        <w:t> </w:t>
      </w:r>
      <w:r>
        <w:rPr>
          <w:spacing w:val="-65"/>
        </w:rPr>
      </w:r>
      <w:r>
        <w:rPr>
          <w:spacing w:val="-1"/>
        </w:rPr>
        <w:t>保期限为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13</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12</w:t>
      </w:r>
      <w:r>
        <w:rPr>
          <w:spacing w:val="-1"/>
        </w:rPr>
        <w:t>日，最高担保额度是人民币</w:t>
      </w:r>
      <w:r>
        <w:rPr>
          <w:rFonts w:ascii="Times New Roman" w:hAnsi="Times New Roman" w:cs="Times New Roman" w:eastAsia="Times New Roman" w:hint="default"/>
          <w:spacing w:val="-1"/>
        </w:rPr>
        <w:t>15,000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日，北京神州新桥科技</w:t>
      </w:r>
      <w:r>
        <w:rPr>
          <w:spacing w:val="-74"/>
        </w:rPr>
        <w:t> </w:t>
      </w:r>
      <w:r>
        <w:rPr>
          <w:spacing w:val="-74"/>
        </w:rPr>
      </w:r>
      <w:r>
        <w:rPr/>
        <w:t>有限公司在上述合同项下的借款余额为</w:t>
      </w:r>
      <w:r>
        <w:rPr>
          <w:rFonts w:ascii="Times New Roman" w:hAnsi="Times New Roman" w:cs="Times New Roman" w:eastAsia="Times New Roman" w:hint="default"/>
        </w:rPr>
        <w:t>89,480,000.00</w:t>
      </w:r>
      <w:r>
        <w:rPr/>
        <w:t>万元。</w:t>
      </w:r>
    </w:p>
    <w:p>
      <w:pPr>
        <w:spacing w:line="240" w:lineRule="auto" w:before="12"/>
        <w:rPr>
          <w:rFonts w:ascii="宋体" w:hAnsi="宋体" w:cs="宋体" w:eastAsia="宋体" w:hint="default"/>
          <w:sz w:val="12"/>
          <w:szCs w:val="12"/>
        </w:rPr>
      </w:pPr>
    </w:p>
    <w:p>
      <w:pPr>
        <w:pStyle w:val="BodyText"/>
        <w:spacing w:line="300" w:lineRule="auto"/>
        <w:ind w:right="1126" w:firstLine="360"/>
        <w:jc w:val="both"/>
      </w:pPr>
      <w:r>
        <w:rPr>
          <w:spacing w:val="-1"/>
        </w:rPr>
        <w:t>（</w:t>
      </w: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04</w:t>
      </w:r>
      <w:r>
        <w:rPr>
          <w:spacing w:val="-1"/>
        </w:rPr>
        <w:t>月</w:t>
      </w:r>
      <w:r>
        <w:rPr>
          <w:rFonts w:ascii="Times New Roman" w:hAnsi="Times New Roman" w:cs="Times New Roman" w:eastAsia="Times New Roman" w:hint="default"/>
          <w:spacing w:val="-1"/>
        </w:rPr>
        <w:t>12</w:t>
      </w:r>
      <w:r>
        <w:rPr>
          <w:spacing w:val="-1"/>
        </w:rPr>
        <w:t>日，公司与上海浦东发展银行股份有限公司北京分行签订的编号为</w:t>
      </w:r>
      <w:r>
        <w:rPr>
          <w:rFonts w:ascii="Times New Roman" w:hAnsi="Times New Roman" w:cs="Times New Roman" w:eastAsia="Times New Roman" w:hint="default"/>
          <w:spacing w:val="-1"/>
        </w:rPr>
        <w:t>“ZB9135201900000001”</w:t>
      </w:r>
      <w:r>
        <w:rPr>
          <w:spacing w:val="-1"/>
        </w:rPr>
        <w:t>的《最高</w:t>
      </w:r>
      <w:r>
        <w:rPr/>
        <w:t> </w:t>
      </w:r>
      <w:r>
        <w:rPr>
          <w:spacing w:val="-5"/>
        </w:rPr>
        <w:t>额保证合同》，为公司所属子公司北京神州新桥科技有限公司在该行发生的债务承担连带责任保证，所担保的主债权为自</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1"/>
        </w:rPr>
        <w:t>年</w:t>
      </w:r>
      <w:r>
        <w:rPr>
          <w:rFonts w:ascii="Times New Roman" w:hAnsi="Times New Roman" w:cs="Times New Roman" w:eastAsia="Times New Roman" w:hint="default"/>
          <w:spacing w:val="-1"/>
        </w:rPr>
        <w:t>04</w:t>
      </w:r>
      <w:r>
        <w:rPr>
          <w:spacing w:val="-1"/>
        </w:rPr>
        <w:t>月</w:t>
      </w:r>
      <w:r>
        <w:rPr>
          <w:rFonts w:ascii="Times New Roman" w:hAnsi="Times New Roman" w:cs="Times New Roman" w:eastAsia="Times New Roman" w:hint="default"/>
          <w:spacing w:val="-1"/>
        </w:rPr>
        <w:t>12</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08</w:t>
      </w:r>
      <w:r>
        <w:rPr>
          <w:spacing w:val="-1"/>
        </w:rPr>
        <w:t>日期间，主债权余额以最高不超过人民币</w:t>
      </w:r>
      <w:r>
        <w:rPr>
          <w:rFonts w:ascii="Times New Roman" w:hAnsi="Times New Roman" w:cs="Times New Roman" w:eastAsia="Times New Roman" w:hint="default"/>
          <w:spacing w:val="-1"/>
        </w:rPr>
        <w:t>20,000</w:t>
      </w:r>
      <w:r>
        <w:rPr>
          <w:spacing w:val="-1"/>
        </w:rPr>
        <w:t>万元为限。截至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w:t>
      </w:r>
      <w:r>
        <w:rPr>
          <w:spacing w:val="-75"/>
        </w:rPr>
        <w:t> </w:t>
      </w:r>
      <w:r>
        <w:rPr>
          <w:spacing w:val="-75"/>
        </w:rPr>
      </w:r>
      <w:r>
        <w:rPr/>
        <w:t>科技有限公司在上述合同项下的短期借款余额为</w:t>
      </w:r>
      <w:r>
        <w:rPr>
          <w:rFonts w:ascii="Times New Roman" w:hAnsi="Times New Roman" w:cs="Times New Roman" w:eastAsia="Times New Roman" w:hint="default"/>
        </w:rPr>
        <w:t>47,798,517.00</w:t>
      </w:r>
      <w:r>
        <w:rPr/>
        <w:t>元，信用证金额为</w:t>
      </w:r>
      <w:r>
        <w:rPr>
          <w:rFonts w:ascii="Times New Roman" w:hAnsi="Times New Roman" w:cs="Times New Roman" w:eastAsia="Times New Roman" w:hint="default"/>
        </w:rPr>
        <w:t>47,243,301.78</w:t>
      </w:r>
      <w:r>
        <w:rPr/>
        <w:t>元。</w:t>
      </w:r>
    </w:p>
    <w:p>
      <w:pPr>
        <w:spacing w:line="240" w:lineRule="auto" w:before="5"/>
        <w:rPr>
          <w:rFonts w:ascii="宋体" w:hAnsi="宋体" w:cs="宋体" w:eastAsia="宋体" w:hint="default"/>
          <w:sz w:val="22"/>
          <w:szCs w:val="22"/>
        </w:rPr>
      </w:pPr>
    </w:p>
    <w:p>
      <w:pPr>
        <w:pStyle w:val="Heading4"/>
        <w:spacing w:line="240" w:lineRule="auto"/>
        <w:ind w:right="986"/>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63"/>
        <w:gridCol w:w="1841"/>
        <w:gridCol w:w="1702"/>
        <w:gridCol w:w="1561"/>
        <w:gridCol w:w="1207"/>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195,190,000.00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213,566,408.41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建水同欣奋斗企业管理中心（有限合伙）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2,938,123.28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513,084,752.57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199,547,700.00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建水同欣奋斗企业管理中心（有限合伙）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14,098,220.01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10,074,900.00</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北京卓讯科信技术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20,189,952.00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201,899.52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深圳市贝尔加数据 信息有限公司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45,392,803.40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8,697,141.02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45,392,803.40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3,309,105.34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3140"/>
        <w:gridCol w:w="1982"/>
        <w:gridCol w:w="2057"/>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183,423.98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7,509,140.00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w:t>
            </w:r>
          </w:p>
        </w:tc>
        <w:tc>
          <w:tcPr>
            <w:tcW w:w="1982"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3,129,315.79</w:t>
            </w:r>
          </w:p>
        </w:tc>
        <w:tc>
          <w:tcPr>
            <w:tcW w:w="205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321,024,068.36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1,220,692,014.85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1,206,673,306.44</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建水同欣奋斗企业管理中心</w:t>
            </w:r>
          </w:p>
        </w:tc>
        <w:tc>
          <w:tcPr>
            <w:tcW w:w="1982"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1,819,911.38</w:t>
            </w:r>
          </w:p>
        </w:tc>
        <w:tc>
          <w:tcPr>
            <w:tcW w:w="205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12,980,008.11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pict>
          <v:shape style="position:absolute;margin-left:282.263pt;margin-top:-72.966324pt;width:149.950pt;height:19.6pt;mso-position-horizontal-relative:page;mso-position-vertical-relative:paragraph;z-index:-1079200" type="#_x0000_t202" filled="false" stroked="false">
            <v:textbox inset="0,0,0,0">
              <w:txbxContent>
                <w:p>
                  <w:pPr>
                    <w:pStyle w:val="BodyText"/>
                    <w:spacing w:line="240" w:lineRule="auto" w:before="49"/>
                    <w:ind w:left="0" w:right="0"/>
                    <w:jc w:val="left"/>
                  </w:pPr>
                  <w:r>
                    <w:rPr/>
                    <w:t>（有限合伙）</w:t>
                  </w:r>
                </w:p>
              </w:txbxContent>
            </v:textbox>
            <w10:wrap type="none"/>
          </v:shape>
        </w:pict>
      </w:r>
      <w:r>
        <w:rPr/>
        <w:pict>
          <v:shape style="position:absolute;margin-left:282.263pt;margin-top:-32.760323pt;width:149.950pt;height:19.6pt;mso-position-horizontal-relative:page;mso-position-vertical-relative:paragraph;z-index:-1079176" type="#_x0000_t202" filled="false" stroked="false">
            <v:textbox inset="0,0,0,0">
              <w:txbxContent>
                <w:p>
                  <w:pPr>
                    <w:pStyle w:val="BodyText"/>
                    <w:spacing w:line="240" w:lineRule="auto" w:before="49"/>
                    <w:ind w:left="0" w:right="0"/>
                    <w:jc w:val="left"/>
                  </w:pPr>
                  <w:r>
                    <w:rPr/>
                    <w:t>（有限合伙）</w:t>
                  </w:r>
                </w:p>
              </w:txbxContent>
            </v:textbox>
            <w10:wrap type="none"/>
          </v:shape>
        </w:pict>
      </w: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3"/>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t>公司不存在需要披露的重要或有事项。</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962;top:14;width:24;height:394" coordorigin="4962,14" coordsize="24,394">
              <v:shape style="position:absolute;left:4962;top:14;width:24;height:394" coordorigin="4962,14" coordsize="24,394" path="m4962,408l4986,408,4986,14,4962,14,4962,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929;height:394" coordorigin="34,14" coordsize="4929,394">
              <v:shape style="position:absolute;left:34;top:14;width:4929;height:394" coordorigin="34,14" coordsize="4929,394" path="m34,408l4962,408,4962,14,34,14,34,408xe" filled="true" fillcolor="#d2d2d2" stroked="false">
                <v:path arrowok="t"/>
                <v:fill type="solid"/>
              </v:shape>
            </v:group>
            <v:group style="position:absolute;left:10;top:10;width:4974;height:2" coordorigin="10,10" coordsize="4974,2">
              <v:shape style="position:absolute;left:10;top:10;width:4974;height:2" coordorigin="10,10" coordsize="4974,0" path="m10,10l4983,10e" filled="false" stroked="true" strokeweight=".48pt" strokecolor="#000000">
                <v:path arrowok="t"/>
              </v:shape>
            </v:group>
            <v:group style="position:absolute;left:4993;top:10;width:4578;height:2" coordorigin="4993,10" coordsize="4578,2">
              <v:shape style="position:absolute;left:4993;top:10;width:4578;height:2" coordorigin="4993,10" coordsize="4578,0" path="m4993,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4;height:2" coordorigin="10,413" coordsize="4974,2">
              <v:shape style="position:absolute;left:10;top:413;width:4974;height:2" coordorigin="10,413" coordsize="4974,0" path="m10,413l4983,413e" filled="false" stroked="true" strokeweight=".48001pt" strokecolor="#000000">
                <v:path arrowok="t"/>
              </v:shape>
            </v:group>
            <v:group style="position:absolute;left:4988;top:5;width:2;height:413" coordorigin="4988,5" coordsize="2,413">
              <v:shape style="position:absolute;left:4988;top:5;width:2;height:413" coordorigin="4988,5" coordsize="0,413" path="m4988,5l4988,418e" filled="false" stroked="true" strokeweight=".48001pt" strokecolor="#000000">
                <v:path arrowok="t"/>
              </v:shape>
            </v:group>
            <v:group style="position:absolute;left:4993;top:413;width:4578;height:2" coordorigin="4993,413" coordsize="4578,2">
              <v:shape style="position:absolute;left:4993;top:413;width:4578;height:2" coordorigin="4993,413" coordsize="4578,0" path="m4993,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983;height:404"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88;top:10;width:4588;height:404" type="#_x0000_t202" filled="false" stroked="false">
                <v:textbox inset="0,0,0,0">
                  <w:txbxContent>
                    <w:p>
                      <w:pPr>
                        <w:spacing w:before="96"/>
                        <w:ind w:left="0" w:right="26" w:firstLine="0"/>
                        <w:jc w:val="right"/>
                        <w:rPr>
                          <w:rFonts w:ascii="Times New Roman" w:hAnsi="Times New Roman" w:cs="Times New Roman" w:eastAsia="Times New Roman" w:hint="default"/>
                          <w:sz w:val="18"/>
                          <w:szCs w:val="18"/>
                        </w:rPr>
                      </w:pPr>
                      <w:r>
                        <w:rPr>
                          <w:rFonts w:ascii="Times New Roman"/>
                          <w:spacing w:val="-1"/>
                          <w:sz w:val="18"/>
                        </w:rPr>
                        <w:t>155,774,118.75</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86" w:firstLine="360"/>
        <w:jc w:val="left"/>
      </w:pPr>
      <w:r>
        <w:rPr>
          <w:spacing w:val="-2"/>
        </w:rPr>
        <w:t>根据公司的业务性质，公司收入划分为系统集成、外购商品及自制产品、自行研制开发的软件成品、风电机组振动监测</w:t>
      </w:r>
      <w:r>
        <w:rPr/>
        <w:t> 诊断系统，由于各类业务分散于本公司及部分子公司，公司日常未按照业务性质对项目进行管理，因此无报告分部。</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4,508,69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2,184.84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 w:right="0"/>
              <w:jc w:val="center"/>
              <w:rPr>
                <w:rFonts w:ascii="Times New Roman" w:hAnsi="Times New Roman" w:cs="Times New Roman" w:eastAsia="Times New Roman" w:hint="default"/>
                <w:sz w:val="18"/>
                <w:szCs w:val="18"/>
              </w:rPr>
            </w:pPr>
            <w:r>
              <w:rPr>
                <w:rFonts w:ascii="Times New Roman"/>
                <w:sz w:val="18"/>
              </w:rPr>
              <w:t>407,987,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424.68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4,100,704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,760.16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3,920,958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,379.66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343,843,2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3,577,115,1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34.27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按组合计提预期信 用损失的</w:t>
            </w:r>
            <w:r>
              <w:rPr>
                <w:rFonts w:ascii="宋体" w:hAnsi="宋体" w:cs="宋体" w:eastAsia="宋体" w:hint="default"/>
                <w:sz w:val="18"/>
                <w:szCs w:val="18"/>
                <w:shd w:fill="D9D9D9" w:color="auto" w:val="clear"/>
              </w:rPr>
              <w:t>应</w:t>
            </w:r>
            <w:r>
              <w:rPr>
                <w:rFonts w:ascii="宋体" w:hAnsi="宋体" w:cs="宋体" w:eastAsia="宋体" w:hint="default"/>
                <w:sz w:val="18"/>
                <w:szCs w:val="18"/>
              </w:rPr>
              <w:t>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4,508,69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2,184.84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407,987,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424.68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4,100,704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,760.16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3,920,958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,379.66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343,843,2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3,577,115,1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34.27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4,508,69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2,184.84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center"/>
              <w:rPr>
                <w:rFonts w:ascii="Times New Roman" w:hAnsi="Times New Roman" w:cs="Times New Roman" w:eastAsia="Times New Roman" w:hint="default"/>
                <w:sz w:val="18"/>
                <w:szCs w:val="18"/>
              </w:rPr>
            </w:pPr>
            <w:r>
              <w:rPr>
                <w:rFonts w:ascii="Times New Roman"/>
                <w:sz w:val="18"/>
              </w:rPr>
              <w:t>407,987,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424.68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4,100,704</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,760.16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3,920,958</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,379.66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343,843,2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45.39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3,577,115,1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34.27</w:t>
            </w:r>
          </w:p>
        </w:tc>
      </w:tr>
    </w:tbl>
    <w:p>
      <w:pPr>
        <w:pStyle w:val="BodyText"/>
        <w:spacing w:line="240" w:lineRule="auto" w:before="49"/>
        <w:ind w:right="986"/>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2,135,690,432.66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21,356,904.33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861,990,995.14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43,099,549.76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714,589,834.39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71,458,983.44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464,016,076.25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139,204,822.88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285,053,831.61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85,516,149.48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47,351,014.79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47,351,014.79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4,508,692,184.84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407,987,424.68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right="986"/>
        <w:jc w:val="left"/>
      </w:pPr>
      <w:r>
        <w:rPr/>
        <w:t>如是按照预期信用损失一般模型计提应收账款坏账准备，请参照其他应收款的披露方式披露坏账准备的相关信息：</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13"/>
          <w:szCs w:val="13"/>
        </w:rPr>
      </w:pPr>
    </w:p>
    <w:p>
      <w:pPr>
        <w:pStyle w:val="BodyText"/>
        <w:spacing w:line="240" w:lineRule="auto" w:before="44"/>
        <w:ind w:right="986"/>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2,135,690,432.66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861,990,995.14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714,589,834.39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796,420,922.65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464,016,076.25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285,053,831.61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47,351,014.79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4,508,692,184.84</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416"/>
        <w:gridCol w:w="1136"/>
        <w:gridCol w:w="883"/>
        <w:gridCol w:w="1366"/>
        <w:gridCol w:w="1368"/>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按组合计提预期信用损 失的应收账款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343,843,245.39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64,144,179.29</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407,987,424.68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343,843,245.39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64,144,179.29</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407,987,424.68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873"/>
        <w:gridCol w:w="1913"/>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期末余额前五名应收账款汇总</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553,669,491.48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19,962,096.21</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553,669,491.48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19,962,096.21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1,549,167,225.64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1,267,434,141.69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1,549,167,225.64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1,267,434,141.69</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4"/>
          <w:pgSz w:w="11910" w:h="16840"/>
          <w:pgMar w:footer="979" w:header="748" w:top="1060" w:bottom="1160" w:left="980" w:right="0"/>
          <w:pgNumType w:start="19"/>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60,981,844.83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109,801,965.27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175,607,213.36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130,216,568.07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143,473,696.88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130,820,495.77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1,250,445,309.40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951,654,844.86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14,282,757.06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45,437,839.31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17,871,779.70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1,662,662,601.23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1,367,931,713.28</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2127"/>
        <w:gridCol w:w="2127"/>
        <w:gridCol w:w="1488"/>
      </w:tblGrid>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06" w:right="19" w:hanging="48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个月预期信 用损失</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47,505,755.11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52,991,816.48</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100,497,571.59</w:t>
            </w: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11,124,191.89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1,873,612.11</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12,997,804.00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2127"/>
        <w:gridCol w:w="2127"/>
        <w:gridCol w:w="1488"/>
      </w:tblGrid>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58,629,947.00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0" w:right="0"/>
              <w:jc w:val="left"/>
              <w:rPr>
                <w:rFonts w:ascii="Times New Roman" w:hAnsi="Times New Roman" w:cs="Times New Roman" w:eastAsia="Times New Roman" w:hint="default"/>
                <w:sz w:val="18"/>
                <w:szCs w:val="18"/>
              </w:rPr>
            </w:pPr>
            <w:r>
              <w:rPr>
                <w:rFonts w:ascii="Times New Roman"/>
                <w:sz w:val="18"/>
              </w:rPr>
              <w:t>54,865,428.59</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113,495,375.59</w:t>
            </w:r>
          </w:p>
        </w:tc>
      </w:tr>
    </w:tbl>
    <w:p>
      <w:pPr>
        <w:spacing w:line="240" w:lineRule="auto" w:before="4"/>
        <w:rPr>
          <w:rFonts w:ascii="宋体" w:hAnsi="宋体" w:cs="宋体" w:eastAsia="宋体" w:hint="default"/>
          <w:sz w:val="9"/>
          <w:szCs w:val="9"/>
        </w:rPr>
      </w:pPr>
    </w:p>
    <w:p>
      <w:pPr>
        <w:pStyle w:val="BodyText"/>
        <w:spacing w:line="240" w:lineRule="auto" w:before="44"/>
        <w:ind w:right="986"/>
        <w:jc w:val="left"/>
      </w:pPr>
      <w:r>
        <w:rPr/>
        <w:t>损失准备本期变动金额重大的账面余额变动情况</w:t>
      </w:r>
    </w:p>
    <w:p>
      <w:pPr>
        <w:spacing w:line="240" w:lineRule="auto" w:before="10"/>
        <w:rPr>
          <w:rFonts w:ascii="宋体" w:hAnsi="宋体" w:cs="宋体" w:eastAsia="宋体" w:hint="default"/>
          <w:sz w:val="17"/>
          <w:szCs w:val="17"/>
        </w:rPr>
      </w:pPr>
    </w:p>
    <w:p>
      <w:pPr>
        <w:pStyle w:val="BodyText"/>
        <w:spacing w:line="451"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7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1,121,038,535.81</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340,686,342.56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78,150,645.53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122,787,077.33</w:t>
            </w:r>
            <w:r>
              <w:rPr>
                <w:rFonts w:ascii="Times New Roman"/>
                <w:sz w:val="18"/>
              </w:rPr>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33,197,999.50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31,589,813.05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57,999,264.78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1,662,662,601.23</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63"/>
        <w:gridCol w:w="708"/>
        <w:gridCol w:w="1275"/>
        <w:gridCol w:w="1843"/>
        <w:gridCol w:w="1419"/>
        <w:gridCol w:w="1063"/>
      </w:tblGrid>
      <w:tr>
        <w:trPr>
          <w:trHeight w:val="1028"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4"/>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361" w:hRule="exact"/>
        </w:trPr>
        <w:tc>
          <w:tcPr>
            <w:tcW w:w="326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95" w:right="0"/>
              <w:jc w:val="center"/>
              <w:rPr>
                <w:rFonts w:ascii="Times New Roman" w:hAnsi="Times New Roman" w:cs="Times New Roman" w:eastAsia="Times New Roman" w:hint="default"/>
                <w:sz w:val="18"/>
                <w:szCs w:val="18"/>
              </w:rPr>
            </w:pPr>
            <w:r>
              <w:rPr>
                <w:rFonts w:ascii="Times New Roman"/>
                <w:sz w:val="18"/>
              </w:rPr>
              <w:t>235,320,651.65</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233,230,000.00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14.15%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64" w:right="0"/>
              <w:jc w:val="center"/>
              <w:rPr>
                <w:rFonts w:ascii="Times New Roman" w:hAnsi="Times New Roman" w:cs="Times New Roman" w:eastAsia="Times New Roman" w:hint="default"/>
                <w:sz w:val="18"/>
                <w:szCs w:val="18"/>
              </w:rPr>
            </w:pPr>
            <w:r>
              <w:rPr>
                <w:rFonts w:ascii="Times New Roman"/>
                <w:sz w:val="18"/>
              </w:rPr>
              <w:t>2,436,832.58</w:t>
            </w:r>
          </w:p>
        </w:tc>
      </w:tr>
      <w:tr>
        <w:trPr>
          <w:trHeight w:val="350" w:hRule="exact"/>
        </w:trPr>
        <w:tc>
          <w:tcPr>
            <w:tcW w:w="326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2,090,651.65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419"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3263"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深圳市至高科技通信技术发展有限公司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95" w:right="0"/>
              <w:jc w:val="center"/>
              <w:rPr>
                <w:rFonts w:ascii="Times New Roman" w:hAnsi="Times New Roman" w:cs="Times New Roman" w:eastAsia="Times New Roman" w:hint="default"/>
                <w:sz w:val="18"/>
                <w:szCs w:val="18"/>
              </w:rPr>
            </w:pPr>
            <w:r>
              <w:rPr>
                <w:rFonts w:ascii="Times New Roman"/>
                <w:sz w:val="18"/>
              </w:rPr>
              <w:t>195,229,373.98</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49,947,611.27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11.74%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64" w:right="0"/>
              <w:jc w:val="center"/>
              <w:rPr>
                <w:rFonts w:ascii="Times New Roman" w:hAnsi="Times New Roman" w:cs="Times New Roman" w:eastAsia="Times New Roman" w:hint="default"/>
                <w:sz w:val="18"/>
                <w:szCs w:val="18"/>
              </w:rPr>
            </w:pPr>
            <w:r>
              <w:rPr>
                <w:rFonts w:ascii="Times New Roman"/>
                <w:sz w:val="18"/>
              </w:rPr>
              <w:t>7,763,564.25</w:t>
            </w:r>
          </w:p>
        </w:tc>
      </w:tr>
      <w:tr>
        <w:trPr>
          <w:trHeight w:val="353" w:hRule="exact"/>
        </w:trPr>
        <w:tc>
          <w:tcPr>
            <w:tcW w:w="3263"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145,281,762.71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419"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174,357,530.91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1,743,575.31</w:t>
            </w:r>
          </w:p>
        </w:tc>
      </w:tr>
    </w:tbl>
    <w:p>
      <w:pPr>
        <w:spacing w:after="0" w:line="240" w:lineRule="auto"/>
        <w:jc w:val="center"/>
        <w:rPr>
          <w:rFonts w:ascii="Times New Roman" w:hAnsi="Times New Roman" w:cs="Times New Roman" w:eastAsia="Times New Roman" w:hint="default"/>
          <w:sz w:val="18"/>
          <w:szCs w:val="18"/>
        </w:rPr>
        <w:sectPr>
          <w:footerReference w:type="default" r:id="rId25"/>
          <w:pgSz w:w="11910" w:h="16840"/>
          <w:pgMar w:footer="979" w:header="748" w:top="1060" w:bottom="1160" w:left="980" w:right="0"/>
          <w:pgNumType w:start="201"/>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63"/>
        <w:gridCol w:w="708"/>
        <w:gridCol w:w="1275"/>
        <w:gridCol w:w="1843"/>
        <w:gridCol w:w="1419"/>
        <w:gridCol w:w="1063"/>
      </w:tblGrid>
      <w:tr>
        <w:trPr>
          <w:trHeight w:val="102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104,934,478.85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75,579,447.38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29,355,031.47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2,223,546.05</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center"/>
              <w:rPr>
                <w:rFonts w:ascii="Times New Roman" w:hAnsi="Times New Roman" w:cs="Times New Roman" w:eastAsia="Times New Roman" w:hint="default"/>
                <w:sz w:val="18"/>
                <w:szCs w:val="18"/>
              </w:rPr>
            </w:pPr>
            <w:r>
              <w:rPr>
                <w:rFonts w:ascii="Times New Roman"/>
                <w:sz w:val="18"/>
              </w:rPr>
              <w:t>97,095,096.18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 w:right="0"/>
              <w:jc w:val="center"/>
              <w:rPr>
                <w:rFonts w:ascii="Times New Roman" w:hAnsi="Times New Roman" w:cs="Times New Roman" w:eastAsia="Times New Roman" w:hint="default"/>
                <w:sz w:val="18"/>
                <w:szCs w:val="18"/>
              </w:rPr>
            </w:pPr>
            <w:r>
              <w:rPr>
                <w:rFonts w:ascii="Times New Roman"/>
                <w:sz w:val="18"/>
              </w:rPr>
              <w:t>970,950.96</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806,937,131.57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15,138,469.1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4,094,860,979.73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858,559,292.91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3,236,301,686.82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3,712,604,848.88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550,273,061.24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3,162,331,787.64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15,937,227.59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15,937,227.59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89,017,833.33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89,017,833.33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4,110,798,207.32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858,559,292.91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3,252,238,914.41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3,801,622,682.21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550,273,061.24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3,251,349,620.97</w:t>
            </w:r>
          </w:p>
        </w:tc>
      </w:tr>
    </w:tbl>
    <w:p>
      <w:pPr>
        <w:spacing w:line="240" w:lineRule="auto" w:before="6"/>
        <w:rPr>
          <w:rFonts w:ascii="宋体" w:hAnsi="宋体" w:cs="宋体" w:eastAsia="宋体" w:hint="default"/>
          <w:sz w:val="19"/>
          <w:szCs w:val="19"/>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48"/>
        <w:gridCol w:w="1354"/>
        <w:gridCol w:w="1183"/>
        <w:gridCol w:w="1135"/>
        <w:gridCol w:w="1282"/>
        <w:gridCol w:w="763"/>
        <w:gridCol w:w="1318"/>
        <w:gridCol w:w="1214"/>
      </w:tblGrid>
      <w:tr>
        <w:trPr>
          <w:trHeight w:val="402" w:hRule="exact"/>
        </w:trPr>
        <w:tc>
          <w:tcPr>
            <w:tcW w:w="144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5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5"/>
              <w:ind w:left="463" w:right="9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3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5"/>
              <w:ind w:left="443" w:right="83"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448" w:type="dxa"/>
            <w:vMerge/>
            <w:tcBorders>
              <w:left w:val="single" w:sz="4" w:space="0" w:color="000000"/>
              <w:bottom w:val="single" w:sz="4" w:space="0" w:color="000000"/>
              <w:right w:val="single" w:sz="4" w:space="0" w:color="000000"/>
            </w:tcBorders>
            <w:shd w:val="clear" w:color="auto" w:fill="D9D9D9"/>
          </w:tcPr>
          <w:p>
            <w:pPr/>
          </w:p>
        </w:tc>
        <w:tc>
          <w:tcPr>
            <w:tcW w:w="1354"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广州东华软件有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972,155.63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972,155.63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53"/>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27,998,593.90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27,998,593.90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448"/>
        <w:gridCol w:w="1354"/>
        <w:gridCol w:w="1183"/>
        <w:gridCol w:w="1135"/>
        <w:gridCol w:w="1282"/>
        <w:gridCol w:w="763"/>
        <w:gridCol w:w="1318"/>
        <w:gridCol w:w="1214"/>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292,675,400.00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292,675,400.00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88,699.51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8,535,506.56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8,624,206.07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109,890,000.00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109,890,000.00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53"/>
              <w:jc w:val="left"/>
              <w:rPr>
                <w:rFonts w:ascii="宋体" w:hAnsi="宋体" w:cs="宋体" w:eastAsia="宋体" w:hint="default"/>
                <w:sz w:val="18"/>
                <w:szCs w:val="18"/>
              </w:rPr>
            </w:pPr>
            <w:r>
              <w:rPr>
                <w:rFonts w:ascii="宋体" w:hAnsi="宋体" w:cs="宋体" w:eastAsia="宋体" w:hint="default"/>
                <w:sz w:val="18"/>
                <w:szCs w:val="18"/>
              </w:rPr>
              <w:t>东华合创科技有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沈阳普林科技有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东华医为科技有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37,150,000.00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47,480,000.00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300,000.00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448"/>
        <w:gridCol w:w="1354"/>
        <w:gridCol w:w="1183"/>
        <w:gridCol w:w="1135"/>
        <w:gridCol w:w="1282"/>
        <w:gridCol w:w="763"/>
        <w:gridCol w:w="1318"/>
        <w:gridCol w:w="1214"/>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85,220,000.00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85,220,000.00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18,450,000.00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427,898,152.75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108,818,119.89</w:t>
            </w: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319,080,032.86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263,919,967.14</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兰州东华软件有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合力东华（北京） 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东华互联宜家数 据服务有限公司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东华博育云有限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苏州东华软件科 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内蒙古东华软件 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48,036,662.84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1,463,337.16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53"/>
              <w:jc w:val="left"/>
              <w:rPr>
                <w:rFonts w:ascii="宋体" w:hAnsi="宋体" w:cs="宋体" w:eastAsia="宋体" w:hint="default"/>
                <w:sz w:val="18"/>
                <w:szCs w:val="18"/>
              </w:rPr>
            </w:pPr>
            <w:r>
              <w:rPr>
                <w:rFonts w:ascii="宋体" w:hAnsi="宋体" w:cs="宋体" w:eastAsia="宋体" w:hint="default"/>
                <w:sz w:val="18"/>
                <w:szCs w:val="18"/>
              </w:rPr>
              <w:t>海南东华软件有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东华网络股份公 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538,313,918.94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199,468,111.78</w:t>
            </w: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338,845,807.16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461,154,192.84</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19,514,867.07</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19,514,867.07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133,485,132.93</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北京卓智能研科 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5,254,800.00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12,904,800.00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吉林省东华软件 信息工程有限公 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华金在线股份公 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北京东华福蝉信 息技术有限公司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贵州东华云数据 科技有限责任公 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56,373,000.00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42,914,000.00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99,287,000.00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448"/>
        <w:gridCol w:w="1354"/>
        <w:gridCol w:w="1183"/>
        <w:gridCol w:w="1135"/>
        <w:gridCol w:w="1282"/>
        <w:gridCol w:w="763"/>
        <w:gridCol w:w="1318"/>
        <w:gridCol w:w="1214"/>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东华金云网络股 份公司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11,147,000.00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2,635,000.00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13,782,000.00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东华软件威海有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5,501,000.00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1,440,816.56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6,941,816.56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河北东华冀通软 件有限公司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859,300.00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2,524,300.00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南京东华科创信 息技术有限公司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郑州东华诚信软 件有限公司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15,829,000.00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23,119,000.00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三亚东华云信数 据服务有限公司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云南东合数据信 息技术有限公司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北京国能智研信 息科技有限公司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2,164,000.00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9,024,000.00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安阳东华软件有 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3"/>
              <w:jc w:val="both"/>
              <w:rPr>
                <w:rFonts w:ascii="宋体" w:hAnsi="宋体" w:cs="宋体" w:eastAsia="宋体" w:hint="default"/>
                <w:sz w:val="18"/>
                <w:szCs w:val="18"/>
              </w:rPr>
            </w:pPr>
            <w:r>
              <w:rPr>
                <w:rFonts w:ascii="宋体" w:hAnsi="宋体" w:cs="宋体" w:eastAsia="宋体" w:hint="default"/>
                <w:sz w:val="18"/>
                <w:szCs w:val="18"/>
              </w:rPr>
              <w:t>广西东华云数据 信息技术有限责 任公司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16,674,800.00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20,994,800.00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东华智城云计算 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29,953,977.00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30,343,977.00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东华至高通信技 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12,083,000.00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安徽东华智慧城 市信息技术有限 责任公司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45,427,000.00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75,427,000.00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陕西空港云谷科 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11,718,560.00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11,718,560.00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东华鲁信计算机 技术有限公司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河南东华大数据 科技有限公司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361,600.00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361,600.00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河南东华智慧云 城软件有限公司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z w:val="18"/>
                <w:szCs w:val="18"/>
              </w:rPr>
              <w:t>东华软件（扬州） 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20,140,000.00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448"/>
        <w:gridCol w:w="1354"/>
        <w:gridCol w:w="1183"/>
        <w:gridCol w:w="1135"/>
        <w:gridCol w:w="1282"/>
        <w:gridCol w:w="763"/>
        <w:gridCol w:w="1318"/>
        <w:gridCol w:w="1214"/>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东华慧湾数字科 技有限公司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东华智金科技有 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北京银企汇科技 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1,264,022.96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1,264,022.96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山东曹州云都大 数据科技有限公 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北京中能博泰科 技有限公司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83,582,747.61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83,582,747.61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3,162,331,787.64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467,776,130.85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85,520,000.00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 w:right="0"/>
              <w:jc w:val="left"/>
              <w:rPr>
                <w:rFonts w:ascii="Times New Roman" w:hAnsi="Times New Roman" w:cs="Times New Roman" w:eastAsia="Times New Roman" w:hint="default"/>
                <w:sz w:val="18"/>
                <w:szCs w:val="18"/>
              </w:rPr>
            </w:pPr>
            <w:r>
              <w:rPr>
                <w:rFonts w:ascii="Times New Roman"/>
                <w:sz w:val="18"/>
              </w:rPr>
              <w:t>308,286,231.67</w:t>
            </w:r>
          </w:p>
        </w:tc>
        <w:tc>
          <w:tcPr>
            <w:tcW w:w="76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3,236,301,686.82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858,559,292.91</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9D9D9"/>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9"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瑞客东华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41"/>
              <w:jc w:val="left"/>
              <w:rPr>
                <w:rFonts w:ascii="宋体" w:hAnsi="宋体" w:cs="宋体" w:eastAsia="宋体" w:hint="default"/>
                <w:sz w:val="18"/>
                <w:szCs w:val="18"/>
              </w:rPr>
            </w:pPr>
            <w:r>
              <w:rPr>
                <w:rFonts w:ascii="宋体" w:hAnsi="宋体" w:cs="宋体" w:eastAsia="宋体" w:hint="default"/>
                <w:sz w:val="18"/>
                <w:szCs w:val="18"/>
              </w:rPr>
              <w:t>转化医学 研究中心</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1,679.40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-1,679.40</w:t>
            </w:r>
            <w:r>
              <w:rPr>
                <w:rFonts w:ascii="Times New Roman"/>
                <w:sz w:val="18"/>
              </w:rPr>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7"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5,890,261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2,628,416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8,108,354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北京中能 博泰科技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60,298,20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2,205,568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-5,499,02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-57,004,7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47.61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奇秦科技</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22,827,68</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617,672.9</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-22,333,1</w:t>
            </w:r>
          </w:p>
        </w:tc>
        <w:tc>
          <w:tcPr>
            <w:tcW w:w="797" w:type="dxa"/>
            <w:vMerge/>
            <w:tcBorders>
              <w:left w:val="single" w:sz="4" w:space="0" w:color="000000"/>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w w:val="95"/>
                <w:sz w:val="18"/>
              </w:rPr>
              <w:t>7,952,011</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7,828,873</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3.91</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48.69</w:t>
            </w:r>
          </w:p>
        </w:tc>
        <w:tc>
          <w:tcPr>
            <w:tcW w:w="797" w:type="dxa"/>
            <w:vMerge/>
            <w:tcBorders>
              <w:left w:val="single" w:sz="4" w:space="0" w:color="000000"/>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.18</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.49</w:t>
            </w:r>
          </w:p>
        </w:tc>
        <w:tc>
          <w:tcPr>
            <w:tcW w:w="797" w:type="dxa"/>
            <w:vMerge/>
            <w:tcBorders>
              <w:left w:val="single" w:sz="4" w:space="0" w:color="000000"/>
              <w:right w:val="single" w:sz="4" w:space="0" w:color="000000"/>
            </w:tcBorders>
          </w:tcPr>
          <w:p>
            <w:pPr/>
          </w:p>
        </w:tc>
      </w:tr>
      <w:tr>
        <w:trPr>
          <w:trHeight w:val="350"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89,017,83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2,205,568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-28,244,1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-46,424,3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15,937,22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89,017,83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2,205,568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-28,244,1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-46,424,3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15,937,22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986"/>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4,520,534,897.12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3,096,263,046.53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4,046,015,274.97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2,856,643,353.58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937,568.04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937,568.04</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4,520,534,897.12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3,097,200,614.57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4,046,015,274.97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2,857,580,921.62</w:t>
            </w:r>
          </w:p>
        </w:tc>
      </w:tr>
    </w:tbl>
    <w:p>
      <w:pPr>
        <w:spacing w:line="240" w:lineRule="auto" w:before="4"/>
        <w:rPr>
          <w:rFonts w:ascii="宋体" w:hAnsi="宋体" w:cs="宋体" w:eastAsia="宋体" w:hint="default"/>
          <w:sz w:val="9"/>
          <w:szCs w:val="9"/>
        </w:rPr>
      </w:pPr>
    </w:p>
    <w:p>
      <w:pPr>
        <w:pStyle w:val="BodyText"/>
        <w:spacing w:line="240" w:lineRule="auto" w:before="44"/>
        <w:ind w:right="986"/>
        <w:jc w:val="left"/>
      </w:pPr>
      <w:r>
        <w:rPr/>
        <w:t>是否已执行新收入准则</w:t>
      </w:r>
    </w:p>
    <w:p>
      <w:pPr>
        <w:spacing w:line="240" w:lineRule="auto" w:before="10"/>
        <w:rPr>
          <w:rFonts w:ascii="宋体" w:hAnsi="宋体" w:cs="宋体" w:eastAsia="宋体" w:hint="default"/>
          <w:sz w:val="17"/>
          <w:szCs w:val="17"/>
        </w:rPr>
      </w:pPr>
    </w:p>
    <w:p>
      <w:pPr>
        <w:pStyle w:val="BodyText"/>
        <w:spacing w:line="240" w:lineRule="auto"/>
        <w:ind w:right="9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69,265,600.00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81,153,200.00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-28,244,181.25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-23,990,918.89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17,254,106.79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7,037,420.00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-17,947.40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58,275,525.54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64,181,753.71</w:t>
            </w:r>
          </w:p>
        </w:tc>
      </w:tr>
    </w:tbl>
    <w:p>
      <w:pPr>
        <w:spacing w:line="240" w:lineRule="auto" w:before="5"/>
        <w:rPr>
          <w:rFonts w:ascii="宋体" w:hAnsi="宋体" w:cs="宋体" w:eastAsia="宋体" w:hint="default"/>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6"/>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3118"/>
        <w:gridCol w:w="2057"/>
      </w:tblGrid>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11,220,949.94</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49,943,784.61</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95"/>
        <w:gridCol w:w="3118"/>
        <w:gridCol w:w="2057"/>
      </w:tblGrid>
      <w:tr>
        <w:trPr>
          <w:trHeight w:val="358" w:hRule="exact"/>
        </w:trPr>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w:t>
            </w:r>
          </w:p>
        </w:tc>
        <w:tc>
          <w:tcPr>
            <w:tcW w:w="3118" w:type="dxa"/>
            <w:tcBorders>
              <w:top w:val="single" w:sz="4" w:space="0" w:color="000000"/>
              <w:left w:val="single" w:sz="4" w:space="0" w:color="000000"/>
              <w:bottom w:val="nil" w:sz="6" w:space="0" w:color="auto"/>
              <w:right w:val="single" w:sz="4" w:space="0" w:color="000000"/>
            </w:tcBorders>
          </w:tcPr>
          <w:p>
            <w:pPr/>
          </w:p>
        </w:tc>
        <w:tc>
          <w:tcPr>
            <w:tcW w:w="2057" w:type="dxa"/>
            <w:vMerge w:val="restart"/>
            <w:tcBorders>
              <w:top w:val="single" w:sz="4" w:space="0" w:color="000000"/>
              <w:left w:val="single" w:sz="4" w:space="0" w:color="000000"/>
              <w:right w:val="single" w:sz="4" w:space="0" w:color="000000"/>
            </w:tcBorders>
          </w:tcPr>
          <w:p>
            <w:pPr/>
          </w:p>
        </w:tc>
      </w:tr>
      <w:tr>
        <w:trPr>
          <w:trHeight w:val="312"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有交易性金融资产、衍生金融资产、交易性金融负债、</w:t>
            </w:r>
          </w:p>
        </w:tc>
        <w:tc>
          <w:tcPr>
            <w:tcW w:w="3118" w:type="dxa"/>
            <w:tcBorders>
              <w:top w:val="nil" w:sz="6" w:space="0" w:color="auto"/>
              <w:left w:val="single" w:sz="4" w:space="0" w:color="000000"/>
              <w:bottom w:val="nil" w:sz="6" w:space="0" w:color="auto"/>
              <w:right w:val="single" w:sz="4" w:space="0" w:color="000000"/>
            </w:tcBorders>
          </w:tcPr>
          <w:p>
            <w:pPr/>
          </w:p>
        </w:tc>
        <w:tc>
          <w:tcPr>
            <w:tcW w:w="2057" w:type="dxa"/>
            <w:vMerge/>
            <w:tcBorders>
              <w:left w:val="single" w:sz="4" w:space="0" w:color="000000"/>
              <w:right w:val="single" w:sz="4" w:space="0" w:color="000000"/>
            </w:tcBorders>
          </w:tcPr>
          <w:p>
            <w:pPr/>
          </w:p>
        </w:tc>
      </w:tr>
      <w:tr>
        <w:trPr>
          <w:trHeight w:val="316"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衍生金融负债产生的公允价值变动损益，以及处置交易</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18,681,234.46</w:t>
            </w:r>
          </w:p>
        </w:tc>
        <w:tc>
          <w:tcPr>
            <w:tcW w:w="2057" w:type="dxa"/>
            <w:vMerge/>
            <w:tcBorders>
              <w:left w:val="single" w:sz="4" w:space="0" w:color="000000"/>
              <w:right w:val="single" w:sz="4" w:space="0" w:color="000000"/>
            </w:tcBorders>
          </w:tcPr>
          <w:p>
            <w:pPr/>
          </w:p>
        </w:tc>
      </w:tr>
      <w:tr>
        <w:trPr>
          <w:trHeight w:val="308"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性金融资产、衍生金融资产、交易性金融负债、衍生金</w:t>
            </w:r>
          </w:p>
        </w:tc>
        <w:tc>
          <w:tcPr>
            <w:tcW w:w="3118" w:type="dxa"/>
            <w:tcBorders>
              <w:top w:val="nil" w:sz="6" w:space="0" w:color="auto"/>
              <w:left w:val="single" w:sz="4" w:space="0" w:color="000000"/>
              <w:bottom w:val="nil" w:sz="6" w:space="0" w:color="auto"/>
              <w:right w:val="single" w:sz="4" w:space="0" w:color="000000"/>
            </w:tcBorders>
          </w:tcPr>
          <w:p>
            <w:pPr/>
          </w:p>
        </w:tc>
        <w:tc>
          <w:tcPr>
            <w:tcW w:w="2057" w:type="dxa"/>
            <w:vMerge/>
            <w:tcBorders>
              <w:left w:val="single" w:sz="4" w:space="0" w:color="000000"/>
              <w:right w:val="single" w:sz="4" w:space="0" w:color="000000"/>
            </w:tcBorders>
          </w:tcPr>
          <w:p>
            <w:pPr/>
          </w:p>
        </w:tc>
      </w:tr>
      <w:tr>
        <w:trPr>
          <w:trHeight w:val="355" w:hRule="exact"/>
        </w:trPr>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融负债和其他债权投资取得的投资收益</w:t>
            </w:r>
          </w:p>
        </w:tc>
        <w:tc>
          <w:tcPr>
            <w:tcW w:w="3118" w:type="dxa"/>
            <w:tcBorders>
              <w:top w:val="nil" w:sz="6" w:space="0" w:color="auto"/>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2,606,931.99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4395" w:type="dxa"/>
            <w:tcBorders>
              <w:top w:val="single" w:sz="4" w:space="0" w:color="000000"/>
              <w:left w:val="single" w:sz="4" w:space="0" w:color="000000"/>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
        </w:tc>
        <w:tc>
          <w:tcPr>
            <w:tcW w:w="20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购买日之前原持有股权按</w:t>
            </w:r>
          </w:p>
        </w:tc>
      </w:tr>
      <w:tr>
        <w:trPr>
          <w:trHeight w:val="317" w:hRule="exact"/>
        </w:trPr>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19,495,252.39</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照公允价值重新计量产生</w:t>
            </w:r>
          </w:p>
        </w:tc>
      </w:tr>
      <w:tr>
        <w:trPr>
          <w:trHeight w:val="351" w:hRule="exact"/>
        </w:trPr>
        <w:tc>
          <w:tcPr>
            <w:tcW w:w="4395" w:type="dxa"/>
            <w:tcBorders>
              <w:top w:val="nil" w:sz="6" w:space="0" w:color="auto"/>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的利得或损失</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5,653,781.11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-71,379.03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96,365,751.31</w:t>
            </w:r>
          </w:p>
        </w:tc>
        <w:tc>
          <w:tcPr>
            <w:tcW w:w="20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line="240" w:lineRule="auto" w:before="2"/>
        <w:rPr>
          <w:rFonts w:ascii="宋体" w:hAnsi="宋体" w:cs="宋体" w:eastAsia="宋体" w:hint="default"/>
          <w:sz w:val="14"/>
          <w:szCs w:val="14"/>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4"/>
        <w:spacing w:line="240" w:lineRule="auto"/>
        <w:ind w:right="98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63"/>
        <w:gridCol w:w="2482"/>
        <w:gridCol w:w="1913"/>
        <w:gridCol w:w="1913"/>
      </w:tblGrid>
      <w:tr>
        <w:trPr>
          <w:trHeight w:val="402" w:hRule="exact"/>
        </w:trPr>
        <w:tc>
          <w:tcPr>
            <w:tcW w:w="3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3263" w:type="dxa"/>
            <w:vMerge/>
            <w:tcBorders>
              <w:left w:val="single" w:sz="4" w:space="0" w:color="000000"/>
              <w:bottom w:val="single" w:sz="4" w:space="0" w:color="000000"/>
              <w:right w:val="single" w:sz="4" w:space="0" w:color="000000"/>
            </w:tcBorders>
            <w:shd w:val="clear" w:color="auto" w:fill="D2D2D2"/>
          </w:tcPr>
          <w:p>
            <w:pPr/>
          </w:p>
        </w:tc>
        <w:tc>
          <w:tcPr>
            <w:tcW w:w="24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0.1874</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0.1564</w:t>
            </w:r>
          </w:p>
        </w:tc>
      </w:tr>
    </w:tbl>
    <w:p>
      <w:pPr>
        <w:spacing w:line="240" w:lineRule="auto" w:before="5"/>
        <w:rPr>
          <w:rFonts w:ascii="宋体" w:hAnsi="宋体" w:cs="宋体" w:eastAsia="宋体" w:hint="default"/>
          <w:b/>
          <w:bCs/>
          <w:sz w:val="19"/>
          <w:szCs w:val="19"/>
        </w:rPr>
      </w:pPr>
    </w:p>
    <w:p>
      <w:pPr>
        <w:pStyle w:val="Heading4"/>
        <w:spacing w:line="240" w:lineRule="auto" w:before="36"/>
        <w:ind w:right="98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59" w:lineRule="auto"/>
        <w:ind w:right="98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3"/>
        </w:rPr>
        <w:t> </w:t>
      </w:r>
      <w:r>
        <w:rPr>
          <w:spacing w:val="-63"/>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986"/>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986"/>
        <w:jc w:val="left"/>
        <w:rPr>
          <w:b w:val="0"/>
          <w:bCs w:val="0"/>
        </w:rPr>
      </w:pPr>
      <w:bookmarkStart w:name="_TOC_250000" w:id="13"/>
      <w:r>
        <w:rPr/>
        <w:t>第十三节</w:t>
      </w:r>
      <w:r>
        <w:rPr>
          <w:spacing w:val="-6"/>
        </w:rPr>
        <w:t> </w:t>
      </w:r>
      <w:r>
        <w:rPr/>
        <w:t>备查文件目录</w:t>
      </w:r>
      <w:bookmarkEnd w:id="13"/>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986"/>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2019</w:t>
      </w:r>
      <w:r>
        <w:rPr/>
        <w:t>年年度报告文本原件。</w:t>
      </w:r>
    </w:p>
    <w:p>
      <w:pPr>
        <w:spacing w:line="240" w:lineRule="auto" w:before="9"/>
        <w:rPr>
          <w:rFonts w:ascii="宋体" w:hAnsi="宋体" w:cs="宋体" w:eastAsia="宋体" w:hint="default"/>
          <w:sz w:val="16"/>
          <w:szCs w:val="16"/>
        </w:rPr>
      </w:pPr>
    </w:p>
    <w:p>
      <w:pPr>
        <w:pStyle w:val="BodyText"/>
        <w:spacing w:line="240" w:lineRule="auto"/>
        <w:ind w:right="986"/>
        <w:jc w:val="left"/>
      </w:pPr>
      <w:r>
        <w:rPr>
          <w:rFonts w:ascii="Times New Roman" w:hAnsi="Times New Roman" w:cs="Times New Roman" w:eastAsia="Times New Roman" w:hint="default"/>
        </w:rPr>
        <w:t>2</w:t>
      </w:r>
      <w:r>
        <w:rPr/>
        <w:t>、载有公司法定代表人、主管会计工作负责人及会计机构负责人签名并盖章的会计报表。</w:t>
      </w:r>
    </w:p>
    <w:p>
      <w:pPr>
        <w:spacing w:line="240" w:lineRule="auto" w:before="9"/>
        <w:rPr>
          <w:rFonts w:ascii="宋体" w:hAnsi="宋体" w:cs="宋体" w:eastAsia="宋体" w:hint="default"/>
          <w:sz w:val="16"/>
          <w:szCs w:val="16"/>
        </w:rPr>
      </w:pPr>
    </w:p>
    <w:p>
      <w:pPr>
        <w:pStyle w:val="BodyText"/>
        <w:spacing w:line="240" w:lineRule="auto"/>
        <w:ind w:right="986"/>
        <w:jc w:val="left"/>
      </w:pPr>
      <w:r>
        <w:rPr>
          <w:rFonts w:ascii="Times New Roman" w:hAnsi="Times New Roman" w:cs="Times New Roman" w:eastAsia="Times New Roman" w:hint="default"/>
        </w:rPr>
        <w:t>3</w:t>
      </w:r>
      <w:r>
        <w:rPr/>
        <w:t>、载有会计师事务所盖章、注册会计师签名并盖章的审计报告原件。</w:t>
      </w:r>
    </w:p>
    <w:p>
      <w:pPr>
        <w:spacing w:line="240" w:lineRule="auto" w:before="9"/>
        <w:rPr>
          <w:rFonts w:ascii="宋体" w:hAnsi="宋体" w:cs="宋体" w:eastAsia="宋体" w:hint="default"/>
          <w:sz w:val="16"/>
          <w:szCs w:val="16"/>
        </w:rPr>
      </w:pPr>
    </w:p>
    <w:p>
      <w:pPr>
        <w:pStyle w:val="BodyText"/>
        <w:spacing w:line="240" w:lineRule="auto"/>
        <w:ind w:right="986"/>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spacing w:line="240" w:lineRule="auto" w:before="9"/>
        <w:rPr>
          <w:rFonts w:ascii="宋体" w:hAnsi="宋体" w:cs="宋体" w:eastAsia="宋体" w:hint="default"/>
          <w:sz w:val="16"/>
          <w:szCs w:val="16"/>
        </w:rPr>
      </w:pPr>
    </w:p>
    <w:p>
      <w:pPr>
        <w:pStyle w:val="BodyText"/>
        <w:spacing w:line="240" w:lineRule="auto"/>
        <w:ind w:right="986"/>
        <w:jc w:val="left"/>
      </w:pPr>
      <w:r>
        <w:rPr>
          <w:rFonts w:ascii="Times New Roman" w:hAnsi="Times New Roman" w:cs="Times New Roman" w:eastAsia="Times New Roman" w:hint="default"/>
        </w:rPr>
        <w:t>5</w:t>
      </w:r>
      <w:r>
        <w:rPr/>
        <w:t>、其他备查文件。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477" w:lineRule="auto" w:before="44"/>
        <w:ind w:left="7805" w:right="1131" w:firstLine="360"/>
        <w:jc w:val="right"/>
        <w:rPr>
          <w:b w:val="0"/>
          <w:bCs w:val="0"/>
        </w:rPr>
      </w:pPr>
      <w:r>
        <w:rPr>
          <w:w w:val="95"/>
        </w:rPr>
        <w:t>法定代表人：薛向东</w:t>
      </w:r>
      <w:r>
        <w:rPr>
          <w:w w:val="99"/>
        </w:rPr>
        <w:t> </w:t>
      </w:r>
      <w:r>
        <w:rPr>
          <w:w w:val="95"/>
        </w:rPr>
        <w:t>东华软件股份公司</w:t>
      </w:r>
      <w:r>
        <w:rPr>
          <w:w w:val="99"/>
        </w:rPr>
        <w:t> </w:t>
      </w:r>
      <w:r>
        <w:rPr>
          <w:w w:val="95"/>
        </w:rPr>
        <w:t>二零二零年四月二十九日</w:t>
      </w:r>
      <w:r>
        <w:rPr>
          <w:b w:val="0"/>
          <w:bCs w:val="0"/>
        </w:rPr>
      </w:r>
    </w:p>
    <w:sectPr>
      <w:pgSz w:w="11910" w:h="16840"/>
      <w:pgMar w:header="748"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944" type="#_x0000_t75" stroked="false">
          <v:imagedata r:id="rId1" o:title=""/>
        </v:shape>
      </w:pict>
    </w:r>
    <w:r>
      <w:rPr/>
      <w:pict>
        <v:shape style="position:absolute;margin-left:533.099976pt;margin-top:795.637939pt;width:6.5pt;height:11pt;mso-position-horizontal-relative:page;mso-position-vertical-relative:page;z-index:-10799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512" type="#_x0000_t75" stroked="false">
          <v:imagedata r:id="rId1" o:title=""/>
        </v:shape>
      </w:pict>
    </w:r>
    <w:r>
      <w:rPr/>
      <w:pict>
        <v:shape style="position:absolute;margin-left:523.099976pt;margin-top:781.957947pt;width:17.7pt;height:11pt;mso-position-horizontal-relative:page;mso-position-vertical-relative:page;z-index:-1079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464" type="#_x0000_t75" stroked="false">
          <v:imagedata r:id="rId1" o:title=""/>
        </v:shape>
      </w:pict>
    </w:r>
    <w:r>
      <w:rPr/>
      <w:pict>
        <v:shape style="position:absolute;margin-left:523.099976pt;margin-top:781.957947pt;width:17.7pt;height:11pt;mso-position-horizontal-relative:page;mso-position-vertical-relative:page;z-index:-1079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416" type="#_x0000_t75" stroked="false">
          <v:imagedata r:id="rId1" o:title=""/>
        </v:shape>
      </w:pict>
    </w:r>
    <w:r>
      <w:rPr/>
      <w:pict>
        <v:shape style="position:absolute;margin-left:523.099976pt;margin-top:781.957947pt;width:16.7pt;height:11pt;mso-position-horizontal-relative:page;mso-position-vertical-relative:page;z-index:-1079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rPr>
                  <w:t>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368" type="#_x0000_t75" stroked="false">
          <v:imagedata r:id="rId1" o:title=""/>
        </v:shape>
      </w:pict>
    </w:r>
    <w:r>
      <w:rPr/>
      <w:pict>
        <v:shape style="position:absolute;margin-left:523.099976pt;margin-top:781.957947pt;width:17.7pt;height:11pt;mso-position-horizontal-relative:page;mso-position-vertical-relative:page;z-index:-1079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896" type="#_x0000_t75" stroked="false">
          <v:imagedata r:id="rId1" o:title=""/>
        </v:shape>
      </w:pict>
    </w:r>
    <w:r>
      <w:rPr/>
      <w:pict>
        <v:shape style="position:absolute;margin-left:532.099976pt;margin-top:781.957947pt;width:8.5pt;height:11pt;mso-position-horizontal-relative:page;mso-position-vertical-relative:page;z-index:-1079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848" type="#_x0000_t75" stroked="false">
          <v:imagedata r:id="rId1" o:title=""/>
        </v:shape>
      </w:pict>
    </w:r>
    <w:r>
      <w:rPr/>
      <w:pict>
        <v:shape style="position:absolute;margin-left:527.659973pt;margin-top:781.957947pt;width:13.15pt;height:11pt;mso-position-horizontal-relative:page;mso-position-vertical-relative:page;z-index:-1079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800" type="#_x0000_t75" stroked="false">
          <v:imagedata r:id="rId1" o:title=""/>
        </v:shape>
      </w:pict>
    </w:r>
    <w:r>
      <w:rPr/>
      <w:pict>
        <v:shape style="position:absolute;margin-left:527.659973pt;margin-top:781.957947pt;width:13.15pt;height:11pt;mso-position-horizontal-relative:page;mso-position-vertical-relative:page;z-index:-1079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752" type="#_x0000_t75" stroked="false">
          <v:imagedata r:id="rId1" o:title=""/>
        </v:shape>
      </w:pict>
    </w:r>
    <w:r>
      <w:rPr/>
      <w:pict>
        <v:shape style="position:absolute;margin-left:527.659973pt;margin-top:781.957947pt;width:13.15pt;height:11pt;mso-position-horizontal-relative:page;mso-position-vertical-relative:page;z-index:-1079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704" type="#_x0000_t75" stroked="false">
          <v:imagedata r:id="rId1" o:title=""/>
        </v:shape>
      </w:pict>
    </w:r>
    <w:r>
      <w:rPr/>
      <w:pict>
        <v:shape style="position:absolute;margin-left:524.099976pt;margin-top:781.957947pt;width:15.7pt;height:11pt;mso-position-horizontal-relative:page;mso-position-vertical-relative:page;z-index:-1079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656" type="#_x0000_t75" stroked="false">
          <v:imagedata r:id="rId1" o:title=""/>
        </v:shape>
      </w:pict>
    </w:r>
    <w:r>
      <w:rPr/>
      <w:pict>
        <v:shape style="position:absolute;margin-left:523.099976pt;margin-top:781.957947pt;width:17.7pt;height:11pt;mso-position-horizontal-relative:page;mso-position-vertical-relative:page;z-index:-1079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608" type="#_x0000_t75" stroked="false">
          <v:imagedata r:id="rId1" o:title=""/>
        </v:shape>
      </w:pict>
    </w:r>
    <w:r>
      <w:rPr/>
      <w:pict>
        <v:shape style="position:absolute;margin-left:523.099976pt;margin-top:781.957947pt;width:17.7pt;height:11pt;mso-position-horizontal-relative:page;mso-position-vertical-relative:page;z-index:-1079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79560" type="#_x0000_t75" stroked="false">
          <v:imagedata r:id="rId1" o:title=""/>
        </v:shape>
      </w:pict>
    </w:r>
    <w:r>
      <w:rPr/>
      <w:pict>
        <v:shape style="position:absolute;margin-left:523.460022pt;margin-top:781.957947pt;width:17.3pt;height:11pt;mso-position-horizontal-relative:page;mso-position-vertical-relative:page;z-index:-1079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070007pt;margin-top:36.385609pt;width:159.6pt;height:11.5pt;mso-position-horizontal-relative:page;mso-position-vertical-relative:page;z-index:-1079968" type="#_x0000_t202" filled="false" stroked="false">
          <v:textbox inset="0,0,0,0">
            <w:txbxContent>
              <w:p>
                <w:pPr>
                  <w:pStyle w:val="BodyText"/>
                  <w:spacing w:line="214" w:lineRule="exact"/>
                  <w:ind w:left="20" w:right="0"/>
                  <w:jc w:val="left"/>
                </w:pPr>
                <w:r>
                  <w:rPr/>
                  <w:t>东华软件股份公司</w:t>
                </w:r>
                <w:r>
                  <w:rPr>
                    <w:spacing w:val="-47"/>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dhcc.com.cn/" TargetMode="External"/><Relationship Id="rId10" Type="http://schemas.openxmlformats.org/officeDocument/2006/relationships/hyperlink" Target="mailto:strongyang@dhcc.com.cn" TargetMode="External"/><Relationship Id="rId11" Type="http://schemas.openxmlformats.org/officeDocument/2006/relationships/hyperlink" Target="mailto:zhangwen_cw@dhcc.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3.jpeg"/><Relationship Id="rId17" Type="http://schemas.openxmlformats.org/officeDocument/2006/relationships/hyperlink" Target="http://www.cninfo.com.cn/)%E4%B8%8A%E7%9A%84" TargetMode="Externa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东华软件股份公司</dc:creator>
  <dc:title>东华软件股份公司2019年年度报告全文</dc:title>
  <dcterms:created xsi:type="dcterms:W3CDTF">2020-05-20T00:35:11Z</dcterms:created>
  <dcterms:modified xsi:type="dcterms:W3CDTF">2020-05-20T00:35:11Z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2016</vt:lpwstr>
  </property>
  <property fmtid="{D5CDD505-2E9C-101B-9397-08002B2CF9AE}" pid="4" name="LastSaved">
    <vt:filetime>2020-05-19T00:00:00Z</vt:filetime>
  </property>
</Properties>
</file>