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1" w:bottom="988" w:left="4347" w:header="0" w:footer="3" w:gutter="0"/>
          <w:cols w:space="720"/>
          <w:noEndnote/>
          <w:rtlGutter w:val="0"/>
          <w:docGrid w:linePitch="360"/>
        </w:sectPr>
      </w:pPr>
    </w:p>
    <w:p>
      <w:pPr>
        <w:pStyle w:val="Style2"/>
        <w:keepNext w:val="0"/>
        <w:keepLines w:val="0"/>
        <w:framePr w:w="2918" w:h="485" w:wrap="none" w:vAnchor="text" w:hAnchor="page" w:x="4492" w:y="21"/>
        <w:widowControl w:val="0"/>
        <w:shd w:val="clear" w:color="auto" w:fill="auto"/>
        <w:bidi w:val="0"/>
        <w:spacing w:before="0" w:after="0" w:line="240" w:lineRule="auto"/>
        <w:ind w:left="0" w:right="0" w:firstLine="0"/>
        <w:jc w:val="left"/>
      </w:pPr>
      <w:r>
        <w:rPr>
          <w:color w:val="000000"/>
          <w:spacing w:val="0"/>
          <w:w w:val="100"/>
          <w:position w:val="0"/>
        </w:rPr>
        <w:t>东华软件股份公司</w:t>
      </w:r>
    </w:p>
    <w:p>
      <w:pPr>
        <w:pStyle w:val="Style2"/>
        <w:keepNext w:val="0"/>
        <w:keepLines w:val="0"/>
        <w:framePr w:w="2659" w:h="470" w:wrap="none" w:vAnchor="text" w:hAnchor="page" w:x="4612" w:y="190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5"/>
        <w:keepNext w:val="0"/>
        <w:keepLines w:val="0"/>
        <w:framePr w:w="1886" w:h="408" w:wrap="none" w:vAnchor="text" w:hAnchor="page" w:x="5000" w:y="10201"/>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2760345</wp:posOffset>
            </wp:positionH>
            <wp:positionV relativeFrom="paragraph">
              <wp:posOffset>2152015</wp:posOffset>
            </wp:positionV>
            <wp:extent cx="2066290" cy="4813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66290" cy="4813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022" w:right="1141" w:bottom="988" w:left="4347" w:header="0" w:footer="3" w:gutter="0"/>
          <w:cols w:space="720"/>
          <w:noEndnote/>
          <w:rtlGutter w:val="0"/>
          <w:docGrid w:linePitch="360"/>
        </w:sectPr>
      </w:pP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公司负责人薛向东、主管会计工作负责人叶莉及会计机构负责人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初美伶声明：保证本年度报告中财务报告的真实、准确、完整。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本报告中所涉及未来计划等前瞻性陈述，不构成公司对投资者的实质承诺， 投资者及相关人士均应当对此保持足够的风险认识，并且应当理解计划、预测 与承诺之间的差异。敬请投资者注意投资风险。</w:t>
      </w:r>
    </w:p>
    <w:p>
      <w:pPr>
        <w:pStyle w:val="Style10"/>
        <w:keepNext w:val="0"/>
        <w:keepLines w:val="0"/>
        <w:widowControl w:val="0"/>
        <w:shd w:val="clear" w:color="auto" w:fill="auto"/>
        <w:bidi w:val="0"/>
        <w:spacing w:before="0"/>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公司面临的风险和应对措施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，描述了公司未来经营中可能面临的风险以及应对的措施，敬请广大投资者注 意查阅。</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3,205,482,375</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3"/>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8"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9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50"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68"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14"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8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86"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3"/>
        <w:keepNext w:val="0"/>
        <w:keepLines w:val="0"/>
        <w:widowControl w:val="0"/>
        <w:shd w:val="clear" w:color="auto" w:fill="auto"/>
        <w:tabs>
          <w:tab w:leader="dot" w:pos="962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69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r>
        <w:fldChar w:fldCharType="end"/>
      </w:r>
    </w:p>
    <w:p>
      <w:pPr>
        <w:pStyle w:val="Style16"/>
        <w:keepNext w:val="0"/>
        <w:keepLines w:val="0"/>
        <w:widowControl w:val="0"/>
        <w:shd w:val="clear" w:color="auto" w:fill="auto"/>
        <w:bidi w:val="0"/>
        <w:spacing w:before="66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载有公司负责人、主管会计工作负责人、会计机构负责人（会计主管人员）签名并盖章的财务报表。</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报告期内在中国证监会指定网站和报刊上公开披露过的所有公司文件的正本及公告的原稿。</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载有公司负责人签名的公司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年度报告文本。</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其他备查文件。</w:t>
      </w:r>
      <w:r>
        <w:br w:type="page"/>
      </w:r>
    </w:p>
    <w:p>
      <w:pPr>
        <w:pStyle w:val="Style16"/>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诚信电脑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诚信投资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神州新桥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联银通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东华博泰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东华发思特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广东东华发思特软件有限公司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路辂网络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路辂网络科技（北京）有限公司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东华住云科技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东华住云（湖南）科技有限公司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互联宜家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东华至高通信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东华至高通信技术有限公司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东华厚盾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合创科技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报告期、报告期内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东华软件</w:t>
              <w:tab/>
              <w:t>股票代码</w:t>
              <w:tab/>
            </w:r>
            <w:r>
              <w:rPr>
                <w:rFonts w:ascii="Times New Roman" w:eastAsia="Times New Roman" w:hAnsi="Times New Roman" w:cs="Times New Roman"/>
                <w:color w:val="000000"/>
                <w:spacing w:val="0"/>
                <w:w w:val="100"/>
                <w:position w:val="0"/>
                <w:sz w:val="18"/>
                <w:szCs w:val="18"/>
              </w:rPr>
              <w:t>002065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Software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DHCC</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"http://www.dhcc" </w:instrText>
            </w:r>
            <w:r>
              <w:fldChar w:fldCharType="separate"/>
            </w:r>
            <w:r>
              <w:rPr>
                <w:rFonts w:ascii="Times New Roman" w:eastAsia="Times New Roman" w:hAnsi="Times New Roman" w:cs="Times New Roman"/>
                <w:color w:val="000000"/>
                <w:spacing w:val="0"/>
                <w:w w:val="100"/>
                <w:position w:val="0"/>
                <w:sz w:val="18"/>
                <w:szCs w:val="18"/>
              </w:rPr>
              <w:t>www.dhcc</w:t>
            </w:r>
            <w:r>
              <w:fldChar w:fldCharType="end"/>
            </w:r>
            <w:r>
              <w:rPr>
                <w:rFonts w:ascii="Times New Roman" w:eastAsia="Times New Roman" w:hAnsi="Times New Roman" w:cs="Times New Roman"/>
                <w:color w:val="000000"/>
                <w:spacing w:val="0"/>
                <w:w w:val="100"/>
                <w:position w:val="0"/>
                <w:sz w:val="18"/>
                <w:szCs w:val="18"/>
              </w:rPr>
              <w:t>. com.cn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strongyang @dhcc.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strongyang @dhcc. com.cn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"mailto:zhangwen_cw@dhcc.com.cn" </w:instrText>
            </w:r>
            <w:r>
              <w:fldChar w:fldCharType="separate"/>
            </w:r>
            <w:r>
              <w:rPr>
                <w:rFonts w:ascii="Times New Roman" w:eastAsia="Times New Roman" w:hAnsi="Times New Roman" w:cs="Times New Roman"/>
                <w:color w:val="000000"/>
                <w:spacing w:val="0"/>
                <w:w w:val="100"/>
                <w:position w:val="0"/>
                <w:sz w:val="18"/>
                <w:szCs w:val="18"/>
              </w:rPr>
              <w:t>zhangwen_cw@dhcc.com.cn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层公司证券部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叶立萍邢博晖</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 中信证券大厦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李亦中、李文彬</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6"/>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8,849,012,664.06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459,524,309.55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550,377,093.90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583,701,772.02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418,466,725.51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420,579,484.91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487,336,020.71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614,274,470.33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302,404,355.69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21,071,032,920.17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10,919,267,773.28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9,914,498,620.25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9,523,851,201.80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定性</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29"/>
        <w:keepNext/>
        <w:keepLines/>
        <w:widowControl w:val="0"/>
        <w:shd w:val="clear" w:color="auto" w:fill="auto"/>
        <w:tabs>
          <w:tab w:pos="403"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分季度主要财务指标</w:t>
      </w:r>
      <w:bookmarkEnd w:id="49"/>
      <w:bookmarkEnd w:id="50"/>
      <w:bookmarkEnd w:id="5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2,029,336,331.40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2,488,445,234.67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2,260,274,054.47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4,106,233,022.55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113,059,035.20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340,195,610.38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227,371,690.32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-221,102,026.35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111,141,514.28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336,627,571.92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223,001,295.82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-252,303,656.51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-867,003,630.01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-338,548,147.33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204,711,955.97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1,615,114,291.70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-2,412,061.77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-1,757,454.49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11,220,949.94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28,810,444.49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89,817,171.33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49,943,784.61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4,442,820.63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18,681,234.46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5,533,632.41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2,606,931.99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19,495,252.39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-954,467.20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7,933,589.91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5,653,781.11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222,745.88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-71,379.03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41,057,584.04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129,797,608.99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96,365,751.31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41" w:right="1131" w:bottom="1475" w:left="108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8"/>
        <w:keepNext/>
        <w:keepLines/>
        <w:widowControl w:val="0"/>
        <w:shd w:val="clear" w:color="auto" w:fill="auto"/>
        <w:bidi w:val="0"/>
        <w:spacing w:before="54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4"/>
        <w:keepNext/>
        <w:keepLines/>
        <w:widowControl w:val="0"/>
        <w:shd w:val="clear" w:color="auto" w:fill="auto"/>
        <w:tabs>
          <w:tab w:pos="597" w:val="left"/>
        </w:tabs>
        <w:bidi w:val="0"/>
        <w:spacing w:before="0" w:after="24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w:t>
        <w:tab/>
        <w:t>报告期内公司所处的行业情况</w:t>
      </w:r>
      <w:bookmarkEnd w:id="61"/>
      <w:bookmarkEnd w:id="62"/>
      <w:bookmarkEnd w:id="64"/>
      <w:bookmarkEnd w:id="60"/>
    </w:p>
    <w:p>
      <w:pPr>
        <w:pStyle w:val="Style18"/>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根据工业和信息化部公布的《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年，我国软件和信息技术服务业运行态势 良好，软件业务收入保持稳定增长，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实现良好开局。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期间，在一系列国家政策的大力支持与推动下，我国软件企业已具备了一定的技术、市场及规模实力，产业数字化 转型稳步推进。随着软件和信息技术服务业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发展规划的布局启动以及全球数字经济规模的大幅增加，软件和信息技 术服务业产业规模预期将持续扩大，大数据、人工智能、物联网、元宇宙等关键数字技术领域将加速发展，企业数字化转型 进程加快。以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为代表的新的信息技术基础设施建设，将在全国乃至全球加速布局和不断加大，数字产业化趋势将进一步 深化软件和信息技术服务业的变革，加速高端制造业和实体经济的服务化趋势，推进信息技术服务新技术、新业态、新模式、 新产业链的形成。</w:t>
      </w:r>
    </w:p>
    <w:p>
      <w:pPr>
        <w:pStyle w:val="Style24"/>
        <w:keepNext/>
        <w:keepLines/>
        <w:widowControl w:val="0"/>
        <w:shd w:val="clear" w:color="auto" w:fill="auto"/>
        <w:tabs>
          <w:tab w:pos="597" w:val="left"/>
        </w:tabs>
        <w:bidi w:val="0"/>
        <w:spacing w:before="0" w:after="24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w:t>
        <w:tab/>
        <w:t>报告期内公司从事的主要业务</w:t>
      </w:r>
      <w:bookmarkEnd w:id="65"/>
      <w:bookmarkEnd w:id="66"/>
      <w:bookmarkEnd w:id="68"/>
    </w:p>
    <w:p>
      <w:pPr>
        <w:pStyle w:val="Style18"/>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公司始终专注于行业整体解决方案和信息化服务的提供和布局，经过多年深耕已形成较为完备的产品体系和服务生态 圈，主要业务涉及应用软件开发、信息技术服务、计算机信息系统集成，并广泛应用于医疗、能源、金融、智慧城市、能源、 水利等多个领域。</w:t>
      </w:r>
    </w:p>
    <w:p>
      <w:pPr>
        <w:pStyle w:val="Style18"/>
        <w:keepNext w:val="0"/>
        <w:keepLines w:val="0"/>
        <w:widowControl w:val="0"/>
        <w:shd w:val="clear" w:color="auto" w:fill="auto"/>
        <w:tabs>
          <w:tab w:pos="904" w:val="left"/>
        </w:tabs>
        <w:bidi w:val="0"/>
        <w:spacing w:before="0" w:after="120" w:line="313" w:lineRule="exact"/>
        <w:ind w:left="0" w:right="0" w:firstLine="380"/>
        <w:jc w:val="left"/>
      </w:pPr>
      <w:bookmarkStart w:id="69" w:name="bookmark69"/>
      <w:r>
        <w:rPr>
          <w:b/>
          <w:bCs/>
          <w:color w:val="000000"/>
          <w:spacing w:val="0"/>
          <w:w w:val="100"/>
          <w:position w:val="0"/>
        </w:rPr>
        <w:t>（</w:t>
      </w:r>
      <w:bookmarkEnd w:id="69"/>
      <w:r>
        <w:rPr>
          <w:b/>
          <w:bCs/>
          <w:color w:val="000000"/>
          <w:spacing w:val="0"/>
          <w:w w:val="100"/>
          <w:position w:val="0"/>
        </w:rPr>
        <w:t>一）</w:t>
        <w:tab/>
        <w:t>主要产品及用途</w:t>
      </w:r>
    </w:p>
    <w:p>
      <w:pPr>
        <w:pStyle w:val="Style18"/>
        <w:keepNext w:val="0"/>
        <w:keepLines w:val="0"/>
        <w:widowControl w:val="0"/>
        <w:shd w:val="clear" w:color="auto" w:fill="auto"/>
        <w:tabs>
          <w:tab w:pos="698" w:val="left"/>
        </w:tabs>
        <w:bidi w:val="0"/>
        <w:spacing w:before="0" w:after="120" w:line="313" w:lineRule="exact"/>
        <w:ind w:left="0" w:right="0" w:firstLine="380"/>
        <w:jc w:val="left"/>
      </w:pPr>
      <w:bookmarkStart w:id="70" w:name="bookmark70"/>
      <w:r>
        <w:rPr>
          <w:color w:val="000000"/>
          <w:spacing w:val="0"/>
          <w:w w:val="100"/>
          <w:position w:val="0"/>
          <w:sz w:val="18"/>
          <w:szCs w:val="18"/>
        </w:rPr>
        <w:t>1</w:t>
      </w:r>
      <w:bookmarkEnd w:id="70"/>
      <w:r>
        <w:rPr>
          <w:color w:val="000000"/>
          <w:spacing w:val="0"/>
          <w:w w:val="100"/>
          <w:position w:val="0"/>
        </w:rPr>
        <w:t>、</w:t>
        <w:tab/>
        <w:t>应用软件产品研发业务</w:t>
      </w:r>
    </w:p>
    <w:p>
      <w:pPr>
        <w:pStyle w:val="Style18"/>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医院数字化信息系统、</w:t>
      </w:r>
      <w:r>
        <w:rPr>
          <w:color w:val="000000"/>
          <w:spacing w:val="0"/>
          <w:w w:val="100"/>
          <w:position w:val="0"/>
          <w:sz w:val="18"/>
          <w:szCs w:val="18"/>
        </w:rPr>
        <w:t>DRG</w:t>
      </w:r>
      <w:r>
        <w:rPr>
          <w:color w:val="000000"/>
          <w:spacing w:val="0"/>
          <w:w w:val="100"/>
          <w:position w:val="0"/>
        </w:rPr>
        <w:t>医保支付系统、智慧健康服务平台、东华大数据平台、商业银行业务集成平台、金融智脑数 字化平台、企业资金交易平台、地方金融监管和服务智能化平台、东华智慧城市超级大脑、智能物流系统、厚盾全面预算管 理平台、智慧水利业务管理平台等，可满足不同行业不同客户的个性化需求，提供多系列软件产品。</w:t>
      </w:r>
    </w:p>
    <w:p>
      <w:pPr>
        <w:pStyle w:val="Style18"/>
        <w:keepNext w:val="0"/>
        <w:keepLines w:val="0"/>
        <w:widowControl w:val="0"/>
        <w:shd w:val="clear" w:color="auto" w:fill="auto"/>
        <w:tabs>
          <w:tab w:pos="707" w:val="left"/>
        </w:tabs>
        <w:bidi w:val="0"/>
        <w:spacing w:before="0" w:after="120" w:line="313" w:lineRule="exact"/>
        <w:ind w:left="0" w:right="0" w:firstLine="380"/>
        <w:jc w:val="left"/>
      </w:pPr>
      <w:bookmarkStart w:id="71" w:name="bookmark71"/>
      <w:r>
        <w:rPr>
          <w:color w:val="000000"/>
          <w:spacing w:val="0"/>
          <w:w w:val="100"/>
          <w:position w:val="0"/>
          <w:sz w:val="18"/>
          <w:szCs w:val="18"/>
        </w:rPr>
        <w:t>2</w:t>
      </w:r>
      <w:bookmarkEnd w:id="71"/>
      <w:r>
        <w:rPr>
          <w:color w:val="000000"/>
          <w:spacing w:val="0"/>
          <w:w w:val="100"/>
          <w:position w:val="0"/>
        </w:rPr>
        <w:t>、</w:t>
        <w:tab/>
        <w:t>信息技术服务</w:t>
      </w:r>
    </w:p>
    <w:p>
      <w:pPr>
        <w:pStyle w:val="Style1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软件产品实施及交付服务、客户化开发服务、信息系统运维服务、大数据平台建设、大数据交易所建设、云计算服务等， 主要面向客户提供系统解决方案并对客户提供长期的系统维护。</w:t>
      </w:r>
    </w:p>
    <w:p>
      <w:pPr>
        <w:pStyle w:val="Style18"/>
        <w:keepNext w:val="0"/>
        <w:keepLines w:val="0"/>
        <w:widowControl w:val="0"/>
        <w:shd w:val="clear" w:color="auto" w:fill="auto"/>
        <w:tabs>
          <w:tab w:pos="707" w:val="left"/>
        </w:tabs>
        <w:bidi w:val="0"/>
        <w:spacing w:before="0" w:after="120" w:line="313" w:lineRule="exact"/>
        <w:ind w:left="0" w:right="0" w:firstLine="380"/>
        <w:jc w:val="left"/>
      </w:pPr>
      <w:bookmarkStart w:id="72" w:name="bookmark72"/>
      <w:r>
        <w:rPr>
          <w:color w:val="000000"/>
          <w:spacing w:val="0"/>
          <w:w w:val="100"/>
          <w:position w:val="0"/>
          <w:sz w:val="18"/>
          <w:szCs w:val="18"/>
        </w:rPr>
        <w:t>3</w:t>
      </w:r>
      <w:bookmarkEnd w:id="72"/>
      <w:r>
        <w:rPr>
          <w:color w:val="000000"/>
          <w:spacing w:val="0"/>
          <w:w w:val="100"/>
          <w:position w:val="0"/>
        </w:rPr>
        <w:t>、</w:t>
        <w:tab/>
        <w:t>计算机信息系统集成</w:t>
      </w:r>
    </w:p>
    <w:p>
      <w:pPr>
        <w:pStyle w:val="Style18"/>
        <w:keepNext w:val="0"/>
        <w:keepLines w:val="0"/>
        <w:widowControl w:val="0"/>
        <w:shd w:val="clear" w:color="auto" w:fill="auto"/>
        <w:bidi w:val="0"/>
        <w:spacing w:before="0" w:after="120" w:line="307" w:lineRule="exact"/>
        <w:ind w:left="0" w:right="0" w:firstLine="380"/>
        <w:jc w:val="left"/>
      </w:pPr>
      <w:r>
        <w:rPr>
          <w:color w:val="000000"/>
          <w:spacing w:val="0"/>
          <w:w w:val="100"/>
          <w:position w:val="0"/>
        </w:rPr>
        <w:t>网络工程、数据中心、数据储存与容灾、网络与信息安全服务、建筑智能化、视频会议等，可以满足客户的业务需求， 为客户信息系统升级提供咨询规划、</w:t>
      </w:r>
      <w:r>
        <w:rPr>
          <w:color w:val="000000"/>
          <w:spacing w:val="0"/>
          <w:w w:val="100"/>
          <w:position w:val="0"/>
          <w:sz w:val="18"/>
          <w:szCs w:val="18"/>
        </w:rPr>
        <w:t>IT</w:t>
      </w:r>
      <w:r>
        <w:rPr>
          <w:color w:val="000000"/>
          <w:spacing w:val="0"/>
          <w:w w:val="100"/>
          <w:position w:val="0"/>
        </w:rPr>
        <w:t>系统架构设计、软硬件选型与集成等。</w:t>
      </w:r>
    </w:p>
    <w:p>
      <w:pPr>
        <w:pStyle w:val="Style18"/>
        <w:keepNext w:val="0"/>
        <w:keepLines w:val="0"/>
        <w:widowControl w:val="0"/>
        <w:shd w:val="clear" w:color="auto" w:fill="auto"/>
        <w:tabs>
          <w:tab w:pos="712" w:val="left"/>
        </w:tabs>
        <w:bidi w:val="0"/>
        <w:spacing w:before="0" w:after="120" w:line="313" w:lineRule="exact"/>
        <w:ind w:left="0" w:right="0" w:firstLine="380"/>
        <w:jc w:val="left"/>
      </w:pPr>
      <w:bookmarkStart w:id="73" w:name="bookmark73"/>
      <w:r>
        <w:rPr>
          <w:color w:val="000000"/>
          <w:spacing w:val="0"/>
          <w:w w:val="100"/>
          <w:position w:val="0"/>
          <w:sz w:val="18"/>
          <w:szCs w:val="18"/>
        </w:rPr>
        <w:t>4</w:t>
      </w:r>
      <w:bookmarkEnd w:id="73"/>
      <w:r>
        <w:rPr>
          <w:color w:val="000000"/>
          <w:spacing w:val="0"/>
          <w:w w:val="100"/>
          <w:position w:val="0"/>
        </w:rPr>
        <w:t>、</w:t>
        <w:tab/>
        <w:t>网络产品</w:t>
      </w:r>
    </w:p>
    <w:p>
      <w:pPr>
        <w:pStyle w:val="Style18"/>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主要为客户提供网络方面的软硬件产品，如数据库审计、应用安全分发产品在内的多项业务网络运维产品和网络安全产 品。</w:t>
      </w:r>
    </w:p>
    <w:p>
      <w:pPr>
        <w:pStyle w:val="Style18"/>
        <w:keepNext w:val="0"/>
        <w:keepLines w:val="0"/>
        <w:widowControl w:val="0"/>
        <w:shd w:val="clear" w:color="auto" w:fill="auto"/>
        <w:tabs>
          <w:tab w:pos="904" w:val="left"/>
        </w:tabs>
        <w:bidi w:val="0"/>
        <w:spacing w:before="0" w:after="120" w:line="313" w:lineRule="exact"/>
        <w:ind w:left="0" w:right="0" w:firstLine="380"/>
        <w:jc w:val="both"/>
      </w:pPr>
      <w:bookmarkStart w:id="74" w:name="bookmark74"/>
      <w:r>
        <w:rPr>
          <w:b/>
          <w:bCs/>
          <w:color w:val="000000"/>
          <w:spacing w:val="0"/>
          <w:w w:val="100"/>
          <w:position w:val="0"/>
        </w:rPr>
        <w:t>（</w:t>
      </w:r>
      <w:bookmarkEnd w:id="74"/>
      <w:r>
        <w:rPr>
          <w:b/>
          <w:bCs/>
          <w:color w:val="000000"/>
          <w:spacing w:val="0"/>
          <w:w w:val="100"/>
          <w:position w:val="0"/>
        </w:rPr>
        <w:t>二）</w:t>
        <w:tab/>
        <w:t>经营模式</w:t>
      </w:r>
    </w:p>
    <w:p>
      <w:pPr>
        <w:pStyle w:val="Style18"/>
        <w:keepNext w:val="0"/>
        <w:keepLines w:val="0"/>
        <w:widowControl w:val="0"/>
        <w:shd w:val="clear" w:color="auto" w:fill="auto"/>
        <w:bidi w:val="0"/>
        <w:spacing w:before="0" w:line="310" w:lineRule="exact"/>
        <w:ind w:left="0" w:right="0" w:firstLine="380"/>
        <w:jc w:val="both"/>
      </w:pPr>
      <w:bookmarkStart w:id="75" w:name="bookmark75"/>
      <w:r>
        <w:rPr>
          <w:color w:val="000000"/>
          <w:spacing w:val="0"/>
          <w:w w:val="100"/>
          <w:position w:val="0"/>
          <w:sz w:val="18"/>
          <w:szCs w:val="18"/>
        </w:rPr>
        <w:t>1</w:t>
      </w:r>
      <w:bookmarkEnd w:id="75"/>
      <w:r>
        <w:rPr>
          <w:color w:val="000000"/>
          <w:spacing w:val="0"/>
          <w:w w:val="100"/>
          <w:position w:val="0"/>
        </w:rPr>
        <w:t xml:space="preserve">、销售模式：公司以直销模式为主，其主要客户面向医疗、金融、政务、能源、水利、公安、电信等多个行业。通过 追踪客户的实时性需求，及时为客户提供标准化的软件产品，并提供个性化的应用软件开发实施服务及计算机信息系统集成 服务。基于直销模式下，公司与各领域客户建立了长期稳定的合作关系，助力公司提高行业知名度，保障公司的业绩持续稳 </w:t>
      </w:r>
      <w:r>
        <w:rPr>
          <w:color w:val="000000"/>
          <w:spacing w:val="0"/>
          <w:w w:val="100"/>
          <w:position w:val="0"/>
        </w:rPr>
        <w:t>定增长。</w:t>
      </w:r>
    </w:p>
    <w:p>
      <w:pPr>
        <w:pStyle w:val="Style18"/>
        <w:keepNext w:val="0"/>
        <w:keepLines w:val="0"/>
        <w:widowControl w:val="0"/>
        <w:shd w:val="clear" w:color="auto" w:fill="auto"/>
        <w:tabs>
          <w:tab w:pos="644" w:val="left"/>
        </w:tabs>
        <w:bidi w:val="0"/>
        <w:spacing w:before="0" w:line="317" w:lineRule="exact"/>
        <w:ind w:left="0" w:right="0" w:firstLine="380"/>
        <w:jc w:val="both"/>
      </w:pPr>
      <w:bookmarkStart w:id="76" w:name="bookmark76"/>
      <w:r>
        <w:rPr>
          <w:color w:val="000000"/>
          <w:spacing w:val="0"/>
          <w:w w:val="100"/>
          <w:position w:val="0"/>
          <w:sz w:val="18"/>
          <w:szCs w:val="18"/>
        </w:rPr>
        <w:t>2</w:t>
      </w:r>
      <w:bookmarkEnd w:id="76"/>
      <w:r>
        <w:rPr>
          <w:color w:val="000000"/>
          <w:spacing w:val="0"/>
          <w:w w:val="100"/>
          <w:position w:val="0"/>
        </w:rPr>
        <w:t>、</w:t>
        <w:tab/>
        <w:t>研发模式：公司研发部门站在技术发展的新高度，研发各类共性的软件产品助力用户最新业务，并为客户提供最方 便快捷的定制化开发服务。面对客户需求，公司研发部门通过需求细化和技术分析，共同讨论决策形成最终的产品规划，之 后由研发产品部组织研发力量进行开发并最终交付。</w:t>
      </w:r>
    </w:p>
    <w:p>
      <w:pPr>
        <w:pStyle w:val="Style18"/>
        <w:keepNext w:val="0"/>
        <w:keepLines w:val="0"/>
        <w:widowControl w:val="0"/>
        <w:shd w:val="clear" w:color="auto" w:fill="auto"/>
        <w:tabs>
          <w:tab w:pos="634" w:val="left"/>
        </w:tabs>
        <w:bidi w:val="0"/>
        <w:spacing w:before="0" w:line="326" w:lineRule="exact"/>
        <w:ind w:left="0" w:right="0" w:firstLine="380"/>
        <w:jc w:val="both"/>
      </w:pPr>
      <w:bookmarkStart w:id="77" w:name="bookmark77"/>
      <w:r>
        <w:rPr>
          <w:color w:val="000000"/>
          <w:spacing w:val="0"/>
          <w:w w:val="100"/>
          <w:position w:val="0"/>
          <w:sz w:val="18"/>
          <w:szCs w:val="18"/>
        </w:rPr>
        <w:t>3</w:t>
      </w:r>
      <w:bookmarkEnd w:id="77"/>
      <w:r>
        <w:rPr>
          <w:color w:val="000000"/>
          <w:spacing w:val="0"/>
          <w:w w:val="100"/>
          <w:position w:val="0"/>
        </w:rPr>
        <w:t>、</w:t>
        <w:tab/>
        <w:t>采购模式：公司内部严格按照</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要求，对供应商管理方面有着严格的筛选和评估机制，不仅保证产品质量， 同时保证了交货的准确率和服务满意度。公司采用货比三家的采购机制，保证公司的采购流程形成了低成本高效率的特点。</w:t>
      </w:r>
    </w:p>
    <w:p>
      <w:pPr>
        <w:pStyle w:val="Style18"/>
        <w:keepNext w:val="0"/>
        <w:keepLines w:val="0"/>
        <w:widowControl w:val="0"/>
        <w:shd w:val="clear" w:color="auto" w:fill="auto"/>
        <w:tabs>
          <w:tab w:pos="644" w:val="left"/>
        </w:tabs>
        <w:bidi w:val="0"/>
        <w:spacing w:before="0" w:line="319" w:lineRule="exact"/>
        <w:ind w:left="0" w:right="0" w:firstLine="380"/>
        <w:jc w:val="both"/>
      </w:pPr>
      <w:bookmarkStart w:id="78" w:name="bookmark78"/>
      <w:r>
        <w:rPr>
          <w:color w:val="000000"/>
          <w:spacing w:val="0"/>
          <w:w w:val="100"/>
          <w:position w:val="0"/>
          <w:sz w:val="18"/>
          <w:szCs w:val="18"/>
        </w:rPr>
        <w:t>4</w:t>
      </w:r>
      <w:bookmarkEnd w:id="78"/>
      <w:r>
        <w:rPr>
          <w:color w:val="000000"/>
          <w:spacing w:val="0"/>
          <w:w w:val="100"/>
          <w:position w:val="0"/>
        </w:rPr>
        <w:t>、</w:t>
        <w:tab/>
        <w:t>售后模式：公司本着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诚信、快捷、专业、理性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的服务原则为众多客户提供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运维服务。公司已建立了规范、高效、 完善的售后服务体系，设计开发了东华客户关系管理系统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DHC-CRM</w:t>
      </w:r>
      <w:r>
        <w:rPr>
          <w:color w:val="000000"/>
          <w:spacing w:val="0"/>
          <w:w w:val="100"/>
          <w:position w:val="0"/>
        </w:rPr>
        <w:t>）</w:t>
      </w:r>
      <w:r>
        <w:rPr>
          <w:color w:val="000000"/>
          <w:spacing w:val="0"/>
          <w:w w:val="100"/>
          <w:position w:val="0"/>
        </w:rPr>
        <w:t>，增强了公司售后服务的科学性和专业性，提升了 售后服务定制能力和服务效率，通过为众多客户提供驻场技术支持服务，高效解决客户的各种技术故障。</w:t>
      </w:r>
    </w:p>
    <w:p>
      <w:pPr>
        <w:pStyle w:val="Style18"/>
        <w:keepNext w:val="0"/>
        <w:keepLines w:val="0"/>
        <w:widowControl w:val="0"/>
        <w:shd w:val="clear" w:color="auto" w:fill="auto"/>
        <w:tabs>
          <w:tab w:pos="861" w:val="left"/>
        </w:tabs>
        <w:bidi w:val="0"/>
        <w:spacing w:before="0" w:line="316" w:lineRule="exact"/>
        <w:ind w:left="0" w:right="0" w:firstLine="380"/>
        <w:jc w:val="both"/>
      </w:pPr>
      <w:bookmarkStart w:id="79" w:name="bookmark79"/>
      <w:r>
        <w:rPr>
          <w:b/>
          <w:bCs/>
          <w:color w:val="000000"/>
          <w:spacing w:val="0"/>
          <w:w w:val="100"/>
          <w:position w:val="0"/>
        </w:rPr>
        <w:t>（</w:t>
      </w:r>
      <w:bookmarkEnd w:id="79"/>
      <w:r>
        <w:rPr>
          <w:b/>
          <w:bCs/>
          <w:color w:val="000000"/>
          <w:spacing w:val="0"/>
          <w:w w:val="100"/>
          <w:position w:val="0"/>
        </w:rPr>
        <w:t>三）</w:t>
        <w:tab/>
        <w:t>公司的市场地位</w:t>
      </w:r>
    </w:p>
    <w:p>
      <w:pPr>
        <w:pStyle w:val="Style18"/>
        <w:keepNext w:val="0"/>
        <w:keepLines w:val="0"/>
        <w:widowControl w:val="0"/>
        <w:shd w:val="clear" w:color="auto" w:fill="auto"/>
        <w:bidi w:val="0"/>
        <w:spacing w:before="0" w:line="316" w:lineRule="exact"/>
        <w:ind w:left="0" w:right="0" w:firstLine="380"/>
        <w:jc w:val="both"/>
      </w:pPr>
      <w:r>
        <w:rPr>
          <w:color w:val="000000"/>
          <w:spacing w:val="0"/>
          <w:w w:val="100"/>
          <w:position w:val="0"/>
        </w:rPr>
        <w:t>公司作为中国市场上大型的综合性行业应用软件开发、计算机信息系统集成和信息技术服务提供商，是国内最早通过软 件能力成熟度集成</w:t>
      </w:r>
      <w:r>
        <w:rPr>
          <w:color w:val="000000"/>
          <w:spacing w:val="0"/>
          <w:w w:val="100"/>
          <w:position w:val="0"/>
          <w:sz w:val="18"/>
          <w:szCs w:val="18"/>
        </w:rPr>
        <w:t>（</w:t>
      </w:r>
      <w:r>
        <w:rPr>
          <w:color w:val="000000"/>
          <w:spacing w:val="0"/>
          <w:w w:val="100"/>
          <w:position w:val="0"/>
          <w:sz w:val="18"/>
          <w:szCs w:val="18"/>
        </w:rPr>
        <w:t>CMMI）</w:t>
      </w:r>
      <w:r>
        <w:rPr>
          <w:color w:val="000000"/>
          <w:spacing w:val="0"/>
          <w:w w:val="100"/>
          <w:position w:val="0"/>
          <w:sz w:val="18"/>
          <w:szCs w:val="18"/>
        </w:rPr>
        <w:t>5</w:t>
      </w:r>
      <w:r>
        <w:rPr>
          <w:color w:val="000000"/>
          <w:spacing w:val="0"/>
          <w:w w:val="100"/>
          <w:position w:val="0"/>
        </w:rPr>
        <w:t>级认证的软件企业之一，是国家布局内重点软件业务，是首批信息系统集成及服务大型一级企 业。公司拥有国家信息安全测评信息安全服务资质（安全工程类一级）、安防工程企业一级资质、软件安全开发三级服务资 质、信息系统运行维护一级资质、</w:t>
      </w:r>
      <w:r>
        <w:rPr>
          <w:color w:val="000000"/>
          <w:spacing w:val="0"/>
          <w:w w:val="100"/>
          <w:position w:val="0"/>
          <w:sz w:val="18"/>
          <w:szCs w:val="18"/>
        </w:rPr>
        <w:t>ITSS</w:t>
      </w:r>
      <w:r>
        <w:rPr>
          <w:color w:val="000000"/>
          <w:spacing w:val="0"/>
          <w:w w:val="100"/>
          <w:position w:val="0"/>
        </w:rPr>
        <w:t>二级证书等，并取得了</w:t>
      </w:r>
      <w:r>
        <w:rPr>
          <w:color w:val="000000"/>
          <w:spacing w:val="0"/>
          <w:w w:val="100"/>
          <w:position w:val="0"/>
          <w:sz w:val="18"/>
          <w:szCs w:val="18"/>
        </w:rPr>
        <w:t>ISO14001</w:t>
      </w:r>
      <w:r>
        <w:rPr>
          <w:color w:val="000000"/>
          <w:spacing w:val="0"/>
          <w:w w:val="100"/>
          <w:position w:val="0"/>
        </w:rPr>
        <w:t>、</w:t>
      </w:r>
      <w:r>
        <w:rPr>
          <w:color w:val="000000"/>
          <w:spacing w:val="0"/>
          <w:w w:val="100"/>
          <w:position w:val="0"/>
          <w:sz w:val="18"/>
          <w:szCs w:val="18"/>
        </w:rPr>
        <w:t>ISO20000</w:t>
      </w:r>
      <w:r>
        <w:rPr>
          <w:color w:val="000000"/>
          <w:spacing w:val="0"/>
          <w:w w:val="100"/>
          <w:position w:val="0"/>
        </w:rPr>
        <w:t>、</w:t>
      </w:r>
      <w:r>
        <w:rPr>
          <w:color w:val="000000"/>
          <w:spacing w:val="0"/>
          <w:w w:val="100"/>
          <w:position w:val="0"/>
          <w:sz w:val="18"/>
          <w:szCs w:val="18"/>
        </w:rPr>
        <w:t>ISO27001</w:t>
      </w:r>
      <w:r>
        <w:rPr>
          <w:color w:val="000000"/>
          <w:spacing w:val="0"/>
          <w:w w:val="100"/>
          <w:position w:val="0"/>
        </w:rPr>
        <w:t>、</w:t>
      </w:r>
      <w:r>
        <w:rPr>
          <w:color w:val="000000"/>
          <w:spacing w:val="0"/>
          <w:w w:val="100"/>
          <w:position w:val="0"/>
          <w:sz w:val="18"/>
          <w:szCs w:val="18"/>
        </w:rPr>
        <w:t>ISO9001</w:t>
      </w:r>
      <w:r>
        <w:rPr>
          <w:color w:val="000000"/>
          <w:spacing w:val="0"/>
          <w:w w:val="100"/>
          <w:position w:val="0"/>
        </w:rPr>
        <w:t>等质量体系认证， 拥有</w:t>
      </w:r>
      <w:r>
        <w:rPr>
          <w:color w:val="000000"/>
          <w:spacing w:val="0"/>
          <w:w w:val="100"/>
          <w:position w:val="0"/>
          <w:sz w:val="18"/>
          <w:szCs w:val="18"/>
        </w:rPr>
        <w:t>2,100</w:t>
      </w:r>
      <w:r>
        <w:rPr>
          <w:color w:val="000000"/>
          <w:spacing w:val="0"/>
          <w:w w:val="100"/>
          <w:position w:val="0"/>
        </w:rPr>
        <w:t>余项软件著作版权。另外，公司为北京高新技术企业、中关村高新技术企业、北京市信用</w:t>
      </w:r>
      <w:r>
        <w:rPr>
          <w:color w:val="000000"/>
          <w:spacing w:val="0"/>
          <w:w w:val="100"/>
          <w:position w:val="0"/>
          <w:sz w:val="18"/>
          <w:szCs w:val="18"/>
        </w:rPr>
        <w:t>AAA</w:t>
      </w:r>
      <w:r>
        <w:rPr>
          <w:color w:val="000000"/>
          <w:spacing w:val="0"/>
          <w:w w:val="100"/>
          <w:position w:val="0"/>
        </w:rPr>
        <w:t>级企业、中国软件行 业协会企业信用等级证书</w:t>
      </w:r>
      <w:r>
        <w:rPr>
          <w:color w:val="000000"/>
          <w:spacing w:val="0"/>
          <w:w w:val="100"/>
          <w:position w:val="0"/>
          <w:sz w:val="18"/>
          <w:szCs w:val="18"/>
        </w:rPr>
        <w:t>AAA</w:t>
      </w:r>
      <w:r>
        <w:rPr>
          <w:color w:val="000000"/>
          <w:spacing w:val="0"/>
          <w:w w:val="100"/>
          <w:position w:val="0"/>
        </w:rPr>
        <w:t>、</w:t>
      </w:r>
      <w:r>
        <w:rPr>
          <w:color w:val="000000"/>
          <w:spacing w:val="0"/>
          <w:w w:val="100"/>
          <w:position w:val="0"/>
        </w:rPr>
        <w:t>北京安全防范行业协会会员单位、</w:t>
      </w:r>
      <w:r>
        <w:rPr>
          <w:color w:val="000000"/>
          <w:spacing w:val="0"/>
          <w:w w:val="100"/>
          <w:position w:val="0"/>
          <w:sz w:val="18"/>
          <w:szCs w:val="18"/>
        </w:rPr>
        <w:t>ITSS</w:t>
      </w:r>
      <w:r>
        <w:rPr>
          <w:color w:val="000000"/>
          <w:spacing w:val="0"/>
          <w:w w:val="100"/>
          <w:position w:val="0"/>
        </w:rPr>
        <w:t>理事单位等，荣获</w:t>
      </w:r>
      <w:r>
        <w:rPr>
          <w:color w:val="000000"/>
          <w:spacing w:val="0"/>
          <w:w w:val="100"/>
          <w:position w:val="0"/>
          <w:sz w:val="18"/>
          <w:szCs w:val="18"/>
        </w:rPr>
        <w:t>2021</w:t>
      </w:r>
      <w:r>
        <w:rPr>
          <w:color w:val="000000"/>
          <w:spacing w:val="0"/>
          <w:w w:val="100"/>
          <w:position w:val="0"/>
        </w:rPr>
        <w:t>北京软件企业核心竞争力评价 （规模型）证书，荣登</w:t>
      </w:r>
      <w:r>
        <w:rPr>
          <w:color w:val="000000"/>
          <w:spacing w:val="0"/>
          <w:w w:val="100"/>
          <w:position w:val="0"/>
          <w:sz w:val="18"/>
          <w:szCs w:val="18"/>
        </w:rPr>
        <w:t>2021</w:t>
      </w:r>
      <w:r>
        <w:rPr>
          <w:color w:val="000000"/>
          <w:spacing w:val="0"/>
          <w:w w:val="100"/>
          <w:position w:val="0"/>
        </w:rPr>
        <w:t>中国品牌</w:t>
      </w:r>
      <w:r>
        <w:rPr>
          <w:color w:val="000000"/>
          <w:spacing w:val="0"/>
          <w:w w:val="100"/>
          <w:position w:val="0"/>
          <w:sz w:val="18"/>
          <w:szCs w:val="18"/>
        </w:rPr>
        <w:t>500</w:t>
      </w:r>
      <w:r>
        <w:rPr>
          <w:color w:val="000000"/>
          <w:spacing w:val="0"/>
          <w:w w:val="100"/>
          <w:position w:val="0"/>
        </w:rPr>
        <w:t>强等。经过长期的耕耘，公司在主营业务领域具有较为全面的资质、完善的项目管 理体系，丰富的企业客户服务经验，与供应商、客户建立了良好、稳定的合作关系，为公司的业绩稳定增长提供了长期有力 的支撑。</w:t>
      </w:r>
    </w:p>
    <w:p>
      <w:pPr>
        <w:pStyle w:val="Style18"/>
        <w:keepNext w:val="0"/>
        <w:keepLines w:val="0"/>
        <w:widowControl w:val="0"/>
        <w:shd w:val="clear" w:color="auto" w:fill="auto"/>
        <w:tabs>
          <w:tab w:pos="861" w:val="left"/>
        </w:tabs>
        <w:bidi w:val="0"/>
        <w:spacing w:before="0" w:line="316" w:lineRule="exact"/>
        <w:ind w:left="0" w:right="0" w:firstLine="380"/>
        <w:jc w:val="both"/>
      </w:pPr>
      <w:bookmarkStart w:id="80" w:name="bookmark80"/>
      <w:r>
        <w:rPr>
          <w:b/>
          <w:bCs/>
          <w:color w:val="000000"/>
          <w:spacing w:val="0"/>
          <w:w w:val="100"/>
          <w:position w:val="0"/>
        </w:rPr>
        <w:t>（</w:t>
      </w:r>
      <w:bookmarkEnd w:id="80"/>
      <w:r>
        <w:rPr>
          <w:b/>
          <w:bCs/>
          <w:color w:val="000000"/>
          <w:spacing w:val="0"/>
          <w:w w:val="100"/>
          <w:position w:val="0"/>
        </w:rPr>
        <w:t>四）</w:t>
        <w:tab/>
        <w:t>主要的业绩驱动因素</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公司长期深耕软件及服务行业，在技术、人员和市场等方面具有良好的资源储备，依托元宇宙、大数据、人工智能、云 计算、物联网、区块链等新兴技术的支撑，正稳步完善现有产品及服务生态圈。公司通过产品结构持续升级和业务模式的持 续创新，顺应行业升级的发展趋势。</w:t>
      </w:r>
    </w:p>
    <w:p>
      <w:pPr>
        <w:pStyle w:val="Style18"/>
        <w:keepNext w:val="0"/>
        <w:keepLines w:val="0"/>
        <w:widowControl w:val="0"/>
        <w:shd w:val="clear" w:color="auto" w:fill="auto"/>
        <w:bidi w:val="0"/>
        <w:spacing w:before="0" w:line="313" w:lineRule="exact"/>
        <w:ind w:left="0" w:right="0" w:firstLine="380"/>
        <w:jc w:val="both"/>
      </w:pPr>
      <w:r>
        <w:rPr>
          <w:color w:val="000000"/>
          <w:spacing w:val="0"/>
          <w:w w:val="100"/>
          <w:position w:val="0"/>
        </w:rPr>
        <w:t>公司从组织、运营、战略层级深入构建客户服务响应机制，与客户保持有效的沟通合作。针对客户的需求动态及策略， 持续纵向深耕业务，与客户群形成全方位的战略伙伴关系，以最大程度驱动客户价值的创造。公司的客户资源涉及医疗、金 融、智慧城市、能源、水利、政府等领域，所拥有的客户在广度、深度上都具有明显优势，为客户打造了众多行业标杆项目， 形成了一定的示范效应。同时，公司提升内部运营管理及产品设计研发能力，通过高效的管理能力落实行业客户对接，降低 交付成本，提升客户体验，保证公司经营业绩持续稳健增长。</w:t>
      </w:r>
    </w:p>
    <w:p>
      <w:pPr>
        <w:pStyle w:val="Style18"/>
        <w:keepNext w:val="0"/>
        <w:keepLines w:val="0"/>
        <w:widowControl w:val="0"/>
        <w:shd w:val="clear" w:color="auto" w:fill="auto"/>
        <w:bidi w:val="0"/>
        <w:spacing w:before="0" w:line="316" w:lineRule="exact"/>
        <w:ind w:left="0" w:right="0" w:firstLine="380"/>
        <w:jc w:val="both"/>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上市公司从事软件与信息技术服务业务》的披露要求</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报告期内，公司主营业务、主要产品及服务未发生变化。公司实现营业收入</w:t>
      </w:r>
      <w:r>
        <w:rPr>
          <w:color w:val="000000"/>
          <w:spacing w:val="0"/>
          <w:w w:val="100"/>
          <w:position w:val="0"/>
          <w:sz w:val="18"/>
          <w:szCs w:val="18"/>
        </w:rPr>
        <w:t>1,088,428.86</w:t>
      </w:r>
      <w:r>
        <w:rPr>
          <w:color w:val="000000"/>
          <w:spacing w:val="0"/>
          <w:w w:val="100"/>
          <w:position w:val="0"/>
        </w:rPr>
        <w:t>万元，较上年同期增长</w:t>
      </w:r>
      <w:r>
        <w:rPr>
          <w:color w:val="000000"/>
          <w:spacing w:val="0"/>
          <w:w w:val="100"/>
          <w:position w:val="0"/>
          <w:sz w:val="18"/>
          <w:szCs w:val="18"/>
        </w:rPr>
        <w:t xml:space="preserve">18.73%； </w:t>
      </w:r>
      <w:r>
        <w:rPr>
          <w:color w:val="000000"/>
          <w:spacing w:val="0"/>
          <w:w w:val="100"/>
          <w:position w:val="0"/>
        </w:rPr>
        <w:t>归属于上市公司股东的净利润</w:t>
      </w:r>
      <w:r>
        <w:rPr>
          <w:color w:val="000000"/>
          <w:spacing w:val="0"/>
          <w:w w:val="100"/>
          <w:position w:val="0"/>
          <w:sz w:val="18"/>
          <w:szCs w:val="18"/>
        </w:rPr>
        <w:t xml:space="preserve">45, </w:t>
      </w:r>
      <w:r>
        <w:rPr>
          <w:color w:val="000000"/>
          <w:spacing w:val="0"/>
          <w:w w:val="100"/>
          <w:position w:val="0"/>
          <w:sz w:val="18"/>
          <w:szCs w:val="18"/>
        </w:rPr>
        <w:t xml:space="preserve">952. </w:t>
      </w:r>
      <w:r>
        <w:rPr>
          <w:color w:val="000000"/>
          <w:spacing w:val="0"/>
          <w:w w:val="100"/>
          <w:position w:val="0"/>
          <w:sz w:val="18"/>
          <w:szCs w:val="18"/>
        </w:rPr>
        <w:t>43</w:t>
      </w:r>
      <w:r>
        <w:rPr>
          <w:color w:val="000000"/>
          <w:spacing w:val="0"/>
          <w:w w:val="100"/>
          <w:position w:val="0"/>
        </w:rPr>
        <w:t>万元，较上年同期下降</w:t>
      </w:r>
      <w:r>
        <w:rPr>
          <w:color w:val="000000"/>
          <w:spacing w:val="0"/>
          <w:w w:val="100"/>
          <w:position w:val="0"/>
          <w:sz w:val="18"/>
          <w:szCs w:val="18"/>
        </w:rPr>
        <w:t>16.51%</w:t>
      </w:r>
      <w:r>
        <w:rPr>
          <w:color w:val="000000"/>
          <w:spacing w:val="0"/>
          <w:w w:val="100"/>
          <w:position w:val="0"/>
        </w:rPr>
        <w:t>。报告期内，具体细分领域经营情况如下：</w:t>
      </w:r>
    </w:p>
    <w:p>
      <w:pPr>
        <w:pStyle w:val="Style18"/>
        <w:keepNext w:val="0"/>
        <w:keepLines w:val="0"/>
        <w:widowControl w:val="0"/>
        <w:shd w:val="clear" w:color="auto" w:fill="auto"/>
        <w:bidi w:val="0"/>
        <w:spacing w:before="0" w:line="316" w:lineRule="exact"/>
        <w:ind w:left="0" w:right="0" w:firstLine="460"/>
        <w:jc w:val="left"/>
      </w:pPr>
      <w:bookmarkStart w:id="81" w:name="bookmark81"/>
      <w:r>
        <w:rPr>
          <w:rFonts w:ascii="Times New Roman" w:eastAsia="Times New Roman" w:hAnsi="Times New Roman" w:cs="Times New Roman"/>
          <w:b/>
          <w:bCs/>
          <w:color w:val="000000"/>
          <w:spacing w:val="0"/>
          <w:w w:val="100"/>
          <w:position w:val="0"/>
          <w:sz w:val="18"/>
          <w:szCs w:val="18"/>
        </w:rPr>
        <w:t>1</w:t>
      </w:r>
      <w:bookmarkEnd w:id="81"/>
      <w:r>
        <w:rPr>
          <w:b/>
          <w:bCs/>
          <w:color w:val="000000"/>
          <w:spacing w:val="0"/>
          <w:w w:val="100"/>
          <w:position w:val="0"/>
        </w:rPr>
        <w:t>、医疗行业</w:t>
      </w:r>
    </w:p>
    <w:p>
      <w:pPr>
        <w:pStyle w:val="Style18"/>
        <w:keepNext w:val="0"/>
        <w:keepLines w:val="0"/>
        <w:widowControl w:val="0"/>
        <w:shd w:val="clear" w:color="auto" w:fill="auto"/>
        <w:bidi w:val="0"/>
        <w:spacing w:before="0" w:after="240" w:line="311" w:lineRule="exact"/>
        <w:ind w:left="0" w:right="0" w:firstLine="460"/>
        <w:jc w:val="both"/>
      </w:pPr>
      <w:r>
        <w:rPr>
          <w:color w:val="000000"/>
          <w:spacing w:val="0"/>
          <w:w w:val="100"/>
          <w:position w:val="0"/>
        </w:rPr>
        <w:t>面对医疗健康行业的新变化、新趋势，作为公司的全资子公司，东华医为始终坚持技术创新、产品创新和业务模式创 新的发展路径，综合运用元宇宙、人工智能、大数据、物联网、数字挛生等多种技术，赋能医疗行业数字化转型升级。报告 期内，东华医为荣获全国五一劳动奖状，是国内唯一一家获得全国五一劳动奖状的荣誉集体。医为</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产品销售继续保持高 速增长，在生态建设、技术研发、业务开拓、客户服务等方面都取得了长足发展。累计已有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余家三甲医院以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订阅模式 与东华医为签订订阅服务合同。</w:t>
      </w:r>
    </w:p>
    <w:p>
      <w:pPr>
        <w:pStyle w:val="Style18"/>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报告期内，重点工作回顾如下:</w:t>
      </w:r>
    </w:p>
    <w:p>
      <w:pPr>
        <w:pStyle w:val="Style18"/>
        <w:keepNext w:val="0"/>
        <w:keepLines w:val="0"/>
        <w:widowControl w:val="0"/>
        <w:shd w:val="clear" w:color="auto" w:fill="auto"/>
        <w:bidi w:val="0"/>
        <w:spacing w:before="0" w:line="240" w:lineRule="auto"/>
        <w:ind w:left="0" w:right="0" w:firstLine="460"/>
        <w:jc w:val="both"/>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）参与全国防疫工作</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在疫情防控常态化的背景下，东华医为作为医信行业中坚力量挺身而出，以出色的技术实力不断提高医院</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系统交付 的速度。在报告期内，公司持续面向全国各级医疗机构及互联网医院，提供新冠肺炎筛查分诊、在线咨询、在线处方、在线 随访、健康管理等服务支持。</w:t>
      </w:r>
    </w:p>
    <w:p>
      <w:pPr>
        <w:pStyle w:val="Style18"/>
        <w:keepNext w:val="0"/>
        <w:keepLines w:val="0"/>
        <w:widowControl w:val="0"/>
        <w:shd w:val="clear" w:color="auto" w:fill="auto"/>
        <w:bidi w:val="0"/>
        <w:spacing w:before="0" w:line="316"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月，东华医为上线广州市白云区妇幼保健院新冠肺炎流调系统。通过线上填写《新冠登记表》及《流行病学史 问诊表》等表单，完善登记信息，避免了线下排队交叉感染，切实保障广大群众的就医安全，并为医疗机构及卫生管理部门 提供信息可追溯、人员可追踪、风险可管控的管理服务，有效支撑疫情防控。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月，东华为山东烟台蓬莱国际机场研 发流行病调查追踪产品，实现核酸检测预约及新冠肺炎流调功能，助其精准科学防控疫情，高质高效地完成了国际机场全员 核酸检测工作。</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基于东华医为在武汉火神山、雷神山医院积累的丰富的抗击新冠肺炎专科医院的经验，东华医为相继上线了武汉体育 中心方舱医院、长春国际会展中心方舱医院、成都市公共疾控中心方舱医院等多家方舱医院的信息系统。</w:t>
      </w:r>
    </w:p>
    <w:p>
      <w:pPr>
        <w:pStyle w:val="Style18"/>
        <w:keepNext w:val="0"/>
        <w:keepLines w:val="0"/>
        <w:widowControl w:val="0"/>
        <w:shd w:val="clear" w:color="auto" w:fill="auto"/>
        <w:bidi w:val="0"/>
        <w:spacing w:before="0" w:line="298" w:lineRule="exact"/>
        <w:ind w:left="0" w:right="0" w:firstLine="460"/>
        <w:jc w:val="both"/>
      </w:pPr>
      <w:r>
        <w:rPr>
          <w:color w:val="000000"/>
          <w:spacing w:val="0"/>
          <w:w w:val="100"/>
          <w:position w:val="0"/>
        </w:rPr>
        <w:t>报告期内，东华医为已累计为北京航空总医院、北京中医医院、中国中医科学院望京医院、首都医科大学附属北京康 复医院等全国共</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家医院，上线流行病调查追踪产品，切实保障医疗机构疫情防控工作的顺利开展。</w:t>
      </w:r>
    </w:p>
    <w:p>
      <w:pPr>
        <w:pStyle w:val="Style18"/>
        <w:keepNext w:val="0"/>
        <w:keepLines w:val="0"/>
        <w:widowControl w:val="0"/>
        <w:shd w:val="clear" w:color="auto" w:fill="auto"/>
        <w:tabs>
          <w:tab w:pos="850" w:val="left"/>
        </w:tabs>
        <w:bidi w:val="0"/>
        <w:spacing w:before="0" w:line="314" w:lineRule="exact"/>
        <w:ind w:left="0" w:right="0" w:firstLine="460"/>
        <w:jc w:val="both"/>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智慧医院</w:t>
      </w:r>
    </w:p>
    <w:p>
      <w:pPr>
        <w:pStyle w:val="Style18"/>
        <w:keepNext w:val="0"/>
        <w:keepLines w:val="0"/>
        <w:widowControl w:val="0"/>
        <w:shd w:val="clear" w:color="auto" w:fill="auto"/>
        <w:bidi w:val="0"/>
        <w:spacing w:before="0" w:line="313" w:lineRule="exact"/>
        <w:ind w:left="0" w:right="0" w:firstLine="460"/>
        <w:jc w:val="both"/>
      </w:pPr>
      <w:r>
        <w:rPr>
          <w:rFonts w:ascii="Times New Roman" w:eastAsia="Times New Roman" w:hAnsi="Times New Roman" w:cs="Times New Roman"/>
          <w:color w:val="000000"/>
          <w:spacing w:val="0"/>
          <w:w w:val="100"/>
          <w:position w:val="0"/>
          <w:sz w:val="18"/>
          <w:szCs w:val="18"/>
        </w:rPr>
        <w:t>HOS（Hospital Operating System</w:t>
      </w:r>
      <w:r>
        <w:rPr>
          <w:color w:val="000000"/>
          <w:spacing w:val="0"/>
          <w:w w:val="100"/>
          <w:position w:val="0"/>
        </w:rPr>
        <w:t>，医院操作系统）是东华医为凝结二十二年行业积累，探索出来的一套智慧医院解决方 案，是支撑医院管理、运营、业务运行的操作系统。</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数字挛生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理念，在挛生的信息系统中，实现对医院全域元素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的对应表达，进而横向到边、纵向到底的梳理医院全局业务流程，让医院管理运营更清晰可见、精准可控。东华医为</w:t>
      </w:r>
      <w:r>
        <w:rPr>
          <w:rFonts w:ascii="Times New Roman" w:eastAsia="Times New Roman" w:hAnsi="Times New Roman" w:cs="Times New Roman"/>
          <w:color w:val="000000"/>
          <w:spacing w:val="0"/>
          <w:w w:val="100"/>
          <w:position w:val="0"/>
          <w:sz w:val="18"/>
          <w:szCs w:val="18"/>
        </w:rPr>
        <w:t xml:space="preserve">HOS </w:t>
      </w:r>
      <w:r>
        <w:rPr>
          <w:color w:val="000000"/>
          <w:spacing w:val="0"/>
          <w:w w:val="100"/>
          <w:position w:val="0"/>
        </w:rPr>
        <w:t>产品发布一年以来，赢得了良好的市场反馈。报告期内，已有榆林市第二医院、长治市人民医院、潍坊市人民医院、香港大 学深圳医院等共计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多家医院以订阅模式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签约建设</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服务合同，总金额超过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是助力医疗机构数字化 转型的利器，</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订阅模式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已成为东华医为客户成功战略和智慧医院建设的最佳解决方案和最佳商业模式。</w:t>
      </w:r>
    </w:p>
    <w:p>
      <w:pPr>
        <w:pStyle w:val="Style18"/>
        <w:keepNext w:val="0"/>
        <w:keepLines w:val="0"/>
        <w:widowControl w:val="0"/>
        <w:shd w:val="clear" w:color="auto" w:fill="auto"/>
        <w:bidi w:val="0"/>
        <w:spacing w:before="0" w:line="317"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月，东华医为上线全国单体体量最大的公立医院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天津市第一中心医院一体化医院信息系统。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月，东 华医为中标重庆医科大学附属第一医院一体化核心信息系统，标志着又一国内百强医院选择采用东华医为的核心产品与服 务，彰显出东华医为在智慧医院领域扎实的企业实力和强劲的发展势头。</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此外，在电子病历评级方面，东华医为先后支撑南京市高淳人民医院、华中科技大学协和深圳医院、周口市中心医院、 梅州市人民医院、四川大学华西医院、四川大学华西第二医院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家医院客户通过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年度电子病历五级评审。报告期内，东 华医为已累计服务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家医院客户，通过电子病历五级、六级高级别评审。</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在医院互联互通领域，报告期内，东华医为累计支持</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家医院通过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互联互通标准化成熟度测评。其中，吉林大学 中日联谊医院、青岛大学附属医院、南方医科大学南方医院、珠海市人民医院、深圳市中医院、兰州大学第二医院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家医院 通过了五级乙等测评。</w:t>
      </w:r>
    </w:p>
    <w:p>
      <w:pPr>
        <w:pStyle w:val="Style18"/>
        <w:keepNext w:val="0"/>
        <w:keepLines w:val="0"/>
        <w:widowControl w:val="0"/>
        <w:shd w:val="clear" w:color="auto" w:fill="auto"/>
        <w:tabs>
          <w:tab w:pos="850" w:val="left"/>
        </w:tabs>
        <w:bidi w:val="0"/>
        <w:spacing w:before="0" w:line="314" w:lineRule="exact"/>
        <w:ind w:left="0" w:right="0" w:firstLine="46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智慧卫生（区域医疗）</w:t>
      </w:r>
    </w:p>
    <w:p>
      <w:pPr>
        <w:pStyle w:val="Style18"/>
        <w:keepNext w:val="0"/>
        <w:keepLines w:val="0"/>
        <w:widowControl w:val="0"/>
        <w:shd w:val="clear" w:color="auto" w:fill="auto"/>
        <w:bidi w:val="0"/>
        <w:spacing w:before="0" w:line="316" w:lineRule="exact"/>
        <w:ind w:left="0" w:right="0" w:firstLine="460"/>
        <w:jc w:val="both"/>
      </w:pPr>
      <w:r>
        <w:rPr>
          <w:color w:val="000000"/>
          <w:spacing w:val="0"/>
          <w:w w:val="100"/>
          <w:position w:val="0"/>
        </w:rPr>
        <w:t>在智慧卫生领域，公司全面推广面向智慧城市的</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City Medical Operating System</w:t>
      </w:r>
      <w:r>
        <w:rPr>
          <w:color w:val="000000"/>
          <w:spacing w:val="0"/>
          <w:w w:val="100"/>
          <w:position w:val="0"/>
        </w:rPr>
        <w:t>，</w:t>
      </w:r>
      <w:r>
        <w:rPr>
          <w:color w:val="000000"/>
          <w:spacing w:val="0"/>
          <w:w w:val="100"/>
          <w:position w:val="0"/>
        </w:rPr>
        <w:t>城市智慧医疗操作系统）解 决方案。</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以国家卫生信息化，</w:t>
      </w:r>
      <w:r>
        <w:rPr>
          <w:rFonts w:ascii="Times New Roman" w:eastAsia="Times New Roman" w:hAnsi="Times New Roman" w:cs="Times New Roman"/>
          <w:color w:val="000000"/>
          <w:spacing w:val="0"/>
          <w:w w:val="100"/>
          <w:position w:val="0"/>
          <w:sz w:val="18"/>
          <w:szCs w:val="18"/>
        </w:rPr>
        <w:t>“4631-2”</w:t>
      </w:r>
      <w:r>
        <w:rPr>
          <w:color w:val="000000"/>
          <w:spacing w:val="0"/>
          <w:w w:val="100"/>
          <w:position w:val="0"/>
        </w:rPr>
        <w:t>工程建设内容为重要依托，全面构建区域医疗所需要的新连接、新计算、新交互 和新安全等泛在支撑能力，为健康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生态提供面向多元化服务架构的融合平台（如全民健康保障平台、医共体平台等）。 </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通过适配城市医疗复杂多样业务协同环境，提供高效数据供给、高阶智能供给的数智融合能力，全面升级服务、治理、 协同、监管、决策、科研六大区域医疗领域能力。</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在区域医疗信息化领域，东华医为已具备较强的竞争实力。报告期内，东华医为先后中标德令哈市中医院医共体、沙 湾市人民医院医共体和阿克苏新和县人民医院医共体、南皮县人民医院、巩义市总医院等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个项目，标志着东华医为对紧密 型医共体建设已完成市场探索，并通过项目实施案例进入稳步实践拓展阶段。</w:t>
      </w:r>
    </w:p>
    <w:p>
      <w:pPr>
        <w:pStyle w:val="Style18"/>
        <w:keepNext w:val="0"/>
        <w:keepLines w:val="0"/>
        <w:widowControl w:val="0"/>
        <w:shd w:val="clear" w:color="auto" w:fill="auto"/>
        <w:tabs>
          <w:tab w:pos="850" w:val="left"/>
        </w:tabs>
        <w:bidi w:val="0"/>
        <w:spacing w:before="0" w:line="314" w:lineRule="exact"/>
        <w:ind w:left="0" w:right="0" w:firstLine="46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智慧医保</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 xml:space="preserve">在智慧医保领域，公司已形成广泛的资源聚集、全面的技术积累和服务交付能力，拥有覆盖多个行业头部客户的丰富 </w:t>
      </w:r>
      <w:r>
        <w:rPr>
          <w:color w:val="000000"/>
          <w:spacing w:val="0"/>
          <w:w w:val="100"/>
          <w:position w:val="0"/>
        </w:rPr>
        <w:t>实践和成功案例，成为客户信赖的</w:t>
      </w:r>
      <w:r>
        <w:rPr>
          <w:rFonts w:ascii="Times New Roman" w:eastAsia="Times New Roman" w:hAnsi="Times New Roman" w:cs="Times New Roman"/>
          <w:color w:val="000000"/>
          <w:spacing w:val="0"/>
          <w:w w:val="100"/>
          <w:position w:val="0"/>
          <w:sz w:val="18"/>
          <w:szCs w:val="18"/>
        </w:rPr>
        <w:t>D RG/DIP</w:t>
      </w:r>
      <w:r>
        <w:rPr>
          <w:color w:val="000000"/>
          <w:spacing w:val="0"/>
          <w:w w:val="100"/>
          <w:position w:val="0"/>
        </w:rPr>
        <w:t>服务专家。</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报告期内，东华医为持续发挥医保业务领域的行业优势，加强大数据、智能化应用能力，不断提高医疗保障标准化、 信息化建设水平，围绕公共服务、智能监管、商保应用、支付方式改革、互联网医院，深化数字整合，开拓业务新模式、研 发新产品，推动医保、医疗、医药等业务互联互通和服务聚合，以创新业务服务理念，带动公司医保行业新生态、新模式、 新应用的建立。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年初，公司成功中标廊坊市</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月，由东华医为作为总集成的国家医疗保障信息平台在 天津市首批医药机构顺利上线运行，全面推进天津市医保治理体系和治理能力现代化，有力支撑了天津市医疗保障事业高质 量发展。</w:t>
      </w:r>
    </w:p>
    <w:p>
      <w:pPr>
        <w:pStyle w:val="Style18"/>
        <w:keepNext w:val="0"/>
        <w:keepLines w:val="0"/>
        <w:widowControl w:val="0"/>
        <w:shd w:val="clear" w:color="auto" w:fill="auto"/>
        <w:bidi w:val="0"/>
        <w:spacing w:before="0" w:line="312" w:lineRule="exact"/>
        <w:ind w:left="0" w:right="0" w:firstLine="460"/>
        <w:jc w:val="left"/>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）互联网医疗</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近几年，国家陆续出台一系列指导意见，推进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的发展。在政策扶持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需求扩大双轮驱动的格局下，全国 各大医院相继迎来了互联网医院建设的浪潮。报告期内，东华医为互联网医院解决方案陆续在北京中医医院、北京友谊医院、 北京妇产医院、成都市第一人民医院、成都市第二人民医院、兰州大学第二医院、吉林省肿瘤医院等全国多家医院落地，助 力各大医院成功获批互联网医院牌照，为医院开展全方位互联网医疗服务提供了强有力的技术支持。其中，北京友谊医院参 加了医院智慧服务分级评估并通过了三级评估。</w:t>
      </w:r>
    </w:p>
    <w:p>
      <w:pPr>
        <w:pStyle w:val="Style18"/>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在北京冬奥会期间，基于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的一体化综合院前急救保障服务由东华提供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支撑。东华院前智慧急救解决方案，将参赛 人员信息在院前院内实时共享，实现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上车即入院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移动的</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急救业务创新模式，为北京冬奥会保驾护航。</w:t>
      </w:r>
    </w:p>
    <w:p>
      <w:pPr>
        <w:pStyle w:val="Style18"/>
        <w:keepNext w:val="0"/>
        <w:keepLines w:val="0"/>
        <w:widowControl w:val="0"/>
        <w:shd w:val="clear" w:color="auto" w:fill="auto"/>
        <w:bidi w:val="0"/>
        <w:spacing w:before="0" w:after="0" w:line="360" w:lineRule="auto"/>
        <w:ind w:left="0" w:right="0" w:firstLine="460"/>
        <w:jc w:val="left"/>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、能源行业</w:t>
      </w:r>
    </w:p>
    <w:p>
      <w:pPr>
        <w:pStyle w:val="Style18"/>
        <w:keepNext w:val="0"/>
        <w:keepLines w:val="0"/>
        <w:widowControl w:val="0"/>
        <w:shd w:val="clear" w:color="auto" w:fill="auto"/>
        <w:bidi w:val="0"/>
        <w:spacing w:before="0" w:line="312" w:lineRule="exact"/>
        <w:ind w:left="0" w:right="0" w:firstLine="380"/>
        <w:jc w:val="left"/>
      </w:pPr>
      <w:r>
        <w:rPr>
          <w:color w:val="000000"/>
          <w:spacing w:val="0"/>
          <w:w w:val="100"/>
          <w:position w:val="0"/>
        </w:rPr>
        <w:t>东华博泰长期耕耘于能源工业互联网等领域，获得行业客户的高度认可，积极与行业专家和客户共同制定相关行业标准。 作为碳中和智慧大脑（能源行业）建设的引领者，通过构筑能源工业互联网平台、工业互联网安全、综合能源服务三条产品 线，实现三轮驱动、互为犄角、密切协同、稳定前行的战略布局，实现产品阶梯收入、满足不同用户需求、确保增长持续。</w:t>
      </w:r>
    </w:p>
    <w:p>
      <w:pPr>
        <w:pStyle w:val="Style18"/>
        <w:keepNext w:val="0"/>
        <w:keepLines w:val="0"/>
        <w:widowControl w:val="0"/>
        <w:shd w:val="clear" w:color="auto" w:fill="auto"/>
        <w:bidi w:val="0"/>
        <w:spacing w:before="0" w:line="313" w:lineRule="exact"/>
        <w:ind w:left="0" w:right="0" w:firstLine="380"/>
        <w:jc w:val="left"/>
      </w:pPr>
      <w:r>
        <w:rPr>
          <w:color w:val="000000"/>
          <w:spacing w:val="0"/>
          <w:w w:val="100"/>
          <w:position w:val="0"/>
        </w:rPr>
        <w:t>报告期内，东华博泰率先通过中国工业互联网研究院的工业互联网平台综合能力测评，荣获</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年度工业互联网 最具成长力企业，并新获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项专利与</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项软著证书，成为中国电力大数据创新联盟、物联生态安全联盟、中国通信标准化协 会和中国电子信息行业联合会会员单位。东华博泰以自有产品</w:t>
      </w:r>
      <w:r>
        <w:rPr>
          <w:rFonts w:ascii="Times New Roman" w:eastAsia="Times New Roman" w:hAnsi="Times New Roman" w:cs="Times New Roman"/>
          <w:color w:val="000000"/>
          <w:spacing w:val="0"/>
          <w:w w:val="100"/>
          <w:position w:val="0"/>
          <w:sz w:val="18"/>
          <w:szCs w:val="18"/>
        </w:rPr>
        <w:t>Avatar</w:t>
      </w:r>
      <w:r>
        <w:rPr>
          <w:color w:val="000000"/>
          <w:spacing w:val="0"/>
          <w:w w:val="100"/>
          <w:position w:val="0"/>
        </w:rPr>
        <w:t>工业互联网平台为基础，助力政府部门的监管治理综合 智慧化，产业链间协同的全面系统化，产业内数字化运营绿色低碳化，能源企业发展协同互补化，推动综合能源服务；助力 我国供能侧、输能侧、用能侧、治理侧建设其安全可信的能源管控、能源调度、智能运维等工业互联网平台，为国家能源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 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目标达成做出贡献。</w:t>
      </w:r>
    </w:p>
    <w:p>
      <w:pPr>
        <w:pStyle w:val="Style18"/>
        <w:keepNext w:val="0"/>
        <w:keepLines w:val="0"/>
        <w:widowControl w:val="0"/>
        <w:shd w:val="clear" w:color="auto" w:fill="auto"/>
        <w:bidi w:val="0"/>
        <w:spacing w:before="0" w:line="317" w:lineRule="exact"/>
        <w:ind w:left="0" w:right="0" w:firstLine="380"/>
        <w:jc w:val="left"/>
      </w:pPr>
      <w:r>
        <w:rPr>
          <w:color w:val="000000"/>
          <w:spacing w:val="0"/>
          <w:w w:val="100"/>
          <w:position w:val="0"/>
        </w:rPr>
        <w:t>在软件产品化方面，东华博泰持续研发投入持续增长，</w:t>
      </w:r>
      <w:r>
        <w:rPr>
          <w:rFonts w:ascii="Times New Roman" w:eastAsia="Times New Roman" w:hAnsi="Times New Roman" w:cs="Times New Roman"/>
          <w:color w:val="000000"/>
          <w:spacing w:val="0"/>
          <w:w w:val="100"/>
          <w:position w:val="0"/>
          <w:sz w:val="18"/>
          <w:szCs w:val="18"/>
        </w:rPr>
        <w:t>Avatar</w:t>
      </w:r>
      <w:r>
        <w:rPr>
          <w:color w:val="000000"/>
          <w:spacing w:val="0"/>
          <w:w w:val="100"/>
          <w:position w:val="0"/>
        </w:rPr>
        <w:t>工业互联网平台通过吸收实际项目中的实际需求，持续升 级迭代，稳定性，功能性与易用性都大大增强，新增应用也已投入到节能领域。</w:t>
      </w:r>
    </w:p>
    <w:p>
      <w:pPr>
        <w:pStyle w:val="Style18"/>
        <w:keepNext w:val="0"/>
        <w:keepLines w:val="0"/>
        <w:widowControl w:val="0"/>
        <w:shd w:val="clear" w:color="auto" w:fill="auto"/>
        <w:bidi w:val="0"/>
        <w:spacing w:before="0" w:line="314" w:lineRule="exact"/>
        <w:ind w:left="0" w:right="0" w:firstLine="380"/>
        <w:jc w:val="left"/>
      </w:pPr>
      <w:r>
        <w:rPr>
          <w:color w:val="000000"/>
          <w:spacing w:val="0"/>
          <w:w w:val="100"/>
          <w:position w:val="0"/>
        </w:rPr>
        <w:t>在客户拓展方面，基于传统深耕的发电行业企业，逐步拓展了包括中国中车集团有限公司、陕西投资集团有限公司、吉 林松原石油化学工业循环经济园区、武汉丽岛物业有限公司等客户，主要为其提供城市供热、产业园区、公共建筑等领域的 综合能源服务。</w:t>
      </w:r>
    </w:p>
    <w:p>
      <w:pPr>
        <w:pStyle w:val="Style18"/>
        <w:keepNext w:val="0"/>
        <w:keepLines w:val="0"/>
        <w:widowControl w:val="0"/>
        <w:shd w:val="clear" w:color="auto" w:fill="auto"/>
        <w:bidi w:val="0"/>
        <w:spacing w:before="0" w:line="312" w:lineRule="exact"/>
        <w:ind w:left="0" w:right="0" w:firstLine="380"/>
        <w:jc w:val="left"/>
      </w:pPr>
      <w:r>
        <w:rPr>
          <w:color w:val="000000"/>
          <w:spacing w:val="0"/>
          <w:w w:val="100"/>
          <w:position w:val="0"/>
        </w:rPr>
        <w:t>报告期内，东华博泰签约项目总数超两百个且与重点客户建立了战略合作关系，为客户提供了基于工业互联网的平台， 从场站段至集团侧的数字化与信息化融合服务。其中，标杆项目包括：与中能融合智慧科技有限公司签约了《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年能源工 业互联网平台二期</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平台建设》项目，与青海黄河上游水电开发有限责任公司《智能运维平台二期数字化平台建设》项目， 与国家能源投资集团有限责任公司签约了《国电电力内蒙古新能源开发有限公司国家能源投资集团圣圆能源鄂尔多斯新能源 基地天骄绿能</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万千瓦采煤沉陷区生态治理光伏发电示范项目智慧光伏电站建设》项目，与中国大唐集团公司签约了《山西 大唐国际临汾热电有限责任公司临汾热电基于大数据全息展示及人员行为安全管控平台》，与陕西投资集团有限公司签约了 《陕北新能源管理中心智慧管理平台建设》项目，与中国长江三峡集团有限公司签约了《大数据平台升级扩容采购与实施》 项目，与北京市热力集团有限责任公司签约了《基于工业互联网的区域锅炉房集群供热全过程智慧联动优化调控与管理系统 的研究与示范项目技术服务及设备采购》项目等。</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伴随着互联网、大数据、云计算、人工智能和物联网等新技术浪潮的迅猛发展，金融科技创新正越来越深刻地改变着 传统银行的生态。根据《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数字经济发展规划》，数字化转型已经成为大势所趋。公司以科技服务产业为己任，结合 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多年对金融业务的理解，把握数字化发展新机遇，利用我们的科技服务能力，构建与数字经济高度契合的数字金融科 技服务，为中国金融产业数字化转型赋能。</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在服务领域上，推出了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东华金融智脑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金融科技服务品牌，打破了传统金融软件观念的束缚。根据新时代新业态要求， 以全新的思维理念为主导，承载于金融工具与平台上的包括技术、产品、营销、风险、支付、开放、数据等一系列的金融服 务能力。通过对现有业务需求和交易流程进行梳理与分析，实现物理世界与信息世界之间的映射，利用金融科技对抽象出来 的数字化信息加工计算，形成产品、风险、营销、运营、服务等模型，最终达到用数字化信息服务现在和未来的金融业务。</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在能力输入方面，金融智脑的服务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主要体现在：交易并发能力、数据管控能力、定制产品能力、支付渠道能力、 控制风险能力、精准营销能力、开放链接、用户服务。同时，利用合作共赢的金融服务生态，强化了数据管理能力，建立健 全数据治理体系、增强、加强数据质量控制、提高科技架构支撑能力，推动科技管理敏捷转型。</w:t>
      </w:r>
    </w:p>
    <w:p>
      <w:pPr>
        <w:pStyle w:val="Style18"/>
        <w:keepNext w:val="0"/>
        <w:keepLines w:val="0"/>
        <w:widowControl w:val="0"/>
        <w:shd w:val="clear" w:color="auto" w:fill="auto"/>
        <w:bidi w:val="0"/>
        <w:spacing w:before="0" w:line="309" w:lineRule="exact"/>
        <w:ind w:left="0" w:right="0" w:firstLine="460"/>
        <w:jc w:val="both"/>
      </w:pPr>
      <w:r>
        <w:rPr>
          <w:color w:val="000000"/>
          <w:spacing w:val="0"/>
          <w:w w:val="100"/>
          <w:position w:val="0"/>
        </w:rPr>
        <w:t>在客户范围上，公司将秉承广度与深度全覆盖的策略，持续为客户提供优秀的服务，提升新老客户的体验满意度。从 客户广度来看，公司客户覆盖遍布银行、证券、保险、信托、消费金融公司、租赁公司、财务公司、</w:t>
      </w:r>
      <w:r>
        <w:rPr>
          <w:rFonts w:ascii="Times New Roman" w:eastAsia="Times New Roman" w:hAnsi="Times New Roman" w:cs="Times New Roman"/>
          <w:color w:val="000000"/>
          <w:spacing w:val="0"/>
          <w:w w:val="100"/>
          <w:position w:val="0"/>
          <w:sz w:val="18"/>
          <w:szCs w:val="18"/>
        </w:rPr>
        <w:t>AMC</w:t>
      </w:r>
      <w:r>
        <w:rPr>
          <w:color w:val="000000"/>
          <w:spacing w:val="0"/>
          <w:w w:val="100"/>
          <w:position w:val="0"/>
        </w:rPr>
        <w:t>、</w:t>
      </w:r>
      <w:r>
        <w:rPr>
          <w:color w:val="000000"/>
          <w:spacing w:val="0"/>
          <w:w w:val="100"/>
          <w:position w:val="0"/>
        </w:rPr>
        <w:t>担保公司、供 销社、金融投资、金融资产、保理、小贷公司、典当、金融政府机构，未来将继续加强与各类金融客户的业务合作与协同。 从客户深度来看，公司针对银行领域为国有银行、股份制银行、政策银行、城市商业银行、农村信用社、民营银行以及村镇 银行提供全方位的解决方案，通过技术中台、数据中台、业务中台、核算中台的建设，快速的满足不同类型银行的个性化需 求。</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在系统集成领域，报告期内先后成功拿下中国人民银行清算总中心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年支付系统主机存储更新项目、中国进出口银 行新数据中心虚拟化软件采购项目、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年苏州</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生产系统云平台采购项目、中国邮政储蓄银行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年通用硬件工程项目、 中国邮政储蓄银行其他项目等，公司继续保持在大型网络项目上的集成和实施能力的优势，逐步扩大在金融行业的市场份额， 并且积极拓展新用户。</w:t>
      </w:r>
    </w:p>
    <w:p>
      <w:pPr>
        <w:pStyle w:val="Style18"/>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在反洗钱领域，公司紧跟国际反洗钱和反恐怖融资形势，以及国家最新监管制度和要求，以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的管理理念为 指导，结合大数据、云计算、自然语言处理、机器人流程自动化、微服务、分布式等金融科技技术手段，自主研发、更新迭 代了新一代反洗钱合规管理工作平台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、机构洗钱风险自评估系统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、反洗钱数据质量控制系统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、反洗钱可视化智 能模型实验室</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、黑名单筛查监控管理系统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等专业反洗钱软件产品体系，并积极响应国家在金融领域的信创要求，开 展反洗钱软件产品对国产化软硬件资源的适配工作。同时，逐步将部分反洗钱应用向云服务模式转变，向中小金融机构提供 通用、轻量、合规的反洗钱管理环境以及洗钱风险自评估沙箱。报告期内，公司反洗钱解决方案和软件产品在合规满足度以 及技术领先性上均处于行业领先水平，在银行、保险、非银机构等行业的美誉度持续提升，优秀的实施交付能力和周到完善 的售后服务也赢得了客户信赖和好评。</w:t>
      </w:r>
    </w:p>
    <w:p>
      <w:pPr>
        <w:pStyle w:val="Style18"/>
        <w:keepNext w:val="0"/>
        <w:keepLines w:val="0"/>
        <w:widowControl w:val="0"/>
        <w:shd w:val="clear" w:color="auto" w:fill="auto"/>
        <w:bidi w:val="0"/>
        <w:spacing w:before="0" w:after="0" w:line="360" w:lineRule="auto"/>
        <w:ind w:left="0" w:right="0" w:firstLine="460"/>
        <w:jc w:val="both"/>
      </w:pPr>
      <w:bookmarkStart w:id="88" w:name="bookmark88"/>
      <w:r>
        <w:rPr>
          <w:rFonts w:ascii="Times New Roman" w:eastAsia="Times New Roman" w:hAnsi="Times New Roman" w:cs="Times New Roman"/>
          <w:b/>
          <w:bCs/>
          <w:color w:val="000000"/>
          <w:spacing w:val="0"/>
          <w:w w:val="100"/>
          <w:position w:val="0"/>
          <w:sz w:val="18"/>
          <w:szCs w:val="18"/>
        </w:rPr>
        <w:t>4</w:t>
      </w:r>
      <w:bookmarkEnd w:id="88"/>
      <w:r>
        <w:rPr>
          <w:b/>
          <w:bCs/>
          <w:color w:val="000000"/>
          <w:spacing w:val="0"/>
          <w:w w:val="100"/>
          <w:position w:val="0"/>
        </w:rPr>
        <w:t>、智慧城市</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报告期内，东华云在产业升级、区域拓展、行业聚焦、公司治理等方面都取得了显著进展。在深化大部制改革的基础 上，集合相关行业优质资产，进一步提升东华发思特、路辂网络、东华住云科技、智慧研究院、互联宜家、东华至高通信等 战略主体的精益化管理和协作化发展水平。</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东华云积极响应国家数字社会建设和乡村振兴战略，在智慧城市和乡村振兴领域拥有自己的产品矩阵和丰富的产品案 例，不仅分布地域广阔，建设体量也覆盖各类行政主体，包括从县域到国家级如光山县乡村振兴信创基地项目、浦城县新型 智慧城市建设项目一期等县域项目，西咸新区空港新城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智慧空港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一期建设项目等空港项目、江门人才岛城市运行监控系统 等新城项目、益阳智慧城市等地级市项目、厦门智慧工会管理平台等副省级项目，成都智慧绿道、长沙超脑政务服务工作门 户等省会级项目、天津人工智能大会等直辖市项目、国务院客户端等国家级项目。</w:t>
      </w:r>
    </w:p>
    <w:p>
      <w:pPr>
        <w:pStyle w:val="Style18"/>
        <w:keepNext w:val="0"/>
        <w:keepLines w:val="0"/>
        <w:widowControl w:val="0"/>
        <w:shd w:val="clear" w:color="auto" w:fill="auto"/>
        <w:bidi w:val="0"/>
        <w:spacing w:before="0" w:line="310" w:lineRule="exact"/>
        <w:ind w:left="0" w:right="0" w:firstLine="460"/>
        <w:jc w:val="both"/>
      </w:pPr>
      <w:r>
        <w:rPr>
          <w:color w:val="000000"/>
          <w:spacing w:val="0"/>
          <w:w w:val="100"/>
          <w:position w:val="0"/>
        </w:rPr>
        <w:t>另外，案例所覆盖的行业也非常丰富，涉及数字农业、文旅文博、数字社会、智慧交通、智慧教育、智能物联、气象 大数据和音频芯片等领域，其中，在乡村振兴领域，签约光山数字农业、甘肃定西数字农业马铃薯平台、云南省烟农服务平 台、数字乡村综合治理与服务平台等多个项目，打造田间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餐桌全产业链联动示范项目；在智慧文旅领域，签约上亿级 </w:t>
      </w:r>
      <w:r>
        <w:rPr>
          <w:color w:val="000000"/>
          <w:spacing w:val="0"/>
          <w:w w:val="100"/>
          <w:position w:val="0"/>
        </w:rPr>
        <w:t>超大型项目海珠智慧湿地智能化与信息化建设项目；在社会治理方面，公司与腾讯、中城投集团联合体中标南宁市智能化新 型社会治安防控体系示范化城市建设项目；在公共应急领域，公司全资子公司北京东华合创科技有限公司签约东南健康医疗 大数据中心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基础设施一期工艺施工总集承包项目；在智慧住建领域，公司建设了湖南省住建厅智慧住房平台项目等。数字 政府、智慧楼宇领域，签约了重庆市万州区腾讯云数字经济人才创新中心、松江区方松街道智能社区项目、</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号地售楼处智 慧展厅布展项目等多个千万级项目，智慧医疗领域，广东省全民健康信息综合管理平台项目、智能辅诊、合理用药、慢病干 预合作项目等也已顺利完成交付。智能警务领域，公司中标及实施在吉林省公安厅指挥中心平台建设、吉林省白城市公安局 情指建模平台等。</w:t>
      </w:r>
    </w:p>
    <w:p>
      <w:pPr>
        <w:pStyle w:val="Style18"/>
        <w:keepNext w:val="0"/>
        <w:keepLines w:val="0"/>
        <w:widowControl w:val="0"/>
        <w:shd w:val="clear" w:color="auto" w:fill="auto"/>
        <w:bidi w:val="0"/>
        <w:spacing w:before="0" w:after="220" w:line="315" w:lineRule="exact"/>
        <w:ind w:left="0" w:right="0" w:firstLine="460"/>
        <w:jc w:val="both"/>
      </w:pPr>
      <w:r>
        <w:rPr>
          <w:color w:val="000000"/>
          <w:spacing w:val="0"/>
          <w:w w:val="100"/>
          <w:position w:val="0"/>
        </w:rPr>
        <w:t>东华云致力于满足个性化需求，提供惠民服务，打破行业信息孤岛，创新管理平台，升级传统运营模式，构建生态体 系。其中乡村振兴领域如数字乡村治理、城乡文化大数据、城乡产业新城建设、城乡碳中和、智慧教育培训等是我们持续研 究的核心业务模型和技术栈，东华云将持续打造跨层级、跨区域、跨系统、跨部门、跨业务的技术融合、数据融合、业务融 合，以服务高效化、决策科学化、治理精准化为目标，向社会持续提供惠民、兴业、优政的城乡数智化解决方案与技术服务。</w:t>
      </w:r>
    </w:p>
    <w:p>
      <w:pPr>
        <w:pStyle w:val="Style18"/>
        <w:keepNext w:val="0"/>
        <w:keepLines w:val="0"/>
        <w:widowControl w:val="0"/>
        <w:shd w:val="clear" w:color="auto" w:fill="auto"/>
        <w:tabs>
          <w:tab w:pos="749" w:val="left"/>
        </w:tabs>
        <w:bidi w:val="0"/>
        <w:spacing w:before="0" w:after="0" w:line="360" w:lineRule="auto"/>
        <w:ind w:left="0" w:right="0" w:firstLine="460"/>
        <w:jc w:val="both"/>
      </w:pPr>
      <w:bookmarkStart w:id="89" w:name="bookmark89"/>
      <w:r>
        <w:rPr>
          <w:rFonts w:ascii="Times New Roman" w:eastAsia="Times New Roman" w:hAnsi="Times New Roman" w:cs="Times New Roman"/>
          <w:b/>
          <w:bCs/>
          <w:color w:val="000000"/>
          <w:spacing w:val="0"/>
          <w:w w:val="100"/>
          <w:position w:val="0"/>
          <w:sz w:val="18"/>
          <w:szCs w:val="18"/>
        </w:rPr>
        <w:t>5</w:t>
      </w:r>
      <w:bookmarkEnd w:id="89"/>
      <w:r>
        <w:rPr>
          <w:b/>
          <w:bCs/>
          <w:color w:val="000000"/>
          <w:spacing w:val="0"/>
          <w:w w:val="100"/>
          <w:position w:val="0"/>
        </w:rPr>
        <w:t>、</w:t>
        <w:tab/>
        <w:t>水利行业</w:t>
      </w:r>
    </w:p>
    <w:p>
      <w:pPr>
        <w:pStyle w:val="Style18"/>
        <w:keepNext w:val="0"/>
        <w:keepLines w:val="0"/>
        <w:widowControl w:val="0"/>
        <w:shd w:val="clear" w:color="auto" w:fill="auto"/>
        <w:bidi w:val="0"/>
        <w:spacing w:before="0" w:line="317" w:lineRule="exact"/>
        <w:ind w:left="0" w:right="0" w:firstLine="460"/>
        <w:jc w:val="both"/>
      </w:pPr>
      <w:r>
        <w:rPr>
          <w:color w:val="000000"/>
          <w:spacing w:val="0"/>
          <w:w w:val="100"/>
          <w:position w:val="0"/>
        </w:rPr>
        <w:t>公司在水利水务信息化领域深耕多年，致力于水利水务信息化研究与建设，聚焦水资源开发利用、防汛抗旱减灾、引 调水工程建设与运行、城乡供水一体化、大中型灌区现代化改造、水环境监管治理等水业务领域，提供一站式解决方案和全 链条系列产品。在行业顶层设计、资源整合、智能应用研发、系统集成方面拥有突出优势。</w:t>
      </w:r>
    </w:p>
    <w:p>
      <w:pPr>
        <w:pStyle w:val="Style18"/>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在国家宏观政策指引下，水利信息化项目无论从数量上、规模上都是呈上升趋势。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年虽然受疫情持续影响，公司 还是取得了良好的销售业绩。业务范围覆盖水利、水务、水利工程三大邻域。重要客户为水利部、五大流域（长江委、黄河 委、淮河委、珠江委、松辽委）、水利厅（吉林、辽宁、山西、广东、云南等）、重大水利企业（辽宁省水资源管理集团、 山西省万家寨水务控股集团、河北省石津灌区管理局、河南省豫东水利工程管理局等），近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多个重要客户。</w:t>
      </w:r>
    </w:p>
    <w:p>
      <w:pPr>
        <w:pStyle w:val="Style18"/>
        <w:keepNext w:val="0"/>
        <w:keepLines w:val="0"/>
        <w:widowControl w:val="0"/>
        <w:shd w:val="clear" w:color="auto" w:fill="auto"/>
        <w:tabs>
          <w:tab w:pos="749" w:val="left"/>
        </w:tabs>
        <w:bidi w:val="0"/>
        <w:spacing w:before="0" w:after="0" w:line="360" w:lineRule="auto"/>
        <w:ind w:left="0" w:right="0" w:firstLine="460"/>
        <w:jc w:val="both"/>
      </w:pPr>
      <w:bookmarkStart w:id="90" w:name="bookmark90"/>
      <w:r>
        <w:rPr>
          <w:rFonts w:ascii="Times New Roman" w:eastAsia="Times New Roman" w:hAnsi="Times New Roman" w:cs="Times New Roman"/>
          <w:b/>
          <w:bCs/>
          <w:color w:val="000000"/>
          <w:spacing w:val="0"/>
          <w:w w:val="100"/>
          <w:position w:val="0"/>
          <w:sz w:val="18"/>
          <w:szCs w:val="18"/>
        </w:rPr>
        <w:t>6</w:t>
      </w:r>
      <w:bookmarkEnd w:id="90"/>
      <w:r>
        <w:rPr>
          <w:b/>
          <w:bCs/>
          <w:color w:val="000000"/>
          <w:spacing w:val="0"/>
          <w:w w:val="100"/>
          <w:position w:val="0"/>
        </w:rPr>
        <w:t>、</w:t>
        <w:tab/>
        <w:t>数字基础建设</w:t>
      </w:r>
    </w:p>
    <w:p>
      <w:pPr>
        <w:pStyle w:val="Style18"/>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聚焦发力数字基础建设、持续赋能客户。公司围绕《数字基础建设业务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规划》和数字基础建设的发展理念， 在疫情冲击下坚守数字基础建设阵地，落地多个数字基础建设项目，分别是东南健康医疗大数据中心、民政部大数据中心、 云岩区教育局数据中心、中国人民解放军第</w:t>
      </w:r>
      <w:r>
        <w:rPr>
          <w:rFonts w:ascii="Times New Roman" w:eastAsia="Times New Roman" w:hAnsi="Times New Roman" w:cs="Times New Roman"/>
          <w:color w:val="000000"/>
          <w:spacing w:val="0"/>
          <w:w w:val="100"/>
          <w:position w:val="0"/>
          <w:sz w:val="18"/>
          <w:szCs w:val="18"/>
        </w:rPr>
        <w:t>305</w:t>
      </w:r>
      <w:r>
        <w:rPr>
          <w:color w:val="000000"/>
          <w:spacing w:val="0"/>
          <w:w w:val="100"/>
          <w:position w:val="0"/>
        </w:rPr>
        <w:t>医院数据中心、五凌电力本部数据中心、中信财务公司数据中心、鲁西南大 数据中心一期、武昌区大数据中心、中国大唐集团数据中心建设、福建供销集团智慧数据中心、旭阳集团数据中心建设、内 蒙古自治区一体化大数据中心建设、内蒙古霍煤鸿骏铝电有限责任公司模块化机房建设项目、中国联通冬奥专项机房改造、 火箭军指挥学院智慧机房、柳州市人民医院新中心机房等，打造了数字基础建设新格局，服务了近百家知名客户，为数字基 础建设产业高质量发展做出了突出贡献。</w:t>
      </w:r>
    </w:p>
    <w:p>
      <w:pPr>
        <w:pStyle w:val="Style18"/>
        <w:keepNext w:val="0"/>
        <w:keepLines w:val="0"/>
        <w:widowControl w:val="0"/>
        <w:shd w:val="clear" w:color="auto" w:fill="auto"/>
        <w:tabs>
          <w:tab w:pos="749" w:val="left"/>
        </w:tabs>
        <w:bidi w:val="0"/>
        <w:spacing w:before="0" w:after="0" w:line="360" w:lineRule="auto"/>
        <w:ind w:left="0" w:right="0" w:firstLine="460"/>
        <w:jc w:val="both"/>
      </w:pPr>
      <w:bookmarkStart w:id="91" w:name="bookmark91"/>
      <w:r>
        <w:rPr>
          <w:rFonts w:ascii="Times New Roman" w:eastAsia="Times New Roman" w:hAnsi="Times New Roman" w:cs="Times New Roman"/>
          <w:b/>
          <w:bCs/>
          <w:color w:val="000000"/>
          <w:spacing w:val="0"/>
          <w:w w:val="100"/>
          <w:position w:val="0"/>
          <w:sz w:val="18"/>
          <w:szCs w:val="18"/>
        </w:rPr>
        <w:t>7</w:t>
      </w:r>
      <w:bookmarkEnd w:id="91"/>
      <w:r>
        <w:rPr>
          <w:b/>
          <w:bCs/>
          <w:color w:val="000000"/>
          <w:spacing w:val="0"/>
          <w:w w:val="100"/>
          <w:position w:val="0"/>
        </w:rPr>
        <w:t>、</w:t>
        <w:tab/>
        <w:t>东华工业</w:t>
      </w:r>
      <w:r>
        <w:rPr>
          <w:rFonts w:ascii="Times New Roman" w:eastAsia="Times New Roman" w:hAnsi="Times New Roman" w:cs="Times New Roman"/>
          <w:b/>
          <w:bCs/>
          <w:color w:val="000000"/>
          <w:spacing w:val="0"/>
          <w:w w:val="100"/>
          <w:position w:val="0"/>
          <w:sz w:val="18"/>
          <w:szCs w:val="18"/>
        </w:rPr>
        <w:t>4.0</w:t>
      </w:r>
      <w:r>
        <w:rPr>
          <w:b/>
          <w:bCs/>
          <w:color w:val="000000"/>
          <w:spacing w:val="0"/>
          <w:w w:val="100"/>
          <w:position w:val="0"/>
        </w:rPr>
        <w:t>研究院</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在物联网和智慧制造行业，东华工业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研究院继续依托国家在工业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、工业互联网和中国制造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的政策支持，中标 基于数字挛生的天津中药六厂智慧制造和能源管理项目、基于</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技术的贵安医院物联网管控平台项目、基于数字挛生的国 电电力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可视化项目。</w:t>
      </w:r>
    </w:p>
    <w:p>
      <w:pPr>
        <w:pStyle w:val="Style18"/>
        <w:keepNext w:val="0"/>
        <w:keepLines w:val="0"/>
        <w:widowControl w:val="0"/>
        <w:shd w:val="clear" w:color="auto" w:fill="auto"/>
        <w:bidi w:val="0"/>
        <w:spacing w:before="0" w:line="319" w:lineRule="exact"/>
        <w:ind w:left="0" w:right="0" w:firstLine="460"/>
        <w:jc w:val="both"/>
      </w:pPr>
      <w:r>
        <w:rPr>
          <w:color w:val="000000"/>
          <w:spacing w:val="0"/>
          <w:w w:val="100"/>
          <w:position w:val="0"/>
        </w:rPr>
        <w:t>在矿山行业，东华工业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研究院在煤矿领域的市场份额持续扩大，中标基于数字挛生技术的山东良庄煤矿三维智能化 管控平台项目、新矿集团翟镇煤矿智慧化管控平台及手机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项目、罗河矿业智慧销售发运系统项目、马道头煤业售后维护 项目、华电榆横煤电信息化维保项目等。</w:t>
      </w:r>
    </w:p>
    <w:p>
      <w:pPr>
        <w:pStyle w:val="Style18"/>
        <w:keepNext w:val="0"/>
        <w:keepLines w:val="0"/>
        <w:widowControl w:val="0"/>
        <w:shd w:val="clear" w:color="auto" w:fill="auto"/>
        <w:bidi w:val="0"/>
        <w:spacing w:before="0" w:after="220" w:line="313" w:lineRule="exact"/>
        <w:ind w:left="0" w:right="0" w:firstLine="460"/>
        <w:jc w:val="both"/>
      </w:pPr>
      <w:bookmarkStart w:id="92" w:name="bookmark92"/>
      <w:r>
        <w:rPr>
          <w:b/>
          <w:bCs/>
          <w:color w:val="000000"/>
          <w:spacing w:val="0"/>
          <w:w w:val="100"/>
          <w:position w:val="0"/>
        </w:rPr>
        <w:t>（</w:t>
      </w:r>
      <w:bookmarkEnd w:id="92"/>
      <w:r>
        <w:rPr>
          <w:b/>
          <w:bCs/>
          <w:color w:val="000000"/>
          <w:spacing w:val="0"/>
          <w:w w:val="100"/>
          <w:position w:val="0"/>
        </w:rPr>
        <w:t>五）软件产品开发及产品化情况</w:t>
      </w:r>
    </w:p>
    <w:p>
      <w:pPr>
        <w:pStyle w:val="Style18"/>
        <w:keepNext w:val="0"/>
        <w:keepLines w:val="0"/>
        <w:widowControl w:val="0"/>
        <w:shd w:val="clear" w:color="auto" w:fill="auto"/>
        <w:bidi w:val="0"/>
        <w:spacing w:before="0" w:after="0" w:line="360" w:lineRule="auto"/>
        <w:ind w:left="0" w:right="0" w:firstLine="460"/>
        <w:jc w:val="both"/>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、医疗软件</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报告期内，东华医为加大研发投入，不断优化技术平台，探索新兴技术与医疗信息化行业的融合应用，为医疗大健康 产业提供更完整、全场景和智能协同的解决方案。医疗软件产品开发及产品化情况：</w:t>
      </w:r>
    </w:p>
    <w:p>
      <w:pPr>
        <w:pStyle w:val="Style35"/>
        <w:keepNext w:val="0"/>
        <w:keepLines w:val="0"/>
        <w:widowControl w:val="0"/>
        <w:shd w:val="clear" w:color="auto" w:fill="auto"/>
        <w:bidi w:val="0"/>
        <w:spacing w:before="0" w:line="313" w:lineRule="exact"/>
        <w:ind w:left="0" w:right="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HOS </w:t>
      </w:r>
      <w:r>
        <w:rPr>
          <w:rFonts w:ascii="SimSun" w:eastAsia="SimSun" w:hAnsi="SimSun" w:cs="SimSun"/>
          <w:color w:val="000000"/>
          <w:spacing w:val="0"/>
          <w:w w:val="100"/>
          <w:position w:val="0"/>
          <w:sz w:val="17"/>
          <w:szCs w:val="17"/>
        </w:rPr>
        <w:t>（</w:t>
      </w:r>
      <w:r>
        <w:rPr>
          <w:color w:val="000000"/>
          <w:spacing w:val="0"/>
          <w:w w:val="100"/>
          <w:position w:val="0"/>
          <w:sz w:val="18"/>
          <w:szCs w:val="18"/>
        </w:rPr>
        <w:t>Hospital Operating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医院操作系统）</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东华医为升级打造医院操作系统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HOS2.0</w:t>
      </w:r>
      <w:r>
        <w:rPr>
          <w:color w:val="000000"/>
          <w:spacing w:val="0"/>
          <w:w w:val="100"/>
          <w:position w:val="0"/>
        </w:rPr>
        <w:t>)</w:t>
      </w:r>
      <w:r>
        <w:rPr>
          <w:i/>
          <w:iCs/>
          <w:color w:val="000000"/>
          <w:spacing w:val="0"/>
          <w:w w:val="100"/>
          <w:position w:val="0"/>
        </w:rPr>
        <w:t>,</w:t>
      </w:r>
      <w:r>
        <w:rPr>
          <w:color w:val="000000"/>
          <w:spacing w:val="0"/>
          <w:w w:val="100"/>
          <w:position w:val="0"/>
        </w:rPr>
        <w:t>该平台能够驱动医院各业务线闭环、智能、可控、协同地开展工作，</w:t>
      </w:r>
      <w:r>
        <w:rPr>
          <w:rFonts w:ascii="Times New Roman" w:eastAsia="Times New Roman" w:hAnsi="Times New Roman" w:cs="Times New Roman"/>
          <w:color w:val="000000"/>
          <w:spacing w:val="0"/>
          <w:w w:val="100"/>
          <w:position w:val="0"/>
          <w:sz w:val="18"/>
          <w:szCs w:val="18"/>
        </w:rPr>
        <w:t xml:space="preserve">HOS2.0 </w:t>
      </w:r>
      <w:r>
        <w:rPr>
          <w:color w:val="000000"/>
          <w:spacing w:val="0"/>
          <w:w w:val="100"/>
          <w:position w:val="0"/>
        </w:rPr>
        <w:t xml:space="preserve">践行系统工程理念，从全局治理的角度，以挛生实际应用场景为目标，对数据进行全线治理，对生产要素进行全域的结构化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治理，对各业务流程以作业原子化进行治理，将生产要素与流程作业进行完整的精准匹配，实现业务与资源的完美融合。 通过治理活动，构建生产要素与流程作业的有机整体，并在业务开展中进行动态持续改进，最终达到挛生实际应用场景、实 现运营高效透明、指导智慧医院的信息化建设的目标。</w:t>
      </w:r>
    </w:p>
    <w:p>
      <w:pPr>
        <w:pStyle w:val="Style18"/>
        <w:keepNext w:val="0"/>
        <w:keepLines w:val="0"/>
        <w:widowControl w:val="0"/>
        <w:shd w:val="clear" w:color="auto" w:fill="auto"/>
        <w:bidi w:val="0"/>
        <w:spacing w:before="0" w:line="310"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HOS2.0</w:t>
      </w:r>
      <w:r>
        <w:rPr>
          <w:color w:val="000000"/>
          <w:spacing w:val="0"/>
          <w:w w:val="100"/>
          <w:position w:val="0"/>
        </w:rPr>
        <w:t>中，公司引入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医院业务流程管理与评价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功能，实现医院全流程可见、可控，管理者可按需订阅流程</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 xml:space="preserve">HOS2.0 </w:t>
      </w:r>
      <w:r>
        <w:rPr>
          <w:color w:val="000000"/>
          <w:spacing w:val="0"/>
          <w:w w:val="100"/>
          <w:position w:val="0"/>
        </w:rPr>
        <w:t>内嵌了超过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个各类属性配置，支持近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条业务流程的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运转，管理者可以通过流程清晰掌握医院业务走向，实现医 院管理运营的精准可控。</w:t>
      </w:r>
    </w:p>
    <w:p>
      <w:pPr>
        <w:pStyle w:val="Style35"/>
        <w:keepNext w:val="0"/>
        <w:keepLines w:val="0"/>
        <w:widowControl w:val="0"/>
        <w:numPr>
          <w:ilvl w:val="0"/>
          <w:numId w:val="1"/>
        </w:numPr>
        <w:shd w:val="clear" w:color="auto" w:fill="auto"/>
        <w:tabs>
          <w:tab w:pos="850" w:val="left"/>
        </w:tabs>
        <w:bidi w:val="0"/>
        <w:spacing w:before="0" w:line="314" w:lineRule="exact"/>
        <w:ind w:left="0" w:right="0"/>
        <w:jc w:val="both"/>
        <w:rPr>
          <w:sz w:val="17"/>
          <w:szCs w:val="17"/>
        </w:rPr>
      </w:pPr>
      <w:bookmarkStart w:id="94" w:name="bookmark94"/>
      <w:bookmarkEnd w:id="94"/>
      <w:r>
        <w:rPr>
          <w:color w:val="000000"/>
          <w:spacing w:val="0"/>
          <w:w w:val="100"/>
          <w:position w:val="0"/>
          <w:sz w:val="18"/>
          <w:szCs w:val="18"/>
        </w:rPr>
        <w:t xml:space="preserve">CMOS </w:t>
      </w:r>
      <w:r>
        <w:rPr>
          <w:rFonts w:ascii="SimSun" w:eastAsia="SimSun" w:hAnsi="SimSun" w:cs="SimSun"/>
          <w:color w:val="000000"/>
          <w:spacing w:val="0"/>
          <w:w w:val="100"/>
          <w:position w:val="0"/>
          <w:sz w:val="17"/>
          <w:szCs w:val="17"/>
        </w:rPr>
        <w:t>(</w:t>
      </w:r>
      <w:r>
        <w:rPr>
          <w:color w:val="000000"/>
          <w:spacing w:val="0"/>
          <w:w w:val="100"/>
          <w:position w:val="0"/>
          <w:sz w:val="18"/>
          <w:szCs w:val="18"/>
        </w:rPr>
        <w:t>City Medical Operating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城市智慧医疗操作系统)</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东华医为</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是城市智慧医疗新基建的重要应用场景，是城市大健康、三医联动的最佳实践。其中，智慧医疗数智 底座是城市智慧医疗的基础技术服务底座，具备全域数据汇聚共享、全面数据治理、全市数据资产管理、统一标准管理、泛 在应用互联、人工智能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支撑六大能力。智慧医疗数智底座主要通过中台技术构建，包括技术中台、数据中台、业务 中台及</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中台，为智慧医疗提供基础的操作环境、数据互联共享、数据汇聚治理、业务及协同应用支撑、公共服务支撑及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算法支撑等能力。</w:t>
      </w:r>
    </w:p>
    <w:p>
      <w:pPr>
        <w:pStyle w:val="Style18"/>
        <w:keepNext w:val="0"/>
        <w:keepLines w:val="0"/>
        <w:widowControl w:val="0"/>
        <w:numPr>
          <w:ilvl w:val="0"/>
          <w:numId w:val="1"/>
        </w:numPr>
        <w:shd w:val="clear" w:color="auto" w:fill="auto"/>
        <w:tabs>
          <w:tab w:pos="850" w:val="left"/>
        </w:tabs>
        <w:bidi w:val="0"/>
        <w:spacing w:before="0" w:line="314" w:lineRule="exact"/>
        <w:ind w:left="0" w:right="0" w:firstLine="460"/>
        <w:jc w:val="both"/>
      </w:pPr>
      <w:bookmarkStart w:id="95" w:name="bookmark95"/>
      <w:bookmarkEnd w:id="95"/>
      <w:r>
        <w:rPr>
          <w:b/>
          <w:bCs/>
          <w:color w:val="000000"/>
          <w:spacing w:val="0"/>
          <w:w w:val="100"/>
          <w:position w:val="0"/>
        </w:rPr>
        <w:t>智慧医院协同创新平台</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东华医为智慧医院协同创新平台通过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医院大脑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将来自于临床、医务、运营、后勤、互联网等领域数据即时汇聚，形 成海量数据资源，它的建成将使智慧医院具备类似人类大脑的功能，能够自我感知、自我学习、自我修正，让医院的各个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器 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协同工作。通过智慧医院协同创新平台，公司充分发挥智慧医院产业领军企业作用，积极创制行业标准，培育和孵化一 批创新项目和行业应用解决方案，满足医院生态系统信息化、数字化、智慧化拓展需求，提升我国智慧医院建设运行水平。 报告期内，智慧医院协同创新平台涉及的多个创新产品，包括近场通讯与便捷语音呼叫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医呼通、医学知识图谱、电子发票 智能审账系统等，已经在北京友谊医院、北京安贞医院、北京中医院延庆分院落地实施。</w:t>
      </w:r>
    </w:p>
    <w:p>
      <w:pPr>
        <w:pStyle w:val="Style18"/>
        <w:keepNext w:val="0"/>
        <w:keepLines w:val="0"/>
        <w:widowControl w:val="0"/>
        <w:numPr>
          <w:ilvl w:val="0"/>
          <w:numId w:val="1"/>
        </w:numPr>
        <w:shd w:val="clear" w:color="auto" w:fill="auto"/>
        <w:tabs>
          <w:tab w:pos="850" w:val="left"/>
        </w:tabs>
        <w:bidi w:val="0"/>
        <w:spacing w:before="0" w:line="314" w:lineRule="exact"/>
        <w:ind w:left="0" w:right="0" w:firstLine="460"/>
        <w:jc w:val="both"/>
      </w:pPr>
      <w:bookmarkStart w:id="96" w:name="bookmark96"/>
      <w:bookmarkEnd w:id="96"/>
      <w:r>
        <w:rPr>
          <w:b/>
          <w:bCs/>
          <w:color w:val="000000"/>
          <w:spacing w:val="0"/>
          <w:w w:val="100"/>
          <w:position w:val="0"/>
        </w:rPr>
        <w:t>医疗大数据解决方案</w:t>
      </w:r>
    </w:p>
    <w:p>
      <w:pPr>
        <w:pStyle w:val="Style18"/>
        <w:keepNext w:val="0"/>
        <w:keepLines w:val="0"/>
        <w:widowControl w:val="0"/>
        <w:shd w:val="clear" w:color="auto" w:fill="auto"/>
        <w:bidi w:val="0"/>
        <w:spacing w:before="0" w:line="314"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月，东华医为联合生态合作伙伴，发布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医疗大数据解决方案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，推动医疗数据服务技术平台的建设。该产品 能够在医院传统信息化系统基础上，对数据进行采集、存储、分布计算等处理，帮助医院实现业务协同服务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，便民 医疗服务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，精确决策管理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一门户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，信息资源管理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，数据分析利用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，数据资源汇聚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一个湖匚报 告期内，该方案成功支持昆明医科大学第二附属医院构建临床数据中心，实现了将同一个患者多个不同时间、多个不同信息 系统的诊疗信息串联起来，系统已产生患者主索引近二百五十万条。</w:t>
      </w:r>
    </w:p>
    <w:p>
      <w:pPr>
        <w:pStyle w:val="Style18"/>
        <w:keepNext w:val="0"/>
        <w:keepLines w:val="0"/>
        <w:widowControl w:val="0"/>
        <w:numPr>
          <w:ilvl w:val="0"/>
          <w:numId w:val="1"/>
        </w:numPr>
        <w:shd w:val="clear" w:color="auto" w:fill="auto"/>
        <w:tabs>
          <w:tab w:pos="850" w:val="left"/>
        </w:tabs>
        <w:bidi w:val="0"/>
        <w:spacing w:before="0" w:line="314" w:lineRule="exact"/>
        <w:ind w:left="0" w:right="0" w:firstLine="460"/>
        <w:jc w:val="both"/>
      </w:pPr>
      <w:bookmarkStart w:id="97" w:name="bookmark97"/>
      <w:bookmarkEnd w:id="97"/>
      <w:r>
        <w:rPr>
          <w:rFonts w:ascii="Times New Roman" w:eastAsia="Times New Roman" w:hAnsi="Times New Roman" w:cs="Times New Roman"/>
          <w:b/>
          <w:bCs/>
          <w:color w:val="000000"/>
          <w:spacing w:val="0"/>
          <w:w w:val="100"/>
          <w:position w:val="0"/>
          <w:sz w:val="18"/>
          <w:szCs w:val="18"/>
        </w:rPr>
        <w:t>DIP</w:t>
      </w:r>
      <w:r>
        <w:rPr>
          <w:b/>
          <w:bCs/>
          <w:color w:val="000000"/>
          <w:spacing w:val="0"/>
          <w:w w:val="100"/>
          <w:position w:val="0"/>
        </w:rPr>
        <w:t>付费与监管系统</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报告期内，东华医为持续升级</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付费与监管系统。该系统集数据治理、测算、付费、监管于一体，实现对医保费用 的精确预算、精细管理与精准支付。</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付费与监管系统可提供全流程覆盖服务，覆盖采集、测算、拨付、决算、稽核整个 基金管理流程；全方位监管服务，监管范围可延伸到医院的事前医嘱开立、事中费用管控、事后临床行为分析；本地化服务， 支持国家医保局</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分组标准及规则本地化，支持本地化分值测算；个性化需求服务高度可配置，满足医保局</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分组方案 和支付标准自维护、监测指标自定义等个性化要求；多维度分析服务，提供多维度盈亏统计，满足客户日常统计需要，进而 辅助完善分组器和付费方案；申诉通道服务，当医院对个别患者结算结果不满意时，可通过申诉通道发起异议，局端用户可 根据实际情况进行受理或驳回。</w:t>
      </w:r>
    </w:p>
    <w:p>
      <w:pPr>
        <w:pStyle w:val="Style18"/>
        <w:keepNext w:val="0"/>
        <w:keepLines w:val="0"/>
        <w:widowControl w:val="0"/>
        <w:numPr>
          <w:ilvl w:val="0"/>
          <w:numId w:val="1"/>
        </w:numPr>
        <w:shd w:val="clear" w:color="auto" w:fill="auto"/>
        <w:tabs>
          <w:tab w:pos="850" w:val="left"/>
        </w:tabs>
        <w:bidi w:val="0"/>
        <w:spacing w:before="0" w:line="314" w:lineRule="exact"/>
        <w:ind w:left="0" w:right="0" w:firstLine="460"/>
        <w:jc w:val="both"/>
      </w:pPr>
      <w:bookmarkStart w:id="98" w:name="bookmark98"/>
      <w:bookmarkEnd w:id="98"/>
      <w:r>
        <w:rPr>
          <w:b/>
          <w:bCs/>
          <w:color w:val="000000"/>
          <w:spacing w:val="0"/>
          <w:w w:val="100"/>
          <w:position w:val="0"/>
        </w:rPr>
        <w:t>医院运营管理平台</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HRP</w:t>
      </w:r>
      <w:r>
        <w:rPr>
          <w:b/>
          <w:bCs/>
          <w:color w:val="000000"/>
          <w:spacing w:val="0"/>
          <w:w w:val="100"/>
          <w:position w:val="0"/>
        </w:rPr>
        <w:t>)</w:t>
      </w:r>
    </w:p>
    <w:p>
      <w:pPr>
        <w:pStyle w:val="Style18"/>
        <w:keepNext w:val="0"/>
        <w:keepLines w:val="0"/>
        <w:widowControl w:val="0"/>
        <w:shd w:val="clear" w:color="auto" w:fill="auto"/>
        <w:bidi w:val="0"/>
        <w:spacing w:before="0" w:line="315" w:lineRule="exact"/>
        <w:ind w:left="0" w:right="0" w:firstLine="460"/>
        <w:jc w:val="both"/>
      </w:pPr>
      <w:r>
        <w:rPr>
          <w:color w:val="000000"/>
          <w:spacing w:val="0"/>
          <w:w w:val="100"/>
          <w:position w:val="0"/>
        </w:rPr>
        <w:t>医院运营管理平台</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通过智慧资产建设，协助医院实现对医疗设备的泉生命周期进行管理。</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采用三条主线来对 固定资产进行管理，一条是设备的管理主线，从最初的采购申请到最后的设备报废，以及中间的计划、采购、合同、验收、 入库、分配、退库等各环节进行管理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另一条主线是设备费用支出主线，该主线将设备维修、保养、检查、折旧、水电等资 源消耗的成本支出贯穿起来；第三条主线是收入主线，详尽记录设备在使用中所产生的价值。通过管理变动、成本支出、产 </w:t>
      </w:r>
      <w:r>
        <w:rPr>
          <w:color w:val="000000"/>
          <w:spacing w:val="0"/>
          <w:w w:val="100"/>
          <w:position w:val="0"/>
        </w:rPr>
        <w:t>生价值这三条主线，院方可以清晰地了解任意一台医院设备的相关情况。报告期内，由东华实施的内蒙古包钢医院</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项目， 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年度全国医院质量管理成果发表赛专业级二等奖。</w:t>
      </w:r>
    </w:p>
    <w:p>
      <w:pPr>
        <w:pStyle w:val="Style18"/>
        <w:keepNext w:val="0"/>
        <w:keepLines w:val="0"/>
        <w:widowControl w:val="0"/>
        <w:shd w:val="clear" w:color="auto" w:fill="auto"/>
        <w:bidi w:val="0"/>
        <w:spacing w:before="0" w:line="312" w:lineRule="exact"/>
        <w:ind w:left="0" w:right="0" w:firstLine="460"/>
        <w:jc w:val="both"/>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）互联网医院解决方案</w:t>
      </w:r>
    </w:p>
    <w:p>
      <w:pPr>
        <w:pStyle w:val="Style18"/>
        <w:keepNext w:val="0"/>
        <w:keepLines w:val="0"/>
        <w:widowControl w:val="0"/>
        <w:shd w:val="clear" w:color="auto" w:fill="auto"/>
        <w:bidi w:val="0"/>
        <w:spacing w:before="0" w:line="313" w:lineRule="exact"/>
        <w:ind w:left="0" w:right="0" w:firstLine="460"/>
        <w:jc w:val="both"/>
      </w:pPr>
      <w:r>
        <w:rPr>
          <w:color w:val="000000"/>
          <w:spacing w:val="0"/>
          <w:w w:val="100"/>
          <w:position w:val="0"/>
        </w:rPr>
        <w:t>互联网医院解决方案以</w:t>
      </w:r>
      <w:r>
        <w:rPr>
          <w:rFonts w:ascii="Times New Roman" w:eastAsia="Times New Roman" w:hAnsi="Times New Roman" w:cs="Times New Roman"/>
          <w:color w:val="000000"/>
          <w:spacing w:val="0"/>
          <w:w w:val="100"/>
          <w:position w:val="0"/>
          <w:sz w:val="18"/>
          <w:szCs w:val="18"/>
        </w:rPr>
        <w:t>iMedical8.5</w:t>
      </w:r>
      <w:r>
        <w:rPr>
          <w:color w:val="000000"/>
          <w:spacing w:val="0"/>
          <w:w w:val="100"/>
          <w:position w:val="0"/>
        </w:rPr>
        <w:t>版本为核心，致力于为医院打造可持续发展的互联网医院生态。该产品利用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思维，优化服务流程、重塑医疗业务、唤醒医疗数据、创新盈利模式，实现以支付为核心的患者服务、以临床为核心 的医生服务、以管理为核心的数据服务、以协同为核心的区域服务。互联网医院解决方案支持本地化部署、</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级平台部 署两种方案，通过融合医疗业务与中台设计思想，采用大中台、小前端的互联网新型架构模式，建设医院开放平台、统一支 付平台、消息平台、统一用户管理平台、</w:t>
      </w:r>
      <w:r>
        <w:rPr>
          <w:rFonts w:ascii="Times New Roman" w:eastAsia="Times New Roman" w:hAnsi="Times New Roman" w:cs="Times New Roman"/>
          <w:color w:val="000000"/>
          <w:spacing w:val="0"/>
          <w:w w:val="100"/>
          <w:position w:val="0"/>
          <w:sz w:val="18"/>
          <w:szCs w:val="18"/>
        </w:rPr>
        <w:t>CMS</w:t>
      </w:r>
      <w:r>
        <w:rPr>
          <w:color w:val="000000"/>
          <w:spacing w:val="0"/>
          <w:w w:val="100"/>
          <w:position w:val="0"/>
        </w:rPr>
        <w:t>健康科普平台等基础平台，打造覆盖患者全终端，连接医疗全行业的互联网 医院生态。</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互联网医院采用微信小程序承载患者端的业务，除了线上图文、视频、电话咨询等功能之外，还能够提供线下就诊的 预约挂号、门诊缴费、住院业务办理等多种功能，真正实现了患者就诊的线上线下一体化全流程服务。</w:t>
      </w:r>
    </w:p>
    <w:p>
      <w:pPr>
        <w:pStyle w:val="Style18"/>
        <w:keepNext w:val="0"/>
        <w:keepLines w:val="0"/>
        <w:widowControl w:val="0"/>
        <w:shd w:val="clear" w:color="auto" w:fill="auto"/>
        <w:bidi w:val="0"/>
        <w:spacing w:before="0" w:after="220" w:line="319" w:lineRule="exact"/>
        <w:ind w:left="0" w:right="0" w:firstLine="460"/>
        <w:jc w:val="both"/>
      </w:pPr>
      <w:r>
        <w:rPr>
          <w:color w:val="000000"/>
          <w:spacing w:val="0"/>
          <w:w w:val="100"/>
          <w:position w:val="0"/>
        </w:rPr>
        <w:t>互联网医院医生可以通过医生端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完成患者院内的基本信息、就诊信息、诊断、医嘱、检验检查、电子病历等信息 的浏览；并完成下诊断、开立医嘱、预约检验检查等业务工作；同时还集成了多个院内常用工具入口，例如抗生素管理、手 术申请、会诊管理、危急值管理等，为医生出诊和日常工作提供全方位支持，实现医生诊疗服务的线上线下一体化闭环。</w:t>
      </w:r>
    </w:p>
    <w:p>
      <w:pPr>
        <w:pStyle w:val="Style18"/>
        <w:keepNext w:val="0"/>
        <w:keepLines w:val="0"/>
        <w:widowControl w:val="0"/>
        <w:shd w:val="clear" w:color="auto" w:fill="auto"/>
        <w:tabs>
          <w:tab w:pos="769" w:val="left"/>
        </w:tabs>
        <w:bidi w:val="0"/>
        <w:spacing w:before="0" w:after="0" w:line="360" w:lineRule="auto"/>
        <w:ind w:left="0" w:right="0" w:firstLine="460"/>
        <w:jc w:val="both"/>
      </w:pPr>
      <w:bookmarkStart w:id="100" w:name="bookmark100"/>
      <w:r>
        <w:rPr>
          <w:rFonts w:ascii="Times New Roman" w:eastAsia="Times New Roman" w:hAnsi="Times New Roman" w:cs="Times New Roman"/>
          <w:b/>
          <w:bCs/>
          <w:color w:val="000000"/>
          <w:spacing w:val="0"/>
          <w:w w:val="100"/>
          <w:position w:val="0"/>
          <w:sz w:val="18"/>
          <w:szCs w:val="18"/>
        </w:rPr>
        <w:t>2</w:t>
      </w:r>
      <w:bookmarkEnd w:id="100"/>
      <w:r>
        <w:rPr>
          <w:b/>
          <w:bCs/>
          <w:color w:val="000000"/>
          <w:spacing w:val="0"/>
          <w:w w:val="100"/>
          <w:position w:val="0"/>
        </w:rPr>
        <w:t>、</w:t>
        <w:tab/>
        <w:t>能源行业</w:t>
      </w:r>
    </w:p>
    <w:p>
      <w:pPr>
        <w:pStyle w:val="Style18"/>
        <w:keepNext w:val="0"/>
        <w:keepLines w:val="0"/>
        <w:widowControl w:val="0"/>
        <w:shd w:val="clear" w:color="auto" w:fill="auto"/>
        <w:bidi w:val="0"/>
        <w:spacing w:before="0" w:line="317" w:lineRule="exact"/>
        <w:ind w:left="0" w:right="0" w:firstLine="460"/>
        <w:jc w:val="both"/>
      </w:pPr>
      <w:r>
        <w:rPr>
          <w:color w:val="000000"/>
          <w:spacing w:val="0"/>
          <w:w w:val="100"/>
          <w:position w:val="0"/>
        </w:rPr>
        <w:t>东华博泰基于可信计算和国密加密芯片技术，零信任安全理论指导下，形成工控物联网场景下的加密传输，安全中台 强管控产品，为存量环境实现易运维的工控安全接入和传输能力。进一步扩展为集物联接入，数据采集功能的安全管控环境。</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随着可再生能源成为未来全球能源发展的主要方向，数字化能源系统要为大规模新能源电力的接入提供框架和技术支 撑，东华博泰可打造城市级虚拟电厂管理平台，融合云计算、人工智能、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通信、无线载波、边缘计算和物联网等技术， 聚合海量、分散、无序的源网荷储资源，提高城市能源精细化管理能力，挖掘资源弹性，促进更高比例新能源消纳、降低用 能成本，有效支撑能源双控、应急保供、低碳转型和双碳战略等相关政策机制的实施。报告期内，能源行业软件产品开发及 产品化情况：</w:t>
      </w:r>
    </w:p>
    <w:p>
      <w:pPr>
        <w:pStyle w:val="Style18"/>
        <w:keepNext w:val="0"/>
        <w:keepLines w:val="0"/>
        <w:widowControl w:val="0"/>
        <w:shd w:val="clear" w:color="auto" w:fill="auto"/>
        <w:bidi w:val="0"/>
        <w:spacing w:before="0" w:line="312" w:lineRule="exact"/>
        <w:ind w:left="0" w:right="0" w:firstLine="460"/>
        <w:jc w:val="both"/>
      </w:pPr>
      <w:bookmarkStart w:id="101" w:name="bookmark101"/>
      <w:r>
        <w:rPr>
          <w:b/>
          <w:bCs/>
          <w:color w:val="000000"/>
          <w:spacing w:val="0"/>
          <w:w w:val="100"/>
          <w:position w:val="0"/>
        </w:rPr>
        <w:t>（</w:t>
      </w:r>
      <w:bookmarkEnd w:id="10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Avatar</w:t>
      </w:r>
      <w:r>
        <w:rPr>
          <w:b/>
          <w:bCs/>
          <w:color w:val="000000"/>
          <w:spacing w:val="0"/>
          <w:w w:val="100"/>
          <w:position w:val="0"/>
        </w:rPr>
        <w:t>工业互联网平台</w:t>
      </w:r>
      <w:r>
        <w:rPr>
          <w:b/>
          <w:bCs/>
          <w:i/>
          <w:iCs/>
          <w:color w:val="000000"/>
          <w:spacing w:val="0"/>
          <w:w w:val="100"/>
          <w:position w:val="0"/>
        </w:rPr>
        <w:t>4.7</w:t>
      </w:r>
      <w:r>
        <w:rPr>
          <w:b/>
          <w:bCs/>
          <w:color w:val="000000"/>
          <w:spacing w:val="0"/>
          <w:w w:val="100"/>
          <w:position w:val="0"/>
        </w:rPr>
        <w:t>版本</w:t>
      </w:r>
    </w:p>
    <w:p>
      <w:pPr>
        <w:pStyle w:val="Style18"/>
        <w:keepNext w:val="0"/>
        <w:keepLines w:val="0"/>
        <w:widowControl w:val="0"/>
        <w:shd w:val="clear" w:color="auto" w:fill="auto"/>
        <w:bidi w:val="0"/>
        <w:spacing w:before="0" w:line="312" w:lineRule="exact"/>
        <w:ind w:left="0" w:right="0" w:firstLine="460"/>
        <w:jc w:val="both"/>
      </w:pPr>
      <w:r>
        <w:rPr>
          <w:rFonts w:ascii="Times New Roman" w:eastAsia="Times New Roman" w:hAnsi="Times New Roman" w:cs="Times New Roman"/>
          <w:color w:val="000000"/>
          <w:spacing w:val="0"/>
          <w:w w:val="100"/>
          <w:position w:val="0"/>
          <w:sz w:val="18"/>
          <w:szCs w:val="18"/>
        </w:rPr>
        <w:t>Avatar</w:t>
      </w:r>
      <w:r>
        <w:rPr>
          <w:color w:val="000000"/>
          <w:spacing w:val="0"/>
          <w:w w:val="100"/>
          <w:position w:val="0"/>
          <w:sz w:val="18"/>
          <w:szCs w:val="18"/>
        </w:rPr>
        <w:t>X</w:t>
      </w:r>
      <w:r>
        <w:rPr>
          <w:color w:val="000000"/>
          <w:spacing w:val="0"/>
          <w:w w:val="100"/>
          <w:position w:val="0"/>
        </w:rPr>
        <w:t>业互联网平台持续迭代至</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版本，提升了工业计算能力，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智能平台的数据探索能力显著强化，工业指标计 算、工业规则计算作为为本版新增的专业计算能力，共同提供了对多层级计算要求的立体支撑；工业数据建模能力提升，实 现了专业的全视角数据治理和数据观察能力；新增了可视化工业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构建能力，通过工业化图元构建页面，融合平台数据计 算结果，一站式构建发布工业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促使工业互联网平台的价值体现更加直接和高效。</w:t>
      </w:r>
    </w:p>
    <w:p>
      <w:pPr>
        <w:pStyle w:val="Style18"/>
        <w:keepNext w:val="0"/>
        <w:keepLines w:val="0"/>
        <w:widowControl w:val="0"/>
        <w:shd w:val="clear" w:color="auto" w:fill="auto"/>
        <w:tabs>
          <w:tab w:pos="789" w:val="left"/>
        </w:tabs>
        <w:bidi w:val="0"/>
        <w:spacing w:before="0" w:line="312" w:lineRule="exact"/>
        <w:ind w:left="0" w:right="0" w:firstLine="380"/>
        <w:jc w:val="both"/>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完善产品模块</w:t>
      </w:r>
    </w:p>
    <w:p>
      <w:pPr>
        <w:pStyle w:val="Style18"/>
        <w:keepNext w:val="0"/>
        <w:keepLines w:val="0"/>
        <w:widowControl w:val="0"/>
        <w:shd w:val="clear" w:color="auto" w:fill="auto"/>
        <w:bidi w:val="0"/>
        <w:spacing w:before="0" w:line="317" w:lineRule="exact"/>
        <w:ind w:left="0" w:right="0" w:firstLine="380"/>
        <w:jc w:val="both"/>
      </w:pPr>
      <w:r>
        <w:rPr>
          <w:color w:val="000000"/>
          <w:spacing w:val="0"/>
          <w:w w:val="100"/>
          <w:position w:val="0"/>
        </w:rPr>
        <w:t>根据实际项目中的落地需求，完成了一些不成熟的模块的设计与开发，主要涵盖：</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X</w:t>
      </w:r>
      <w:r>
        <w:rPr>
          <w:color w:val="000000"/>
          <w:spacing w:val="0"/>
          <w:w w:val="100"/>
          <w:position w:val="0"/>
        </w:rPr>
        <w:t>业智能平台，数据服务，云边 协同，数据可视化，故障案例库，知识脉络图，指标计算等，产品模块大大丰富与完善。</w:t>
      </w:r>
    </w:p>
    <w:p>
      <w:pPr>
        <w:pStyle w:val="Style18"/>
        <w:keepNext w:val="0"/>
        <w:keepLines w:val="0"/>
        <w:widowControl w:val="0"/>
        <w:shd w:val="clear" w:color="auto" w:fill="auto"/>
        <w:tabs>
          <w:tab w:pos="789" w:val="left"/>
        </w:tabs>
        <w:bidi w:val="0"/>
        <w:spacing w:before="0" w:line="312" w:lineRule="exact"/>
        <w:ind w:left="0" w:right="0" w:firstLine="38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产品研发</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通过与学术机构合作吸收相关核心技术，启动电能路由器相关产品的预研，并作为提升公司竞争力的一个重要方向。</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启动云平台与与服务相关组件的研发工作，提供开源的解决方案，节省部分项目的成本，同时启动平台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化的初步 研究和设计，争取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年底实现部分产品模块的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化服务的技术支持。</w:t>
      </w:r>
    </w:p>
    <w:p>
      <w:pPr>
        <w:pStyle w:val="Style18"/>
        <w:keepNext w:val="0"/>
        <w:keepLines w:val="0"/>
        <w:widowControl w:val="0"/>
        <w:shd w:val="clear" w:color="auto" w:fill="auto"/>
        <w:tabs>
          <w:tab w:pos="789" w:val="left"/>
        </w:tabs>
        <w:bidi w:val="0"/>
        <w:spacing w:before="0" w:line="312" w:lineRule="exact"/>
        <w:ind w:left="0" w:right="0" w:firstLine="380"/>
        <w:jc w:val="both"/>
      </w:pPr>
      <w:bookmarkStart w:id="104" w:name="bookmark104"/>
      <w:r>
        <w:rPr>
          <w:b/>
          <w:bCs/>
          <w:color w:val="000000"/>
          <w:spacing w:val="0"/>
          <w:w w:val="100"/>
          <w:position w:val="0"/>
        </w:rPr>
        <w:t>（</w:t>
      </w:r>
      <w:bookmarkEnd w:id="10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工业互联网高级应用系列</w:t>
      </w:r>
    </w:p>
    <w:p>
      <w:pPr>
        <w:pStyle w:val="Style18"/>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面向能源电力行业的典型场景，提供状态监视、智能预警、状态评估、检修决策、故障诊断、运行决策、经济运行、辅 助考核应用服务能力。</w:t>
      </w:r>
    </w:p>
    <w:p>
      <w:pPr>
        <w:pStyle w:val="Style18"/>
        <w:keepNext w:val="0"/>
        <w:keepLines w:val="0"/>
        <w:widowControl w:val="0"/>
        <w:shd w:val="clear" w:color="auto" w:fill="auto"/>
        <w:tabs>
          <w:tab w:pos="769" w:val="left"/>
        </w:tabs>
        <w:bidi w:val="0"/>
        <w:spacing w:before="0" w:line="360" w:lineRule="auto"/>
        <w:ind w:left="0" w:right="0" w:firstLine="460"/>
        <w:jc w:val="both"/>
      </w:pPr>
      <w:bookmarkStart w:id="105" w:name="bookmark105"/>
      <w:r>
        <w:rPr>
          <w:rFonts w:ascii="Times New Roman" w:eastAsia="Times New Roman" w:hAnsi="Times New Roman" w:cs="Times New Roman"/>
          <w:b/>
          <w:bCs/>
          <w:color w:val="000000"/>
          <w:spacing w:val="0"/>
          <w:w w:val="100"/>
          <w:position w:val="0"/>
          <w:sz w:val="18"/>
          <w:szCs w:val="18"/>
        </w:rPr>
        <w:t>3</w:t>
      </w:r>
      <w:bookmarkEnd w:id="105"/>
      <w:r>
        <w:rPr>
          <w:b/>
          <w:bCs/>
          <w:color w:val="000000"/>
          <w:spacing w:val="0"/>
          <w:w w:val="100"/>
          <w:position w:val="0"/>
        </w:rPr>
        <w:t>、</w:t>
        <w:tab/>
        <w:t>金融行业</w:t>
      </w:r>
    </w:p>
    <w:p>
      <w:pPr>
        <w:pStyle w:val="Style18"/>
        <w:keepNext w:val="0"/>
        <w:keepLines w:val="0"/>
        <w:widowControl w:val="0"/>
        <w:shd w:val="clear" w:color="auto" w:fill="auto"/>
        <w:tabs>
          <w:tab w:pos="850" w:val="left"/>
        </w:tabs>
        <w:bidi w:val="0"/>
        <w:spacing w:before="0" w:line="312" w:lineRule="exact"/>
        <w:ind w:left="0" w:right="0" w:firstLine="460"/>
        <w:jc w:val="left"/>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两库三平台</w:t>
      </w:r>
    </w:p>
    <w:p>
      <w:pPr>
        <w:pStyle w:val="Style18"/>
        <w:keepNext w:val="0"/>
        <w:keepLines w:val="0"/>
        <w:widowControl w:val="0"/>
        <w:shd w:val="clear" w:color="auto" w:fill="auto"/>
        <w:bidi w:val="0"/>
        <w:spacing w:before="0" w:line="313" w:lineRule="exact"/>
        <w:ind w:left="0" w:right="0" w:firstLine="460"/>
        <w:jc w:val="both"/>
      </w:pPr>
      <w:r>
        <w:rPr>
          <w:color w:val="000000"/>
          <w:spacing w:val="0"/>
          <w:w w:val="100"/>
          <w:position w:val="0"/>
        </w:rPr>
        <w:t>公司在征信业务方面有多年的积累，但受制于交付的困境无法兑现为实际产能。经过多轮思考和探索，确定了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两库三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的顶层设计，把技术支撑产品化。两库即基础管理库和应用库，部门所有产品采用统一管理库，管理库适应部门</w:t>
      </w:r>
      <w:r>
        <w:rPr>
          <w:rFonts w:ascii="Times New Roman" w:eastAsia="Times New Roman" w:hAnsi="Times New Roman" w:cs="Times New Roman"/>
          <w:color w:val="000000"/>
          <w:spacing w:val="0"/>
          <w:w w:val="100"/>
          <w:position w:val="0"/>
          <w:sz w:val="18"/>
          <w:szCs w:val="18"/>
        </w:rPr>
        <w:t xml:space="preserve">95% </w:t>
      </w:r>
      <w:r>
        <w:rPr>
          <w:color w:val="000000"/>
          <w:spacing w:val="0"/>
          <w:w w:val="100"/>
          <w:position w:val="0"/>
        </w:rPr>
        <w:t>的客户管理场景；应用库随着业务的总结和提炼，每增加一应用软件产品则增加一应用库，形成</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的数据组织模式。三平 台即基础支撑平台、数据开发平台、低代码开发平台，基础支撑平台同管理库搭配成软件产品应用底座，当新的产品研发时 直接复用；数据开发平台为标准化数据提供支撑，让重复性简单的工作无代码化，提高交付质量和降低运维成本；低代码平 台即为客户开发提供可视化支撑，降低对产品团队的依赖。截止目前三平台中基础支撑平台完成、数据开发平台借助合作伙 伴成熟解决方案已经完成验证，低代码平台仍在落地过程中。</w:t>
      </w:r>
    </w:p>
    <w:p>
      <w:pPr>
        <w:pStyle w:val="Style18"/>
        <w:keepNext w:val="0"/>
        <w:keepLines w:val="0"/>
        <w:widowControl w:val="0"/>
        <w:shd w:val="clear" w:color="auto" w:fill="auto"/>
        <w:tabs>
          <w:tab w:pos="850" w:val="left"/>
        </w:tabs>
        <w:bidi w:val="0"/>
        <w:spacing w:before="0" w:line="312" w:lineRule="exact"/>
        <w:ind w:left="0" w:right="0" w:firstLine="460"/>
        <w:jc w:val="left"/>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应用产品化</w:t>
      </w:r>
    </w:p>
    <w:p>
      <w:pPr>
        <w:pStyle w:val="Style18"/>
        <w:keepNext w:val="0"/>
        <w:keepLines w:val="0"/>
        <w:widowControl w:val="0"/>
        <w:shd w:val="clear" w:color="auto" w:fill="auto"/>
        <w:bidi w:val="0"/>
        <w:spacing w:before="0" w:line="311" w:lineRule="exact"/>
        <w:ind w:left="0" w:right="0" w:firstLine="460"/>
        <w:jc w:val="left"/>
      </w:pPr>
      <w:r>
        <w:rPr>
          <w:color w:val="000000"/>
          <w:spacing w:val="0"/>
          <w:w w:val="100"/>
          <w:position w:val="0"/>
        </w:rPr>
        <w:t>当前征信系统在金融机构的已然作为业务开展的基础设施，应用产品也由原来的征信查询和报送系统的建设，演变成 征信的整体解决方案。征信查询的范围从人行信用报告增设了关联关系、重要信息提示、公积金缴存、数字解读、非金融信 息、异议管理、动产登记等多类数据接口；对接渠道从人行单一扩充为百行征信、朴道征信，仍要进一步扩充钱塘征信、地 方征信、大数据征信等，数据查询的展现形式也因衍生变量产品的支撑更多样化、更贴近业务场景。征信报送范围扩展同时， 总结经验扩充为监管类报送。</w:t>
      </w:r>
    </w:p>
    <w:p>
      <w:pPr>
        <w:pStyle w:val="Style18"/>
        <w:keepNext w:val="0"/>
        <w:keepLines w:val="0"/>
        <w:widowControl w:val="0"/>
        <w:shd w:val="clear" w:color="auto" w:fill="auto"/>
        <w:bidi w:val="0"/>
        <w:spacing w:before="0" w:line="312" w:lineRule="exact"/>
        <w:ind w:left="0" w:right="0" w:firstLine="460"/>
        <w:jc w:val="left"/>
      </w:pPr>
      <w:bookmarkStart w:id="108" w:name="bookmark108"/>
      <w:r>
        <w:rPr>
          <w:rFonts w:ascii="Times New Roman" w:eastAsia="Times New Roman" w:hAnsi="Times New Roman" w:cs="Times New Roman"/>
          <w:b/>
          <w:bCs/>
          <w:color w:val="000000"/>
          <w:spacing w:val="0"/>
          <w:w w:val="100"/>
          <w:position w:val="0"/>
          <w:sz w:val="18"/>
          <w:szCs w:val="18"/>
        </w:rPr>
        <w:t>4</w:t>
      </w:r>
      <w:bookmarkEnd w:id="108"/>
      <w:r>
        <w:rPr>
          <w:b/>
          <w:bCs/>
          <w:color w:val="000000"/>
          <w:spacing w:val="0"/>
          <w:w w:val="100"/>
          <w:position w:val="0"/>
        </w:rPr>
        <w:t>、水利行业</w:t>
      </w:r>
    </w:p>
    <w:p>
      <w:pPr>
        <w:pStyle w:val="Style18"/>
        <w:keepNext w:val="0"/>
        <w:keepLines w:val="0"/>
        <w:widowControl w:val="0"/>
        <w:shd w:val="clear" w:color="auto" w:fill="auto"/>
        <w:tabs>
          <w:tab w:pos="850" w:val="left"/>
        </w:tabs>
        <w:bidi w:val="0"/>
        <w:spacing w:before="0" w:line="312" w:lineRule="exact"/>
        <w:ind w:left="0" w:right="0" w:firstLine="460"/>
        <w:jc w:val="left"/>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水利工程调度信息管理平台</w:t>
      </w:r>
    </w:p>
    <w:p>
      <w:pPr>
        <w:pStyle w:val="Style18"/>
        <w:keepNext w:val="0"/>
        <w:keepLines w:val="0"/>
        <w:widowControl w:val="0"/>
        <w:shd w:val="clear" w:color="auto" w:fill="auto"/>
        <w:bidi w:val="0"/>
        <w:spacing w:before="0" w:line="312" w:lineRule="exact"/>
        <w:ind w:left="0" w:right="0" w:firstLine="460"/>
        <w:jc w:val="left"/>
      </w:pPr>
      <w:r>
        <w:rPr>
          <w:color w:val="000000"/>
          <w:spacing w:val="0"/>
          <w:w w:val="100"/>
          <w:position w:val="0"/>
        </w:rPr>
        <w:t>针对水利引调水工程，公司自主研发了东华水利工程调度信息管理平台。基于全景展示、监测预警、水量调度、洪水 预警预报、自动化控制等子系统，建立了引调水工程全线路、多环节、一体化全过程感知控制体系。通过建设数据使能中心， 实现多数据融合，通过水量调度模型，实现水资源的精确调度，应急事件的快速科学决策。平台助力建成丰枯调剂、联合调 配的国家水资源配置和城乡供水安全保障体系。</w:t>
      </w:r>
    </w:p>
    <w:p>
      <w:pPr>
        <w:pStyle w:val="Style18"/>
        <w:keepNext w:val="0"/>
        <w:keepLines w:val="0"/>
        <w:widowControl w:val="0"/>
        <w:shd w:val="clear" w:color="auto" w:fill="auto"/>
        <w:tabs>
          <w:tab w:pos="850" w:val="left"/>
        </w:tabs>
        <w:bidi w:val="0"/>
        <w:spacing w:before="0" w:line="312" w:lineRule="exact"/>
        <w:ind w:left="0" w:right="0" w:firstLine="46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城市排水综合管理平台</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针对城市排水、黑臭水治理、水环境监管业务，公司自主研发的排水设施数据一张图、水情在线监测、涉水业务审批、 智慧设施管养、污水厂运营监管、排水户监管、水力模型智能化预警、联动防涝应急等产品和解决方案，建立了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实时感知、 全面分析、主动服务、智慧监管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的全周期监测管理体系，为客户提供城市水务运营与监管的驾驶舱。</w:t>
      </w:r>
    </w:p>
    <w:p>
      <w:pPr>
        <w:pStyle w:val="Style18"/>
        <w:keepNext w:val="0"/>
        <w:keepLines w:val="0"/>
        <w:widowControl w:val="0"/>
        <w:shd w:val="clear" w:color="auto" w:fill="auto"/>
        <w:tabs>
          <w:tab w:pos="850" w:val="left"/>
        </w:tabs>
        <w:bidi w:val="0"/>
        <w:spacing w:before="0" w:line="312" w:lineRule="exact"/>
        <w:ind w:left="0" w:right="0" w:firstLine="46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智慧灌区一体化综合管理平台</w:t>
      </w:r>
    </w:p>
    <w:p>
      <w:pPr>
        <w:pStyle w:val="Style18"/>
        <w:keepNext w:val="0"/>
        <w:keepLines w:val="0"/>
        <w:widowControl w:val="0"/>
        <w:shd w:val="clear" w:color="auto" w:fill="auto"/>
        <w:bidi w:val="0"/>
        <w:spacing w:before="0" w:line="314" w:lineRule="exact"/>
        <w:ind w:left="0" w:right="0" w:firstLine="460"/>
        <w:jc w:val="both"/>
      </w:pPr>
      <w:r>
        <w:rPr>
          <w:color w:val="000000"/>
          <w:spacing w:val="0"/>
          <w:w w:val="100"/>
          <w:position w:val="0"/>
        </w:rPr>
        <w:t>粮食安全是关系国运民生的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压舱石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，是维护国家安全的重要基础。东华智慧灌区一体化综合管理平台，以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水流、现 金流、信息流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三个维度分析灌区业务需求，功能包括灌区数据可视化大屏系统、入渠备案、泵站管理、渠道管理、水费征 收、综合安防、安全巡查、灌区管理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农户微信小程序等，通过入渠备案模块摸清灌区底子，从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配水口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 环节、一体化全过程感知控制，精确调度，科学决策。</w:t>
      </w:r>
    </w:p>
    <w:p>
      <w:pPr>
        <w:pStyle w:val="Style18"/>
        <w:keepNext w:val="0"/>
        <w:keepLines w:val="0"/>
        <w:widowControl w:val="0"/>
        <w:shd w:val="clear" w:color="auto" w:fill="auto"/>
        <w:tabs>
          <w:tab w:pos="850" w:val="left"/>
        </w:tabs>
        <w:bidi w:val="0"/>
        <w:spacing w:before="0" w:line="312" w:lineRule="exact"/>
        <w:ind w:left="0" w:right="0" w:firstLine="460"/>
        <w:jc w:val="both"/>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东华水利物联网平台</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东华水利物联网平台将现代信息技术物联网与传统水利进行深度融合，结合东华在水行业的深厚积累，对数据信息进 行采集、传输、整理、分析和服务，实现远程管理、故障定位、报警、数据统计分析等功能，解决了水行业物联感知层设备 数据不标准、共享难、利用率低等问题。该平台注重业务拓展、服务保障和技术落地，致力于通过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线上智能化工具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线下技 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新模式，助力水行业开展基础服务（排查诊断、技术培训）、标准服务（咨询、监测、管理、治理等）、 高级服务（定制服务）三大业务创新，并通过对应的作业支持系统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保障每一项具体业务的落实开展。</w:t>
      </w:r>
    </w:p>
    <w:p>
      <w:pPr>
        <w:pStyle w:val="Style18"/>
        <w:keepNext w:val="0"/>
        <w:keepLines w:val="0"/>
        <w:widowControl w:val="0"/>
        <w:shd w:val="clear" w:color="auto" w:fill="auto"/>
        <w:tabs>
          <w:tab w:pos="850" w:val="left"/>
        </w:tabs>
        <w:bidi w:val="0"/>
        <w:spacing w:before="0" w:line="312" w:lineRule="exact"/>
        <w:ind w:left="0" w:right="0" w:firstLine="460"/>
        <w:jc w:val="both"/>
      </w:pPr>
      <w:bookmarkStart w:id="113" w:name="bookmark113"/>
      <w:r>
        <w:rPr>
          <w:b/>
          <w:bCs/>
          <w:color w:val="000000"/>
          <w:spacing w:val="0"/>
          <w:w w:val="100"/>
          <w:position w:val="0"/>
        </w:rPr>
        <w:t>（</w:t>
      </w:r>
      <w:bookmarkEnd w:id="11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东华水利互联开放平台</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东华水利互联开放平台以标准为准绳、以数据资源为核心、以物理分层为基础、以服务为构件、以协同管控为目标， 平台承载所有应用的通用功能和共性业务组件，水利各业务系统在平台之上快速开发部署，形成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一平台多应用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的大系统大 平台，解决了水利信息化建设过程中存在数据孤岛、重复建设、标准与规范的问题。</w:t>
      </w:r>
    </w:p>
    <w:p>
      <w:pPr>
        <w:pStyle w:val="Style18"/>
        <w:keepNext w:val="0"/>
        <w:keepLines w:val="0"/>
        <w:widowControl w:val="0"/>
        <w:shd w:val="clear" w:color="auto" w:fill="auto"/>
        <w:bidi w:val="0"/>
        <w:spacing w:before="0" w:line="312" w:lineRule="exact"/>
        <w:ind w:left="0" w:right="0" w:firstLine="460"/>
        <w:jc w:val="both"/>
      </w:pPr>
      <w:bookmarkStart w:id="114" w:name="bookmark114"/>
      <w:r>
        <w:rPr>
          <w:rFonts w:ascii="Times New Roman" w:eastAsia="Times New Roman" w:hAnsi="Times New Roman" w:cs="Times New Roman"/>
          <w:b/>
          <w:bCs/>
          <w:color w:val="000000"/>
          <w:spacing w:val="0"/>
          <w:w w:val="100"/>
          <w:position w:val="0"/>
          <w:sz w:val="18"/>
          <w:szCs w:val="18"/>
        </w:rPr>
        <w:t>5</w:t>
      </w:r>
      <w:bookmarkEnd w:id="114"/>
      <w:r>
        <w:rPr>
          <w:b/>
          <w:bCs/>
          <w:color w:val="000000"/>
          <w:spacing w:val="0"/>
          <w:w w:val="100"/>
          <w:position w:val="0"/>
        </w:rPr>
        <w:t>、东华工业</w:t>
      </w:r>
      <w:r>
        <w:rPr>
          <w:rFonts w:ascii="Times New Roman" w:eastAsia="Times New Roman" w:hAnsi="Times New Roman" w:cs="Times New Roman"/>
          <w:b/>
          <w:bCs/>
          <w:color w:val="000000"/>
          <w:spacing w:val="0"/>
          <w:w w:val="100"/>
          <w:position w:val="0"/>
          <w:sz w:val="18"/>
          <w:szCs w:val="18"/>
        </w:rPr>
        <w:t>4.0</w:t>
      </w:r>
      <w:r>
        <w:rPr>
          <w:b/>
          <w:bCs/>
          <w:color w:val="000000"/>
          <w:spacing w:val="0"/>
          <w:w w:val="100"/>
          <w:position w:val="0"/>
        </w:rPr>
        <w:t>研究院</w:t>
      </w:r>
    </w:p>
    <w:p>
      <w:pPr>
        <w:pStyle w:val="Style18"/>
        <w:keepNext w:val="0"/>
        <w:keepLines w:val="0"/>
        <w:widowControl w:val="0"/>
        <w:numPr>
          <w:ilvl w:val="0"/>
          <w:numId w:val="3"/>
        </w:numPr>
        <w:shd w:val="clear" w:color="auto" w:fill="auto"/>
        <w:tabs>
          <w:tab w:pos="850" w:val="left"/>
        </w:tabs>
        <w:bidi w:val="0"/>
        <w:spacing w:before="0" w:line="312" w:lineRule="exact"/>
        <w:ind w:left="0" w:right="0" w:firstLine="460"/>
        <w:jc w:val="both"/>
      </w:pPr>
      <w:bookmarkStart w:id="115" w:name="bookmark115"/>
      <w:bookmarkEnd w:id="115"/>
      <w:r>
        <w:rPr>
          <w:rFonts w:ascii="Times New Roman" w:eastAsia="Times New Roman" w:hAnsi="Times New Roman" w:cs="Times New Roman"/>
          <w:b/>
          <w:bCs/>
          <w:color w:val="000000"/>
          <w:spacing w:val="0"/>
          <w:w w:val="100"/>
          <w:position w:val="0"/>
          <w:sz w:val="18"/>
          <w:szCs w:val="18"/>
        </w:rPr>
        <w:t>3D-GIS</w:t>
      </w:r>
      <w:r>
        <w:rPr>
          <w:b/>
          <w:bCs/>
          <w:color w:val="000000"/>
          <w:spacing w:val="0"/>
          <w:w w:val="100"/>
          <w:position w:val="0"/>
        </w:rPr>
        <w:t>地理信息系统</w:t>
      </w:r>
    </w:p>
    <w:p>
      <w:pPr>
        <w:pStyle w:val="Style18"/>
        <w:keepNext w:val="0"/>
        <w:keepLines w:val="0"/>
        <w:widowControl w:val="0"/>
        <w:shd w:val="clear" w:color="auto" w:fill="auto"/>
        <w:bidi w:val="0"/>
        <w:spacing w:before="0" w:line="316"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研究院发布了</w:t>
      </w:r>
      <w:r>
        <w:rPr>
          <w:rFonts w:ascii="Times New Roman" w:eastAsia="Times New Roman" w:hAnsi="Times New Roman" w:cs="Times New Roman"/>
          <w:color w:val="000000"/>
          <w:spacing w:val="0"/>
          <w:w w:val="100"/>
          <w:position w:val="0"/>
          <w:sz w:val="18"/>
          <w:szCs w:val="18"/>
        </w:rPr>
        <w:t>3D-GIS</w:t>
      </w:r>
      <w:r>
        <w:rPr>
          <w:color w:val="000000"/>
          <w:spacing w:val="0"/>
          <w:w w:val="100"/>
          <w:position w:val="0"/>
        </w:rPr>
        <w:t>三维可视化地理信息系统平台，无需任何插件，跨平台、跨浏览器，提供了 全新的三维可视化、实时数据流可视化功能，通过本产品可快速实现浏览器和移动端上美观、流畅的三维地图呈现与空间分 析。本系统包括了统计图表、查询企业、常用工具等模块，其中常用工具包括地图配置、底图切换、图层控制、图上量算、 空间分析、地区导航、我的标记、视角书签、分屏对比、卷帘对比、图上标绘、飞行漫游、地图打印、分享地图、参数设置 等功能。</w:t>
      </w:r>
    </w:p>
    <w:p>
      <w:pPr>
        <w:pStyle w:val="Style18"/>
        <w:keepNext w:val="0"/>
        <w:keepLines w:val="0"/>
        <w:widowControl w:val="0"/>
        <w:shd w:val="clear" w:color="auto" w:fill="auto"/>
        <w:bidi w:val="0"/>
        <w:spacing w:before="0" w:line="312" w:lineRule="exact"/>
        <w:ind w:left="0" w:right="0" w:firstLine="460"/>
        <w:jc w:val="both"/>
      </w:pPr>
      <w:r>
        <w:rPr>
          <w:color w:val="000000"/>
          <w:spacing w:val="0"/>
          <w:w w:val="100"/>
          <w:position w:val="0"/>
        </w:rPr>
        <w:t>东华拥有自主版权的</w:t>
      </w:r>
      <w:r>
        <w:rPr>
          <w:rFonts w:ascii="Times New Roman" w:eastAsia="Times New Roman" w:hAnsi="Times New Roman" w:cs="Times New Roman"/>
          <w:color w:val="000000"/>
          <w:spacing w:val="0"/>
          <w:w w:val="100"/>
          <w:position w:val="0"/>
          <w:sz w:val="18"/>
          <w:szCs w:val="18"/>
        </w:rPr>
        <w:t>3D-GIS</w:t>
      </w:r>
      <w:r>
        <w:rPr>
          <w:color w:val="000000"/>
          <w:spacing w:val="0"/>
          <w:w w:val="100"/>
          <w:position w:val="0"/>
        </w:rPr>
        <w:t>地理信息平台，自主安全可控，可替代超图</w:t>
      </w:r>
      <w:r>
        <w:rPr>
          <w:rFonts w:ascii="Times New Roman" w:eastAsia="Times New Roman" w:hAnsi="Times New Roman" w:cs="Times New Roman"/>
          <w:color w:val="000000"/>
          <w:spacing w:val="0"/>
          <w:w w:val="100"/>
          <w:position w:val="0"/>
          <w:sz w:val="18"/>
          <w:szCs w:val="18"/>
        </w:rPr>
        <w:t>SuperMap</w:t>
      </w:r>
      <w:r>
        <w:rPr>
          <w:color w:val="000000"/>
          <w:spacing w:val="0"/>
          <w:w w:val="100"/>
          <w:position w:val="0"/>
        </w:rPr>
        <w:t>、易智瑞</w:t>
      </w:r>
      <w:r>
        <w:rPr>
          <w:rFonts w:ascii="Times New Roman" w:eastAsia="Times New Roman" w:hAnsi="Times New Roman" w:cs="Times New Roman"/>
          <w:color w:val="000000"/>
          <w:spacing w:val="0"/>
          <w:w w:val="100"/>
          <w:position w:val="0"/>
          <w:sz w:val="18"/>
          <w:szCs w:val="18"/>
        </w:rPr>
        <w:t>ArcGis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SkyLine</w:t>
      </w:r>
      <w:r>
        <w:rPr>
          <w:color w:val="000000"/>
          <w:spacing w:val="0"/>
          <w:w w:val="100"/>
          <w:position w:val="0"/>
        </w:rPr>
        <w:t>、</w:t>
      </w:r>
      <w:r>
        <w:rPr>
          <w:color w:val="000000"/>
          <w:spacing w:val="0"/>
          <w:w w:val="100"/>
          <w:position w:val="0"/>
        </w:rPr>
        <w:t xml:space="preserve">伟景行 </w:t>
      </w:r>
      <w:r>
        <w:rPr>
          <w:rFonts w:ascii="Times New Roman" w:eastAsia="Times New Roman" w:hAnsi="Times New Roman" w:cs="Times New Roman"/>
          <w:color w:val="000000"/>
          <w:spacing w:val="0"/>
          <w:w w:val="100"/>
          <w:position w:val="0"/>
          <w:sz w:val="18"/>
          <w:szCs w:val="18"/>
        </w:rPr>
        <w:t>CityMaker</w:t>
      </w:r>
      <w:r>
        <w:rPr>
          <w:color w:val="000000"/>
          <w:spacing w:val="0"/>
          <w:w w:val="100"/>
          <w:position w:val="0"/>
        </w:rPr>
        <w:t>、</w:t>
      </w:r>
      <w:r>
        <w:rPr>
          <w:color w:val="000000"/>
          <w:spacing w:val="0"/>
          <w:w w:val="100"/>
          <w:position w:val="0"/>
        </w:rPr>
        <w:t>中科院</w:t>
      </w:r>
      <w:r>
        <w:rPr>
          <w:rFonts w:ascii="Times New Roman" w:eastAsia="Times New Roman" w:hAnsi="Times New Roman" w:cs="Times New Roman"/>
          <w:color w:val="000000"/>
          <w:spacing w:val="0"/>
          <w:w w:val="100"/>
          <w:position w:val="0"/>
          <w:sz w:val="18"/>
          <w:szCs w:val="18"/>
        </w:rPr>
        <w:t>MapGIS</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3D-GIS</w:t>
      </w:r>
      <w:r>
        <w:rPr>
          <w:color w:val="000000"/>
          <w:spacing w:val="0"/>
          <w:w w:val="100"/>
          <w:position w:val="0"/>
        </w:rPr>
        <w:t>地理信息平台软件。</w:t>
      </w:r>
    </w:p>
    <w:p>
      <w:pPr>
        <w:pStyle w:val="Style18"/>
        <w:keepNext w:val="0"/>
        <w:keepLines w:val="0"/>
        <w:widowControl w:val="0"/>
        <w:numPr>
          <w:ilvl w:val="0"/>
          <w:numId w:val="3"/>
        </w:numPr>
        <w:shd w:val="clear" w:color="auto" w:fill="auto"/>
        <w:tabs>
          <w:tab w:pos="850" w:val="left"/>
        </w:tabs>
        <w:bidi w:val="0"/>
        <w:spacing w:before="0" w:line="312" w:lineRule="exact"/>
        <w:ind w:left="0" w:right="0" w:firstLine="460"/>
        <w:jc w:val="both"/>
      </w:pPr>
      <w:bookmarkStart w:id="116" w:name="bookmark116"/>
      <w:bookmarkEnd w:id="116"/>
      <w:r>
        <w:rPr>
          <w:b/>
          <w:bCs/>
          <w:color w:val="000000"/>
          <w:spacing w:val="0"/>
          <w:w w:val="100"/>
          <w:position w:val="0"/>
        </w:rPr>
        <w:t>基于</w:t>
      </w:r>
      <w:r>
        <w:rPr>
          <w:rFonts w:ascii="Times New Roman" w:eastAsia="Times New Roman" w:hAnsi="Times New Roman" w:cs="Times New Roman"/>
          <w:b/>
          <w:bCs/>
          <w:color w:val="000000"/>
          <w:spacing w:val="0"/>
          <w:w w:val="100"/>
          <w:position w:val="0"/>
          <w:sz w:val="18"/>
          <w:szCs w:val="18"/>
        </w:rPr>
        <w:t>3D</w:t>
      </w:r>
      <w:r>
        <w:rPr>
          <w:b/>
          <w:bCs/>
          <w:color w:val="000000"/>
          <w:spacing w:val="0"/>
          <w:w w:val="100"/>
          <w:position w:val="0"/>
        </w:rPr>
        <w:t>可视化的机房动环监控系统</w:t>
      </w:r>
    </w:p>
    <w:p>
      <w:pPr>
        <w:pStyle w:val="Style18"/>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研究院经过多年的项目经验和不断的产品迭代研发，已经成熟地应用到新基建数据中心、</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机房、机房 动环监控、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资产可视化系统等项目，实现机房温湿度、精密空调、漏水、配电柜、</w:t>
      </w:r>
      <w:r>
        <w:rPr>
          <w:rFonts w:ascii="Times New Roman" w:eastAsia="Times New Roman" w:hAnsi="Times New Roman" w:cs="Times New Roman"/>
          <w:color w:val="000000"/>
          <w:spacing w:val="0"/>
          <w:w w:val="100"/>
          <w:position w:val="0"/>
          <w:sz w:val="18"/>
          <w:szCs w:val="18"/>
        </w:rPr>
        <w:t>UPS</w:t>
      </w:r>
      <w:r>
        <w:rPr>
          <w:color w:val="000000"/>
          <w:spacing w:val="0"/>
          <w:w w:val="100"/>
          <w:position w:val="0"/>
        </w:rPr>
        <w:t>、</w:t>
      </w:r>
      <w:r>
        <w:rPr>
          <w:color w:val="000000"/>
          <w:spacing w:val="0"/>
          <w:w w:val="100"/>
          <w:position w:val="0"/>
        </w:rPr>
        <w:t>发电机、视频、巡检机器人、消 防等系统的实时监控和联动报警，还能实现大楼园区三维可视化、机房环境三维可视化、配线三维可视化、资产三维可视化、 动环监控三维可视化、机柜容量三维可视化和漫游巡检三维可视化等功能，市场空间巨大，目前正在基于</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技术的国电电 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可视化管理项目上实施，产品已经成熟，以后加大力度推广。</w:t>
      </w:r>
    </w:p>
    <w:p>
      <w:pPr>
        <w:pStyle w:val="Style24"/>
        <w:keepNext/>
        <w:keepLines/>
        <w:widowControl w:val="0"/>
        <w:shd w:val="clear" w:color="auto" w:fill="auto"/>
        <w:bidi w:val="0"/>
        <w:spacing w:before="0" w:after="26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三</w:t>
      </w:r>
      <w:bookmarkEnd w:id="119"/>
      <w:r>
        <w:rPr>
          <w:color w:val="000000"/>
          <w:spacing w:val="0"/>
          <w:w w:val="100"/>
          <w:position w:val="0"/>
        </w:rPr>
        <w:t>、核心竞争力分析</w:t>
      </w:r>
      <w:bookmarkEnd w:id="117"/>
      <w:bookmarkEnd w:id="118"/>
      <w:bookmarkEnd w:id="120"/>
    </w:p>
    <w:p>
      <w:pPr>
        <w:pStyle w:val="Style18"/>
        <w:keepNext w:val="0"/>
        <w:keepLines w:val="0"/>
        <w:widowControl w:val="0"/>
        <w:shd w:val="clear" w:color="auto" w:fill="auto"/>
        <w:tabs>
          <w:tab w:pos="664" w:val="left"/>
        </w:tabs>
        <w:bidi w:val="0"/>
        <w:spacing w:before="0" w:line="312" w:lineRule="exact"/>
        <w:ind w:left="0" w:right="0" w:firstLine="380"/>
        <w:jc w:val="both"/>
      </w:pPr>
      <w:bookmarkStart w:id="121" w:name="bookmark121"/>
      <w:r>
        <w:rPr>
          <w:rFonts w:ascii="Times New Roman" w:eastAsia="Times New Roman" w:hAnsi="Times New Roman" w:cs="Times New Roman"/>
          <w:b/>
          <w:bCs/>
          <w:color w:val="000000"/>
          <w:spacing w:val="0"/>
          <w:w w:val="100"/>
          <w:position w:val="0"/>
          <w:sz w:val="18"/>
          <w:szCs w:val="18"/>
        </w:rPr>
        <w:t>1</w:t>
      </w:r>
      <w:bookmarkEnd w:id="121"/>
      <w:r>
        <w:rPr>
          <w:b/>
          <w:bCs/>
          <w:color w:val="000000"/>
          <w:spacing w:val="0"/>
          <w:w w:val="100"/>
          <w:position w:val="0"/>
        </w:rPr>
        <w:t>、</w:t>
        <w:tab/>
        <w:t>创新能力和技术研发优势</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公司是国家高新技术企业，高度重视技术研发与创新，不断加大对技术研发的投入，目前公司拥有超过</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项软件著 作。公司始终坚持自主创新研发并长期致力于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区块链、大数据、人工智能、物联网、云计算等领域的核心技术研发创 新及行业应用，对现有产品线进行了深入挖掘并提升。面对行业客户的应用需求，不断创新和完善应用解决方案，将新技术 应用到客户解决方案中，实现服务创新。在水利行业中，公司在产学研结合上与清华大学、湖南大学、中国水科院、河海大 学、西安理工大学、太原理工大学等建立合作关系，积极转化科研成果，形成最新产品。</w:t>
      </w:r>
    </w:p>
    <w:p>
      <w:pPr>
        <w:pStyle w:val="Style18"/>
        <w:keepNext w:val="0"/>
        <w:keepLines w:val="0"/>
        <w:widowControl w:val="0"/>
        <w:shd w:val="clear" w:color="auto" w:fill="auto"/>
        <w:tabs>
          <w:tab w:pos="678" w:val="left"/>
        </w:tabs>
        <w:bidi w:val="0"/>
        <w:spacing w:before="0" w:line="312" w:lineRule="exact"/>
        <w:ind w:left="0" w:right="0" w:firstLine="380"/>
        <w:jc w:val="both"/>
      </w:pPr>
      <w:bookmarkStart w:id="122" w:name="bookmark122"/>
      <w:r>
        <w:rPr>
          <w:rFonts w:ascii="Times New Roman" w:eastAsia="Times New Roman" w:hAnsi="Times New Roman" w:cs="Times New Roman"/>
          <w:b/>
          <w:bCs/>
          <w:color w:val="000000"/>
          <w:spacing w:val="0"/>
          <w:w w:val="100"/>
          <w:position w:val="0"/>
          <w:sz w:val="18"/>
          <w:szCs w:val="18"/>
        </w:rPr>
        <w:t>2</w:t>
      </w:r>
      <w:bookmarkEnd w:id="122"/>
      <w:r>
        <w:rPr>
          <w:b/>
          <w:bCs/>
          <w:color w:val="000000"/>
          <w:spacing w:val="0"/>
          <w:w w:val="100"/>
          <w:position w:val="0"/>
        </w:rPr>
        <w:t>、</w:t>
        <w:tab/>
        <w:t>业务布局广</w:t>
      </w:r>
    </w:p>
    <w:p>
      <w:pPr>
        <w:pStyle w:val="Style18"/>
        <w:keepNext w:val="0"/>
        <w:keepLines w:val="0"/>
        <w:widowControl w:val="0"/>
        <w:shd w:val="clear" w:color="auto" w:fill="auto"/>
        <w:bidi w:val="0"/>
        <w:spacing w:before="0" w:line="314" w:lineRule="exact"/>
        <w:ind w:left="0" w:right="0" w:firstLine="380"/>
        <w:jc w:val="both"/>
      </w:pPr>
      <w:r>
        <w:rPr>
          <w:color w:val="000000"/>
          <w:spacing w:val="0"/>
          <w:w w:val="100"/>
          <w:position w:val="0"/>
        </w:rPr>
        <w:t>公司基于近二十年来在各行业积累的经验和市场优势，不断加大研发投入，优化技术平台，在全国拥有百余家分支机构， 产品及服务涉及了医疗、金融、智慧城市和能源等多个行业，不断提升产品能力、降低交付成本，提升产品成熟度和客户体 验。公司通过加强与合作伙伴的协同配合，积极构建优化创新生态，在软件产业链全链条持续优化业务布局，不断完善产业 链条，促进公司进一步发展。</w:t>
      </w:r>
    </w:p>
    <w:p>
      <w:pPr>
        <w:pStyle w:val="Style18"/>
        <w:keepNext w:val="0"/>
        <w:keepLines w:val="0"/>
        <w:widowControl w:val="0"/>
        <w:shd w:val="clear" w:color="auto" w:fill="auto"/>
        <w:tabs>
          <w:tab w:pos="678" w:val="left"/>
        </w:tabs>
        <w:bidi w:val="0"/>
        <w:spacing w:before="0" w:line="312" w:lineRule="exact"/>
        <w:ind w:left="0" w:right="0" w:firstLine="380"/>
        <w:jc w:val="both"/>
      </w:pPr>
      <w:bookmarkStart w:id="123" w:name="bookmark123"/>
      <w:r>
        <w:rPr>
          <w:rFonts w:ascii="Times New Roman" w:eastAsia="Times New Roman" w:hAnsi="Times New Roman" w:cs="Times New Roman"/>
          <w:b/>
          <w:bCs/>
          <w:color w:val="000000"/>
          <w:spacing w:val="0"/>
          <w:w w:val="100"/>
          <w:position w:val="0"/>
          <w:sz w:val="18"/>
          <w:szCs w:val="18"/>
        </w:rPr>
        <w:t>3</w:t>
      </w:r>
      <w:bookmarkEnd w:id="123"/>
      <w:r>
        <w:rPr>
          <w:b/>
          <w:bCs/>
          <w:color w:val="000000"/>
          <w:spacing w:val="0"/>
          <w:w w:val="100"/>
          <w:position w:val="0"/>
        </w:rPr>
        <w:t>、</w:t>
        <w:tab/>
        <w:t>人才优势</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公司建立了一套行之有效的人才引进、培养、使用机制等多层次的激励政策，不断加大人才培养力度，通过培训、竞聘 等多种方式，为人才提供素质提升渠道和广阔发展平台。公司凝聚了众多专业性强、经验丰富的高学历人才，保障公司发展 战略实施，促进公司健康、稳定、持续发展。并通过向其他优秀企业治理方式，吸纳海内外高端人才等方式，不断提升团队 能级，对于公司整体管理能力的提升和生产经营水平的提高提供了强有力的保证。</w:t>
      </w:r>
    </w:p>
    <w:p>
      <w:pPr>
        <w:pStyle w:val="Style18"/>
        <w:keepNext w:val="0"/>
        <w:keepLines w:val="0"/>
        <w:widowControl w:val="0"/>
        <w:shd w:val="clear" w:color="auto" w:fill="auto"/>
        <w:tabs>
          <w:tab w:pos="678" w:val="left"/>
        </w:tabs>
        <w:bidi w:val="0"/>
        <w:spacing w:before="0" w:line="312" w:lineRule="exact"/>
        <w:ind w:left="0" w:right="0" w:firstLine="380"/>
        <w:jc w:val="both"/>
      </w:pPr>
      <w:bookmarkStart w:id="124" w:name="bookmark124"/>
      <w:r>
        <w:rPr>
          <w:rFonts w:ascii="Times New Roman" w:eastAsia="Times New Roman" w:hAnsi="Times New Roman" w:cs="Times New Roman"/>
          <w:b/>
          <w:bCs/>
          <w:color w:val="000000"/>
          <w:spacing w:val="0"/>
          <w:w w:val="100"/>
          <w:position w:val="0"/>
          <w:sz w:val="18"/>
          <w:szCs w:val="18"/>
        </w:rPr>
        <w:t>4</w:t>
      </w:r>
      <w:bookmarkEnd w:id="124"/>
      <w:r>
        <w:rPr>
          <w:b/>
          <w:bCs/>
          <w:color w:val="000000"/>
          <w:spacing w:val="0"/>
          <w:w w:val="100"/>
          <w:position w:val="0"/>
        </w:rPr>
        <w:t>、</w:t>
        <w:tab/>
        <w:t>市场及客户资源优势</w:t>
      </w:r>
    </w:p>
    <w:p>
      <w:pPr>
        <w:pStyle w:val="Style18"/>
        <w:keepNext w:val="0"/>
        <w:keepLines w:val="0"/>
        <w:widowControl w:val="0"/>
        <w:shd w:val="clear" w:color="auto" w:fill="auto"/>
        <w:bidi w:val="0"/>
        <w:spacing w:before="0" w:line="313" w:lineRule="exact"/>
        <w:ind w:left="0" w:right="0" w:firstLine="380"/>
        <w:jc w:val="both"/>
      </w:pPr>
      <w:r>
        <w:rPr>
          <w:color w:val="000000"/>
          <w:spacing w:val="0"/>
          <w:w w:val="100"/>
          <w:position w:val="0"/>
        </w:rPr>
        <w:t xml:space="preserve">公司在医疗、金融、电力、能源等行业积累了大批稳定的优质客户资源，面对这些行业客户，公司具备突出的业务理解 能力，能够提供咨询、软件开发、系统集成、数据服务等多种服务满足行业用户的多种需求，与客户形成了紧密的相互依存、 共同发展的关系。并通过公司政企客户多、业务覆盖广、生态合作强、研发人员多、业内口碑好的优势，更加主动的借助政 府行业协会桥梁纽带平台，与国有企业、民营科技企业、本土国际科创独角兽企业等打造战略同盟。主动挖掘跟踪客户需求 并提供与之匹配的服务，实现从单一交付实施到整体方案服务的技术赋能提升，与客户形成了良好的相互依存、共同发展的 </w:t>
      </w:r>
      <w:r>
        <w:rPr>
          <w:color w:val="000000"/>
          <w:spacing w:val="0"/>
          <w:w w:val="100"/>
          <w:position w:val="0"/>
        </w:rPr>
        <w:t>关系。</w:t>
      </w:r>
    </w:p>
    <w:p>
      <w:pPr>
        <w:pStyle w:val="Style18"/>
        <w:keepNext w:val="0"/>
        <w:keepLines w:val="0"/>
        <w:widowControl w:val="0"/>
        <w:shd w:val="clear" w:color="auto" w:fill="auto"/>
        <w:bidi w:val="0"/>
        <w:spacing w:before="0" w:line="310" w:lineRule="exact"/>
        <w:ind w:left="0" w:right="0" w:firstLine="380"/>
        <w:jc w:val="both"/>
      </w:pPr>
      <w:bookmarkStart w:id="125" w:name="bookmark125"/>
      <w:r>
        <w:rPr>
          <w:rFonts w:ascii="Times New Roman" w:eastAsia="Times New Roman" w:hAnsi="Times New Roman" w:cs="Times New Roman"/>
          <w:b/>
          <w:bCs/>
          <w:color w:val="000000"/>
          <w:spacing w:val="0"/>
          <w:w w:val="100"/>
          <w:position w:val="0"/>
          <w:sz w:val="18"/>
          <w:szCs w:val="18"/>
        </w:rPr>
        <w:t>5</w:t>
      </w:r>
      <w:bookmarkEnd w:id="125"/>
      <w:r>
        <w:rPr>
          <w:b/>
          <w:bCs/>
          <w:color w:val="000000"/>
          <w:spacing w:val="0"/>
          <w:w w:val="100"/>
          <w:position w:val="0"/>
        </w:rPr>
        <w:t>、生态合作强</w:t>
      </w:r>
    </w:p>
    <w:p>
      <w:pPr>
        <w:pStyle w:val="Style1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近年来，公司特别注重与腾讯、华为等业界顶尖公司的战略合作，与合作伙伴联合开展技术创新、产品创新和业务模式 的创新，整合双方的技术及资源等优势，把成熟的技术平台与公司领先的行业应用有机的结合起来，为客户提供更完善的产 品和解决方案，推进合作项目的战略布局与市场应用。报告期内，东华工业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研究院与华为、百度、腾讯等行业大咖在矿 山行业达成了战略合作伙伴，不仅在产品上进行了深度合作，而且在解决方案和集成项目上也形成了可落地的合作项目，并 拿到华为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DHCSCADA</w:t>
      </w:r>
      <w:r>
        <w:rPr>
          <w:color w:val="000000"/>
          <w:spacing w:val="0"/>
          <w:w w:val="100"/>
          <w:position w:val="0"/>
        </w:rPr>
        <w:t>高端工业综合自动化组态管控软件》鲲鹏认证。</w:t>
      </w:r>
    </w:p>
    <w:p>
      <w:pPr>
        <w:pStyle w:val="Style24"/>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四</w:t>
      </w:r>
      <w:bookmarkEnd w:id="128"/>
      <w:r>
        <w:rPr>
          <w:color w:val="000000"/>
          <w:spacing w:val="0"/>
          <w:w w:val="100"/>
          <w:position w:val="0"/>
        </w:rPr>
        <w:t>、主营业务分析</w:t>
      </w:r>
      <w:bookmarkEnd w:id="126"/>
      <w:bookmarkEnd w:id="127"/>
      <w:bookmarkEnd w:id="129"/>
    </w:p>
    <w:p>
      <w:pPr>
        <w:pStyle w:val="Style29"/>
        <w:keepNext/>
        <w:keepLines/>
        <w:widowControl w:val="0"/>
        <w:shd w:val="clear" w:color="auto" w:fill="auto"/>
        <w:tabs>
          <w:tab w:pos="368" w:val="left"/>
        </w:tabs>
        <w:bidi w:val="0"/>
        <w:spacing w:before="0" w:after="26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概述</w:t>
      </w:r>
      <w:bookmarkEnd w:id="130"/>
      <w:bookmarkEnd w:id="131"/>
      <w:bookmarkEnd w:id="133"/>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收入与成本</w:t>
      </w:r>
      <w:bookmarkEnd w:id="134"/>
      <w:bookmarkEnd w:id="135"/>
      <w:bookmarkEnd w:id="137"/>
    </w:p>
    <w:p>
      <w:pPr>
        <w:pStyle w:val="Style40"/>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8"/>
      <w:bookmarkEnd w:id="139"/>
      <w:bookmarkEnd w:id="141"/>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6,869,606,503.28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5,897,317,970.98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1,179,289,007.16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990,840,169.91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954,801,471.72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801,721,242.97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互联网及计算机服 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427,533,043.37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318,634,832.60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775,534,266.98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575,434,123.32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608,548,830.28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581,405,880.62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68,975,520.30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7,269,016,284.22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6,071,747,326.33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900,428,178.02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849,529,160.28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2,711,286,266.18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2,244,077,733.79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3,557,914.67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678,676,411.39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570,023,586.46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6,949,755,725.86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5,824,587,227.06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1,407,960,025.36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1,263,068,651.65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303,086,357.96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253,269,305.62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418,617,691.79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353,893,467.53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560,596,120.45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476,859,455.19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496,620,789.98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423,652,526.89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68,975,520.30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2,029,336,331.40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2,488,445,234.67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2,260,274,054.47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4,106,233,022.55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1,727,038,577.62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1,912,819,772.64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1,926,829,316.85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3,600,499,032.51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113,059,035.20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340,195,610.38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227,371,690.32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-221,102,026.35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158,471,548.39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242,835,280.05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213,818,709.44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-64,748,443.98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目前公司收入主要来源于行业应用软件开发、计算机信息系统集成和信息技术服务，客户主要涉及金融、医疗、政府等 行业。公司客户大多会依据严格的财务预算和支出管理制度，在年初规划项目及安排支出，在下半年完成项目的招标和验收 等相关工作。因此，公司实现营业收入的高峰期通常在第四季度，存在一定的季节性波动风险。从各季度的营业收入占比来 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年公司第一到第四季度的营业收入占全年收入的比重分别为</w:t>
      </w:r>
      <w:r>
        <w:rPr>
          <w:rFonts w:ascii="Times New Roman" w:eastAsia="Times New Roman" w:hAnsi="Times New Roman" w:cs="Times New Roman"/>
          <w:color w:val="000000"/>
          <w:spacing w:val="0"/>
          <w:w w:val="100"/>
          <w:position w:val="0"/>
          <w:sz w:val="18"/>
          <w:szCs w:val="18"/>
        </w:rPr>
        <w:t>18.84%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39.28%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年公司第 一到第四季度的营业收入占全年收入的比重分别为</w:t>
      </w:r>
      <w:r>
        <w:rPr>
          <w:rFonts w:ascii="Times New Roman" w:eastAsia="Times New Roman" w:hAnsi="Times New Roman" w:cs="Times New Roman"/>
          <w:color w:val="000000"/>
          <w:spacing w:val="0"/>
          <w:w w:val="100"/>
          <w:position w:val="0"/>
          <w:sz w:val="18"/>
          <w:szCs w:val="18"/>
        </w:rPr>
        <w:t>18.64%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37.73%</w:t>
      </w:r>
      <w:r>
        <w:rPr>
          <w:color w:val="000000"/>
          <w:spacing w:val="0"/>
          <w:w w:val="100"/>
          <w:position w:val="0"/>
        </w:rPr>
        <w:t>。公司第四季度营业收入占比较高， 呈现较强的季节性特征。</w:t>
      </w:r>
    </w:p>
    <w:p>
      <w:pPr>
        <w:pStyle w:val="Style40"/>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2"/>
      <w:bookmarkEnd w:id="143"/>
      <w:bookmarkEnd w:id="145"/>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286"/>
        <w:gridCol w:w="1445"/>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6,869,606,503.28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5,234,067,622.53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1,179,289,007.16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908,659,224.33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7,269,016,284.22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6,229,284,932.12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2,711,286,266.18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2,036,154,717.32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bl>
    <w:p>
      <w:pPr>
        <w:spacing w:lineRule="exact" w:line="1"/>
        <w:rPr>
          <w:sz w:val="2"/>
          <w:szCs w:val="2"/>
        </w:rPr>
      </w:pPr>
      <w:r>
        <w:br w:type="page"/>
      </w:r>
    </w:p>
    <w:tbl>
      <w:tblPr>
        <w:tblOverlap w:val="never"/>
        <w:jc w:val="center"/>
        <w:tblLayout w:type="fixed"/>
      </w:tblPr>
      <w:tblGrid>
        <w:gridCol w:w="1378"/>
        <w:gridCol w:w="1363"/>
        <w:gridCol w:w="1368"/>
        <w:gridCol w:w="1286"/>
        <w:gridCol w:w="1445"/>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6,949,755,725.86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5,284,342,481.73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1,407,960,025.36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1,086,217,221.89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6"/>
      <w:bookmarkEnd w:id="147"/>
      <w:bookmarkEnd w:id="14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50"/>
      <w:bookmarkEnd w:id="151"/>
      <w:bookmarkEnd w:id="15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4"/>
      <w:bookmarkEnd w:id="155"/>
      <w:bookmarkEnd w:id="15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5,234,067,622.53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4,493,982,957.51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908,659,224.33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765,441,093.19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733,772,609.78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617,758,635.69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互联网及计算机服 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330,232,902.63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249,245,592.05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601,398,048.13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448,599,938.90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491,262,748.40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482,369,225.32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59,456,286.48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4,526.16%</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758"/>
        <w:gridCol w:w="1416"/>
        <w:gridCol w:w="1421"/>
        <w:gridCol w:w="1699"/>
        <w:gridCol w:w="1541"/>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6,229,284,932.12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5,427,562,261.90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90,108,540.93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95,903,339.38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2,036,154,717.32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1,533,931,841.38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3,301,251.91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156.86%</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无 </w:t>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6,229,284,932.12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5,427,562,261.90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90,108,540.93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95,903,339.38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2,036,154,717.32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1,533,931,841.38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3,301,251.91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156.86%</w:t>
            </w:r>
          </w:p>
        </w:tc>
      </w:tr>
    </w:tbl>
    <w:p>
      <w:pPr>
        <w:widowControl w:val="0"/>
        <w:spacing w:after="319" w:line="1" w:lineRule="exact"/>
      </w:pPr>
    </w:p>
    <w:p>
      <w:pPr>
        <w:pStyle w:val="Style40"/>
        <w:keepNext/>
        <w:keepLines/>
        <w:widowControl w:val="0"/>
        <w:shd w:val="clear" w:color="auto" w:fill="auto"/>
        <w:tabs>
          <w:tab w:pos="493" w:val="left"/>
        </w:tabs>
        <w:bidi w:val="0"/>
        <w:spacing w:before="0" w:after="2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8"/>
      <w:bookmarkEnd w:id="159"/>
      <w:bookmarkEnd w:id="161"/>
    </w:p>
    <w:p>
      <w:pPr>
        <w:pStyle w:val="Style18"/>
        <w:keepNext w:val="0"/>
        <w:keepLines w:val="0"/>
        <w:widowControl w:val="0"/>
        <w:shd w:val="clear" w:color="auto" w:fill="auto"/>
        <w:bidi w:val="0"/>
        <w:spacing w:before="0" w:after="4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家子公司，减少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家子公司，其中由子公司转为孙公司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家。合 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2"/>
      <w:bookmarkEnd w:id="163"/>
      <w:bookmarkEnd w:id="165"/>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6"/>
      <w:bookmarkEnd w:id="167"/>
      <w:bookmarkEnd w:id="169"/>
    </w:p>
    <w:p>
      <w:pPr>
        <w:pStyle w:val="Style18"/>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1,608,586,183.35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482,717,230.90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346,916,962.79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304,931,779.79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285,951,905.21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188,068,304.66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1,608,586,183.35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大客户中，客户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为腾讯云计算（北京）有限责任公司。根据《深圳证券交易所股票上市规则（</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年修订）》 </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条等规定，该客户为本公司的关联法人。</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1,028,681,962.90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978,674,281.18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466,364,902.18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379,047,779.80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224,423,199.42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198,758,394.58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2,247,268,557.17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报告期内，公司前五名供应商与公司不存在任何关联关系，公司董事、监事、高级管理人员、核心技术人员、持股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以上股东、实际控制人和其他关联方在主要供应商中不存在直接或者间接拥有权益的情形。</w:t>
      </w:r>
    </w:p>
    <w:p>
      <w:pPr>
        <w:pStyle w:val="Style29"/>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、费用</w:t>
      </w:r>
      <w:bookmarkEnd w:id="170"/>
      <w:bookmarkEnd w:id="171"/>
      <w:bookmarkEnd w:id="1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425,437,459.35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368,234,000.23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774,900,715.53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507,448,695.08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主要原因系所属子公司东华博泰股 份支付增加所致。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114,634,207.44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92,333,590.77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728,182,157.00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635,121,949.39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、研发投入</w:t>
      </w:r>
      <w:bookmarkEnd w:id="174"/>
      <w:bookmarkEnd w:id="175"/>
      <w:bookmarkEnd w:id="177"/>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05"/>
        <w:gridCol w:w="2942"/>
        <w:gridCol w:w="1680"/>
        <w:gridCol w:w="1320"/>
        <w:gridCol w:w="183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 的影响</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面向云数据库服务的 智能</w:t>
            </w:r>
            <w:r>
              <w:rPr>
                <w:rFonts w:ascii="Times New Roman" w:eastAsia="Times New Roman" w:hAnsi="Times New Roman" w:cs="Times New Roman"/>
                <w:color w:val="000000"/>
                <w:spacing w:val="0"/>
                <w:w w:val="100"/>
                <w:position w:val="0"/>
                <w:sz w:val="18"/>
                <w:szCs w:val="18"/>
              </w:rPr>
              <w:t>DBA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达到攻关效果，并在云服务运营支撑 平台''中得到应用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产品完成开发、测试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支撑公司云服务领域 业务的发展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文档云管理平台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提升公司文档规范化管理效能。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产品完成开发、测试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支撑公司提升规范化 治理水平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一体化智能监控平台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成功进入市场，形成批量订单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产品完成开发、测试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支撑公司在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运维领 域的业务发展</w:t>
            </w:r>
          </w:p>
        </w:tc>
      </w:tr>
    </w:tbl>
    <w:p>
      <w:pPr>
        <w:spacing w:lineRule="exact" w:line="1"/>
        <w:rPr>
          <w:sz w:val="2"/>
          <w:szCs w:val="2"/>
        </w:rPr>
      </w:pPr>
      <w:r>
        <w:br w:type="page"/>
      </w:r>
    </w:p>
    <w:tbl>
      <w:tblPr>
        <w:tblOverlap w:val="never"/>
        <w:jc w:val="center"/>
        <w:tblLayout w:type="fixed"/>
      </w:tblPr>
      <w:tblGrid>
        <w:gridCol w:w="1805"/>
        <w:gridCol w:w="2942"/>
        <w:gridCol w:w="1680"/>
        <w:gridCol w:w="1320"/>
        <w:gridCol w:w="183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地址监测管理系 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产品完成开发、测试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支撑公司在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运维领 域的业务发展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基于安全日志大数据 的安全信息管理平台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产品完成开发、测试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支撑公司在信息安全 领域业务的发展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东华医为医共体管理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产品完成开发，实现 小批量交付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支撑公司在医疗行业 的发展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东华医为医院临床医 护及时通信系统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产品完成开发，交付 客户试用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支撑公司在医疗行业 的发展</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东华医为</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sz w:val="17"/>
                <w:szCs w:val="17"/>
              </w:rPr>
              <w:t>数据 上报分析系统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产品完成开发，实现 批量交付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支撑公司在医疗行业 的发展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成功进入市场，形成批量订单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产品完成开发，实现 批量交付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支撑公司在医疗行业 的发展</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农村水利水电管理信 息系统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提升农村供水能力、保障供水安全， 实现现代化农村水利的统筹监管和科 学利用。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已完成开发，交付客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户试用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支撑公司在水利行业 的发展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东华开发平台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支持快速开发，降低开发门槛以及零 代码代码开发能力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产品已完成调试、试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提升开发效率， 降低开发成本， 开发标准化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支持公司在项目开发 中快速开发、在上线项 目中进行零配置化调 整，降本增效</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东华堡垒机系统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完善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内控与审计体系，满足各种合 规性要求。提升在安全行业竞争力。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业内领先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支持公司在安全行业 体系建设与发展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842"/>
        <w:gridCol w:w="1949"/>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1,127,554,775.15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1,166,906,651.47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4,144,683.81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5242"/>
        <w:gridCol w:w="9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一体化智能监控平台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1,993,863.42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是一套针对企业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架构各层次上（从机房环境层、网络通信层、 计算与存储服务层、基础软件服务层、业务应用服务层）设施和资 源进行集中管理、统一监控的智能化软件平台，主要包括门户管理、 单点认证、资源管理、告警集成、指标采集、告警分析、告警处理、 通知派发、图表构建、集中呈现等服务魔魁。其总体目标是通过自 有采集模块或集成第三方监控工具采集统一采集企业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架构各层 次上设备或资源的运行时性能和状态数据以及一体化的智能分析</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（包括跨系统追踪和关联分析，有效的故障根因分析等），实现</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资源运行时状态的自动化检测和智能告警，从而提升企业业务运营 连续性保障能力。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企业项目核算管理系统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2,150,820.39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本产品是一套针对项目预算、项目竞标、项目实施、项目成本核算、 项目进度、项目分析、项目回款等环节进行全程管理的企业业务应 用管理软件，包括营销管理、合同管理、采购管理、施工管理、财 务核算、行政管理等主要功能模块，其目标是落实成本责任制，实 现项目利润化，提高企业的整体运营能力。</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5</w:t>
      </w:r>
      <w:bookmarkEnd w:id="180"/>
      <w:r>
        <w:rPr>
          <w:color w:val="000000"/>
          <w:spacing w:val="0"/>
          <w:w w:val="100"/>
          <w:position w:val="0"/>
        </w:rPr>
        <w:t>、现金流</w:t>
      </w:r>
      <w:bookmarkEnd w:id="178"/>
      <w:bookmarkEnd w:id="179"/>
      <w:bookmarkEnd w:id="18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837"/>
        <w:gridCol w:w="2410"/>
        <w:gridCol w:w="163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12,311,457,308.42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10,946,549,736.40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11,697,182,838.09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10,620,518,910.70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614,274,470.33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4,351,078.26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319,111,781.17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352,759,972.27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-314,760,702.91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-344,932,853.91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4,356,992,808.51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3,846,809,840.54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4,491,916,366.42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3,318,833,947.26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-134,923,557.91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527,975,893.28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163,377,421.69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504,817,860.35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w:t>
            </w:r>
          </w:p>
        </w:tc>
      </w:tr>
    </w:tbl>
    <w:p>
      <w:pPr>
        <w:pStyle w:val="Style1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34" w:val="left"/>
        </w:tabs>
        <w:bidi w:val="0"/>
        <w:spacing w:before="0" w:after="0" w:line="307" w:lineRule="exact"/>
        <w:ind w:left="0" w:right="0" w:firstLine="0"/>
        <w:jc w:val="both"/>
      </w:pPr>
      <w:bookmarkStart w:id="182" w:name="bookmark182"/>
      <w:r>
        <w:rPr>
          <w:color w:val="000000"/>
          <w:spacing w:val="0"/>
          <w:w w:val="100"/>
          <w:position w:val="0"/>
          <w:sz w:val="18"/>
          <w:szCs w:val="18"/>
        </w:rPr>
        <w:t>1</w:t>
      </w:r>
      <w:bookmarkEnd w:id="182"/>
      <w:r>
        <w:rPr>
          <w:color w:val="000000"/>
          <w:spacing w:val="0"/>
          <w:w w:val="100"/>
          <w:position w:val="0"/>
        </w:rPr>
        <w:t>、</w:t>
        <w:tab/>
        <w:t>经营活动产生的现金流量净额较上年同期增加</w:t>
      </w:r>
      <w:r>
        <w:rPr>
          <w:color w:val="000000"/>
          <w:spacing w:val="0"/>
          <w:w w:val="100"/>
          <w:position w:val="0"/>
          <w:sz w:val="18"/>
          <w:szCs w:val="18"/>
        </w:rPr>
        <w:t>88.41%</w:t>
      </w:r>
      <w:r>
        <w:rPr>
          <w:color w:val="000000"/>
          <w:spacing w:val="0"/>
          <w:w w:val="100"/>
          <w:position w:val="0"/>
        </w:rPr>
        <w:t>，主要原因系公司销售商品提供劳务收到的现金增加所致。</w:t>
      </w:r>
    </w:p>
    <w:p>
      <w:pPr>
        <w:pStyle w:val="Style18"/>
        <w:keepNext w:val="0"/>
        <w:keepLines w:val="0"/>
        <w:widowControl w:val="0"/>
        <w:shd w:val="clear" w:color="auto" w:fill="auto"/>
        <w:tabs>
          <w:tab w:pos="344" w:val="left"/>
        </w:tabs>
        <w:bidi w:val="0"/>
        <w:spacing w:before="0" w:after="0" w:line="307" w:lineRule="exact"/>
        <w:ind w:left="0" w:right="0" w:firstLine="0"/>
        <w:jc w:val="both"/>
      </w:pPr>
      <w:bookmarkStart w:id="183" w:name="bookmark183"/>
      <w:r>
        <w:rPr>
          <w:color w:val="000000"/>
          <w:spacing w:val="0"/>
          <w:w w:val="100"/>
          <w:position w:val="0"/>
          <w:sz w:val="18"/>
          <w:szCs w:val="18"/>
        </w:rPr>
        <w:t>2</w:t>
      </w:r>
      <w:bookmarkEnd w:id="183"/>
      <w:r>
        <w:rPr>
          <w:color w:val="000000"/>
          <w:spacing w:val="0"/>
          <w:w w:val="100"/>
          <w:position w:val="0"/>
        </w:rPr>
        <w:t>、</w:t>
        <w:tab/>
        <w:t>收回投资所收到的现金较上年同期减少</w:t>
      </w:r>
      <w:r>
        <w:rPr>
          <w:color w:val="000000"/>
          <w:spacing w:val="0"/>
          <w:w w:val="100"/>
          <w:position w:val="0"/>
          <w:sz w:val="18"/>
          <w:szCs w:val="18"/>
        </w:rPr>
        <w:t>100.00%，</w:t>
      </w:r>
      <w:r>
        <w:rPr>
          <w:color w:val="000000"/>
          <w:spacing w:val="0"/>
          <w:w w:val="100"/>
          <w:position w:val="0"/>
        </w:rPr>
        <w:t>主要原因系本期未有收回投资情况，从而导致投资活动现金流入小计较 上年同期减少</w:t>
      </w:r>
      <w:r>
        <w:rPr>
          <w:color w:val="000000"/>
          <w:spacing w:val="0"/>
          <w:w w:val="100"/>
          <w:position w:val="0"/>
          <w:sz w:val="18"/>
          <w:szCs w:val="18"/>
        </w:rPr>
        <w:t>44.41%</w:t>
      </w:r>
      <w:r>
        <w:rPr>
          <w:color w:val="000000"/>
          <w:spacing w:val="0"/>
          <w:w w:val="100"/>
          <w:position w:val="0"/>
        </w:rPr>
        <w:t>。</w:t>
      </w:r>
    </w:p>
    <w:p>
      <w:pPr>
        <w:pStyle w:val="Style18"/>
        <w:keepNext w:val="0"/>
        <w:keepLines w:val="0"/>
        <w:widowControl w:val="0"/>
        <w:shd w:val="clear" w:color="auto" w:fill="auto"/>
        <w:tabs>
          <w:tab w:pos="344" w:val="left"/>
        </w:tabs>
        <w:bidi w:val="0"/>
        <w:spacing w:before="0" w:after="60" w:line="307" w:lineRule="exact"/>
        <w:ind w:left="0" w:right="0" w:firstLine="0"/>
        <w:jc w:val="both"/>
      </w:pPr>
      <w:bookmarkStart w:id="184" w:name="bookmark184"/>
      <w:r>
        <w:rPr>
          <w:color w:val="000000"/>
          <w:spacing w:val="0"/>
          <w:w w:val="100"/>
          <w:position w:val="0"/>
          <w:sz w:val="18"/>
          <w:szCs w:val="18"/>
        </w:rPr>
        <w:t>3</w:t>
      </w:r>
      <w:bookmarkEnd w:id="184"/>
      <w:r>
        <w:rPr>
          <w:color w:val="000000"/>
          <w:spacing w:val="0"/>
          <w:w w:val="100"/>
          <w:position w:val="0"/>
        </w:rPr>
        <w:t>、</w:t>
        <w:tab/>
        <w:t>偿还债务支付的现金较上年同期增加</w:t>
      </w:r>
      <w:r>
        <w:rPr>
          <w:color w:val="000000"/>
          <w:spacing w:val="0"/>
          <w:w w:val="100"/>
          <w:position w:val="0"/>
          <w:sz w:val="18"/>
          <w:szCs w:val="18"/>
        </w:rPr>
        <w:t xml:space="preserve">56. </w:t>
      </w:r>
      <w:r>
        <w:rPr>
          <w:color w:val="000000"/>
          <w:spacing w:val="0"/>
          <w:w w:val="100"/>
          <w:position w:val="0"/>
          <w:sz w:val="18"/>
          <w:szCs w:val="18"/>
        </w:rPr>
        <w:t>59%</w:t>
      </w:r>
      <w:r>
        <w:rPr>
          <w:color w:val="000000"/>
          <w:spacing w:val="0"/>
          <w:w w:val="100"/>
          <w:position w:val="0"/>
        </w:rPr>
        <w:t>，主要原因系公司偿还银行短期借款增加所致，从而导致筹资活动现金流出 小计增加</w:t>
      </w:r>
      <w:r>
        <w:rPr>
          <w:color w:val="000000"/>
          <w:spacing w:val="0"/>
          <w:w w:val="100"/>
          <w:position w:val="0"/>
          <w:sz w:val="18"/>
          <w:szCs w:val="18"/>
        </w:rPr>
        <w:t xml:space="preserve">35. </w:t>
      </w:r>
      <w:r>
        <w:rPr>
          <w:color w:val="000000"/>
          <w:spacing w:val="0"/>
          <w:w w:val="100"/>
          <w:position w:val="0"/>
          <w:sz w:val="18"/>
          <w:szCs w:val="18"/>
        </w:rPr>
        <w:t>35%</w:t>
      </w:r>
      <w:r>
        <w:rPr>
          <w:color w:val="000000"/>
          <w:spacing w:val="0"/>
          <w:w w:val="100"/>
          <w:position w:val="0"/>
        </w:rPr>
        <w:t>。</w:t>
      </w:r>
    </w:p>
    <w:p>
      <w:pPr>
        <w:pStyle w:val="Style1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、非主营业务分析</w:t>
      </w:r>
      <w:bookmarkEnd w:id="185"/>
      <w:bookmarkEnd w:id="186"/>
      <w:bookmarkEnd w:id="188"/>
    </w:p>
    <w:p>
      <w:pPr>
        <w:pStyle w:val="Style18"/>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994"/>
        <w:gridCol w:w="4536"/>
        <w:gridCol w:w="107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占利润总额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是否具有可 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权益法核算的长期股权投资收益、处置长期股权投资产生 的投资收益、其他非流动金融资产持有期间的投资收益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主要原因系公司对参股公司按公允价值计量产生的收益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5,897,142.71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合同资产计提的资产减值准备、存货跌价损失、商誉减值 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10,928,596.77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与日常活动无关的政府补助及确认不需支付的款项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10,357,395.71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捐赠支出及非流动资产毁损报废损失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-201,793,399.72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应收账款、应收票据、其他应收款、长期应收款计提的信 用减值损失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110,433,714.15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收到的增值税退税、进项税加计扣除及与日常经营活动相 关的政府补助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六</w:t>
      </w:r>
      <w:bookmarkEnd w:id="191"/>
      <w:r>
        <w:rPr>
          <w:color w:val="000000"/>
          <w:spacing w:val="0"/>
          <w:w w:val="100"/>
          <w:position w:val="0"/>
        </w:rPr>
        <w:t>、资产及负债状况分析</w:t>
      </w:r>
      <w:bookmarkEnd w:id="189"/>
      <w:bookmarkEnd w:id="190"/>
      <w:bookmarkEnd w:id="192"/>
    </w:p>
    <w:p>
      <w:pPr>
        <w:pStyle w:val="Style29"/>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、资产构成重大变动情况</w:t>
      </w:r>
      <w:bookmarkEnd w:id="193"/>
      <w:bookmarkEnd w:id="194"/>
      <w:bookmarkEnd w:id="196"/>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891"/>
        <w:gridCol w:w="1416"/>
        <w:gridCol w:w="1421"/>
        <w:gridCol w:w="1416"/>
        <w:gridCol w:w="850"/>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占总资产比例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2,664,325,972.93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6,078,583,947.44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5,371,255,740.82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575,156,223.08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7,281,119,187.13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891"/>
        <w:gridCol w:w="1416"/>
        <w:gridCol w:w="1421"/>
        <w:gridCol w:w="1416"/>
        <w:gridCol w:w="850"/>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22,987,387.67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208,501,634.08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204,123,718.13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306,133,049.24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79,663,674.10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3,723,061,491.55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2,249,643,098.63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51,809,549.84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64,753,674.92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以公允价值计量的资产和负债</w:t>
      </w:r>
      <w:bookmarkEnd w:id="197"/>
      <w:bookmarkEnd w:id="198"/>
      <w:bookmarkEnd w:id="20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截至报告期末的资产权利受限情况</w:t>
      </w:r>
      <w:bookmarkEnd w:id="201"/>
      <w:bookmarkEnd w:id="202"/>
      <w:bookmarkEnd w:id="20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截至报告期末，公司资产权利不存在受限情况。</w:t>
      </w:r>
    </w:p>
    <w:p>
      <w:pPr>
        <w:pStyle w:val="Style2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七</w:t>
      </w:r>
      <w:bookmarkEnd w:id="207"/>
      <w:r>
        <w:rPr>
          <w:color w:val="000000"/>
          <w:spacing w:val="0"/>
          <w:w w:val="100"/>
          <w:position w:val="0"/>
        </w:rPr>
        <w:t>、投资状况分析</w:t>
      </w:r>
      <w:bookmarkEnd w:id="205"/>
      <w:bookmarkEnd w:id="206"/>
      <w:bookmarkEnd w:id="208"/>
    </w:p>
    <w:p>
      <w:pPr>
        <w:pStyle w:val="Style29"/>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、总体情况</w:t>
      </w:r>
      <w:bookmarkEnd w:id="209"/>
      <w:bookmarkEnd w:id="210"/>
      <w:bookmarkEnd w:id="212"/>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1,007,975,065.72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报告期内获取的重大的股权投资情况</w:t>
      </w:r>
      <w:bookmarkEnd w:id="213"/>
      <w:bookmarkEnd w:id="214"/>
      <w:bookmarkEnd w:id="21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3</w:t>
      </w:r>
      <w:bookmarkEnd w:id="219"/>
      <w:r>
        <w:rPr>
          <w:color w:val="000000"/>
          <w:spacing w:val="0"/>
          <w:w w:val="100"/>
          <w:position w:val="0"/>
        </w:rPr>
        <w:t>、</w:t>
        <w:tab/>
        <w:t>报告期内正在进行的重大的非股权投资情况</w:t>
      </w:r>
      <w:bookmarkEnd w:id="217"/>
      <w:bookmarkEnd w:id="218"/>
      <w:bookmarkEnd w:id="220"/>
    </w:p>
    <w:p>
      <w:pPr>
        <w:pStyle w:val="Style18"/>
        <w:keepNext w:val="0"/>
        <w:keepLines w:val="0"/>
        <w:widowControl w:val="0"/>
        <w:numPr>
          <w:ilvl w:val="0"/>
          <w:numId w:val="5"/>
        </w:numPr>
        <w:shd w:val="clear" w:color="auto" w:fill="auto"/>
        <w:tabs>
          <w:tab w:pos="285" w:val="left"/>
        </w:tabs>
        <w:bidi w:val="0"/>
        <w:spacing w:before="0" w:after="360" w:line="240" w:lineRule="auto"/>
        <w:ind w:left="0" w:right="0" w:firstLine="0"/>
        <w:jc w:val="left"/>
      </w:pPr>
      <w:bookmarkStart w:id="221" w:name="bookmark221"/>
      <w:bookmarkEnd w:id="2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4</w:t>
      </w:r>
      <w:bookmarkEnd w:id="224"/>
      <w:r>
        <w:rPr>
          <w:color w:val="000000"/>
          <w:spacing w:val="0"/>
          <w:w w:val="100"/>
          <w:position w:val="0"/>
        </w:rPr>
        <w:t>、</w:t>
        <w:tab/>
        <w:t>金融资产投资</w:t>
      </w:r>
      <w:bookmarkEnd w:id="222"/>
      <w:bookmarkEnd w:id="223"/>
      <w:bookmarkEnd w:id="225"/>
    </w:p>
    <w:p>
      <w:pPr>
        <w:pStyle w:val="Style40"/>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26"/>
      <w:bookmarkEnd w:id="227"/>
      <w:bookmarkEnd w:id="229"/>
    </w:p>
    <w:p>
      <w:pPr>
        <w:pStyle w:val="Style18"/>
        <w:keepNext w:val="0"/>
        <w:keepLines w:val="0"/>
        <w:widowControl w:val="0"/>
        <w:numPr>
          <w:ilvl w:val="0"/>
          <w:numId w:val="5"/>
        </w:numPr>
        <w:shd w:val="clear" w:color="auto" w:fill="auto"/>
        <w:tabs>
          <w:tab w:pos="285" w:val="left"/>
        </w:tabs>
        <w:bidi w:val="0"/>
        <w:spacing w:before="0" w:after="360" w:line="240" w:lineRule="auto"/>
        <w:ind w:left="0" w:right="0" w:firstLine="0"/>
        <w:jc w:val="left"/>
      </w:pPr>
      <w:bookmarkStart w:id="230" w:name="bookmark230"/>
      <w:bookmarkEnd w:id="23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公司报告期不存在证券投资。</w:t>
      </w:r>
    </w:p>
    <w:p>
      <w:pPr>
        <w:pStyle w:val="Style40"/>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31"/>
      <w:bookmarkEnd w:id="232"/>
      <w:bookmarkEnd w:id="23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5</w:t>
      </w:r>
      <w:bookmarkEnd w:id="237"/>
      <w:r>
        <w:rPr>
          <w:color w:val="000000"/>
          <w:spacing w:val="0"/>
          <w:w w:val="100"/>
          <w:position w:val="0"/>
        </w:rPr>
        <w:t>、募集资金使用情况</w:t>
      </w:r>
      <w:bookmarkEnd w:id="235"/>
      <w:bookmarkEnd w:id="236"/>
      <w:bookmarkEnd w:id="23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9"/>
      <w:bookmarkEnd w:id="240"/>
      <w:bookmarkEnd w:id="242"/>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1162"/>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募集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本期已使</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已累计使</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用募集资</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报告期内</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变更用途</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的募集资</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累计变更</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用途的募</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集资金总</w:t>
            </w:r>
          </w:p>
          <w:p>
            <w:pPr>
              <w:pStyle w:val="Style21"/>
              <w:keepNext w:val="0"/>
              <w:keepLines w:val="0"/>
              <w:widowControl w:val="0"/>
              <w:shd w:val="clear" w:color="auto" w:fill="auto"/>
              <w:bidi w:val="0"/>
              <w:spacing w:before="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累计变更</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用途的募</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集资金总</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尚未使用</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募集资金</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募投项目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建设实施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43,313.55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经中国证券监督管理委员会《关于核准东华软件股份公司非公开发行股票的批复》（证监许可</w:t>
            </w:r>
            <w:r>
              <w:rPr>
                <w:rFonts w:ascii="Times New Roman" w:eastAsia="Times New Roman" w:hAnsi="Times New Roman" w:cs="Times New Roman"/>
                <w:color w:val="000000"/>
                <w:spacing w:val="0"/>
                <w:w w:val="100"/>
                <w:position w:val="0"/>
                <w:sz w:val="18"/>
                <w:szCs w:val="18"/>
              </w:rPr>
              <w:t>[2020]2611</w:t>
            </w:r>
            <w:r>
              <w:rPr>
                <w:color w:val="000000"/>
                <w:spacing w:val="0"/>
                <w:w w:val="100"/>
                <w:position w:val="0"/>
              </w:rPr>
              <w:t>号）核准，公司 本次非公开发行人民币普通股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股，发行价格为每股人民币</w:t>
            </w:r>
            <w:r>
              <w:rPr>
                <w:rFonts w:ascii="Times New Roman" w:eastAsia="Times New Roman" w:hAnsi="Times New Roman" w:cs="Times New Roman"/>
                <w:color w:val="000000"/>
                <w:spacing w:val="0"/>
                <w:w w:val="100"/>
                <w:position w:val="0"/>
                <w:sz w:val="18"/>
                <w:szCs w:val="18"/>
              </w:rPr>
              <w:t>6.82</w:t>
            </w:r>
            <w:r>
              <w:rPr>
                <w:color w:val="000000"/>
                <w:spacing w:val="0"/>
                <w:w w:val="100"/>
                <w:position w:val="0"/>
              </w:rPr>
              <w:t>元，共计募集资金总额为</w:t>
            </w:r>
            <w:r>
              <w:rPr>
                <w:rFonts w:ascii="Times New Roman" w:eastAsia="Times New Roman" w:hAnsi="Times New Roman" w:cs="Times New Roman"/>
                <w:color w:val="000000"/>
                <w:spacing w:val="0"/>
                <w:w w:val="100"/>
                <w:position w:val="0"/>
                <w:sz w:val="18"/>
                <w:szCs w:val="18"/>
              </w:rPr>
              <w:t xml:space="preserve">613,800,000.00 </w:t>
            </w:r>
            <w:r>
              <w:rPr>
                <w:color w:val="000000"/>
                <w:spacing w:val="0"/>
                <w:w w:val="100"/>
                <w:position w:val="0"/>
              </w:rPr>
              <w:t>元，扣除发行费用（不含增值税）人民币</w:t>
            </w:r>
            <w:r>
              <w:rPr>
                <w:rFonts w:ascii="Times New Roman" w:eastAsia="Times New Roman" w:hAnsi="Times New Roman" w:cs="Times New Roman"/>
                <w:color w:val="000000"/>
                <w:spacing w:val="0"/>
                <w:w w:val="100"/>
                <w:position w:val="0"/>
                <w:sz w:val="18"/>
                <w:szCs w:val="18"/>
              </w:rPr>
              <w:t>8,405,160.14</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18"/>
                <w:szCs w:val="18"/>
              </w:rPr>
              <w:t>605,394,839.86</w:t>
            </w:r>
            <w:r>
              <w:rPr>
                <w:color w:val="000000"/>
                <w:spacing w:val="0"/>
                <w:w w:val="100"/>
                <w:position w:val="0"/>
              </w:rPr>
              <w:t>元。上述募集资 金的到位情况已经大华会计师事务所（特殊普通合伙）审验，并出具了《验资报告》（大华验字</w:t>
            </w:r>
            <w:r>
              <w:rPr>
                <w:rFonts w:ascii="Times New Roman" w:eastAsia="Times New Roman" w:hAnsi="Times New Roman" w:cs="Times New Roman"/>
                <w:color w:val="000000"/>
                <w:spacing w:val="0"/>
                <w:w w:val="100"/>
                <w:position w:val="0"/>
                <w:sz w:val="18"/>
                <w:szCs w:val="18"/>
              </w:rPr>
              <w:t>[2021]000672</w:t>
            </w:r>
            <w:r>
              <w:rPr>
                <w:color w:val="000000"/>
                <w:spacing w:val="0"/>
                <w:w w:val="100"/>
                <w:position w:val="0"/>
              </w:rPr>
              <w:t>号）予以确 认。公司已对上述募集资金实行专户存储，并与保荐机构、存放募集资金的商业银行签订了三方及四方监管协议。截止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年末，公司募集资金已使用</w:t>
            </w:r>
            <w:r>
              <w:rPr>
                <w:rFonts w:ascii="Times New Roman" w:eastAsia="Times New Roman" w:hAnsi="Times New Roman" w:cs="Times New Roman"/>
                <w:color w:val="000000"/>
                <w:spacing w:val="0"/>
                <w:w w:val="100"/>
                <w:position w:val="0"/>
                <w:sz w:val="18"/>
                <w:szCs w:val="18"/>
              </w:rPr>
              <w:t>17,500</w:t>
            </w:r>
            <w:r>
              <w:rPr>
                <w:color w:val="000000"/>
                <w:spacing w:val="0"/>
                <w:w w:val="100"/>
                <w:position w:val="0"/>
              </w:rPr>
              <w:t>万元，尚未使用</w:t>
            </w:r>
            <w:r>
              <w:rPr>
                <w:rFonts w:ascii="Times New Roman" w:eastAsia="Times New Roman" w:hAnsi="Times New Roman" w:cs="Times New Roman"/>
                <w:color w:val="000000"/>
                <w:spacing w:val="0"/>
                <w:w w:val="100"/>
                <w:position w:val="0"/>
                <w:sz w:val="18"/>
                <w:szCs w:val="18"/>
              </w:rPr>
              <w:t>43,313.55</w:t>
            </w:r>
            <w:r>
              <w:rPr>
                <w:color w:val="000000"/>
                <w:spacing w:val="0"/>
                <w:w w:val="100"/>
                <w:position w:val="0"/>
              </w:rPr>
              <w:t>万元（含累计收到的银行存款利息扣除银行手续费等的净额）。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3"/>
      <w:bookmarkEnd w:id="244"/>
      <w:bookmarkEnd w:id="246"/>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09"/>
        <w:gridCol w:w="710"/>
        <w:gridCol w:w="994"/>
        <w:gridCol w:w="850"/>
        <w:gridCol w:w="634"/>
        <w:gridCol w:w="782"/>
        <w:gridCol w:w="778"/>
        <w:gridCol w:w="922"/>
        <w:gridCol w:w="63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本报告</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期实现</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信创鹏霄项目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东华云都项目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157,202.37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80,253.87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339,584.84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99"/>
        <w:gridCol w:w="720"/>
        <w:gridCol w:w="994"/>
        <w:gridCol w:w="850"/>
        <w:gridCol w:w="634"/>
        <w:gridCol w:w="782"/>
        <w:gridCol w:w="778"/>
        <w:gridCol w:w="922"/>
        <w:gridCol w:w="63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339,584.84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未达到计划进度或预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计收益的情况和原因</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尚未使用的募集资金 用途及去向</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日，公司尚未使用募集资金</w:t>
            </w:r>
            <w:r>
              <w:rPr>
                <w:rFonts w:ascii="Times New Roman" w:eastAsia="Times New Roman" w:hAnsi="Times New Roman" w:cs="Times New Roman"/>
                <w:color w:val="000000"/>
                <w:spacing w:val="0"/>
                <w:w w:val="100"/>
                <w:position w:val="0"/>
                <w:sz w:val="18"/>
                <w:szCs w:val="18"/>
              </w:rPr>
              <w:t>43,313.55</w:t>
            </w:r>
            <w:r>
              <w:rPr>
                <w:color w:val="000000"/>
                <w:spacing w:val="0"/>
                <w:w w:val="100"/>
                <w:position w:val="0"/>
              </w:rPr>
              <w:t>万元存放于募集资金专户。</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0"/>
        <w:keepNext/>
        <w:keepLines/>
        <w:widowControl w:val="0"/>
        <w:numPr>
          <w:ilvl w:val="0"/>
          <w:numId w:val="3"/>
        </w:numPr>
        <w:shd w:val="clear" w:color="auto" w:fill="auto"/>
        <w:bidi w:val="0"/>
        <w:spacing w:before="0" w:line="240" w:lineRule="auto"/>
        <w:ind w:left="0" w:right="0" w:firstLine="0"/>
        <w:jc w:val="both"/>
      </w:pPr>
      <w:bookmarkStart w:id="247" w:name="bookmark247"/>
      <w:bookmarkStart w:id="248" w:name="bookmark248"/>
      <w:bookmarkStart w:id="249" w:name="bookmark249"/>
      <w:bookmarkStart w:id="250" w:name="bookmark250"/>
      <w:bookmarkEnd w:id="249"/>
      <w:r>
        <w:rPr>
          <w:color w:val="000000"/>
          <w:spacing w:val="0"/>
          <w:w w:val="100"/>
          <w:position w:val="0"/>
        </w:rPr>
        <w:t>募集资金变更项目情况</w:t>
      </w:r>
      <w:bookmarkEnd w:id="247"/>
      <w:bookmarkEnd w:id="248"/>
      <w:bookmarkEnd w:id="25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8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rPr>
        <w:t>八</w:t>
      </w:r>
      <w:bookmarkEnd w:id="253"/>
      <w:r>
        <w:rPr>
          <w:color w:val="000000"/>
          <w:spacing w:val="0"/>
          <w:w w:val="100"/>
          <w:position w:val="0"/>
        </w:rPr>
        <w:t>、重大资产和股权出售</w:t>
      </w:r>
      <w:bookmarkEnd w:id="251"/>
      <w:bookmarkEnd w:id="252"/>
      <w:bookmarkEnd w:id="254"/>
    </w:p>
    <w:p>
      <w:pPr>
        <w:pStyle w:val="Style29"/>
        <w:keepNext/>
        <w:keepLines/>
        <w:widowControl w:val="0"/>
        <w:shd w:val="clear" w:color="auto" w:fill="auto"/>
        <w:bidi w:val="0"/>
        <w:spacing w:before="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、出售重大资产情况</w:t>
      </w:r>
      <w:bookmarkEnd w:id="255"/>
      <w:bookmarkEnd w:id="256"/>
      <w:bookmarkEnd w:id="25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、出售重大股权情况</w:t>
      </w:r>
      <w:bookmarkEnd w:id="259"/>
      <w:bookmarkEnd w:id="260"/>
      <w:bookmarkEnd w:id="26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263" w:name="bookmark263"/>
      <w:bookmarkStart w:id="264" w:name="bookmark264"/>
      <w:bookmarkStart w:id="265" w:name="bookmark265"/>
      <w:bookmarkStart w:id="266" w:name="bookmark266"/>
      <w:r>
        <w:rPr>
          <w:color w:val="000000"/>
          <w:spacing w:val="0"/>
          <w:w w:val="100"/>
          <w:position w:val="0"/>
        </w:rPr>
        <w:t>九</w:t>
      </w:r>
      <w:bookmarkEnd w:id="265"/>
      <w:r>
        <w:rPr>
          <w:color w:val="000000"/>
          <w:spacing w:val="0"/>
          <w:w w:val="100"/>
          <w:position w:val="0"/>
        </w:rPr>
        <w:t>、主要控股参股公司分析</w:t>
      </w:r>
      <w:bookmarkEnd w:id="263"/>
      <w:bookmarkEnd w:id="264"/>
      <w:bookmarkEnd w:id="266"/>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850"/>
        <w:gridCol w:w="1699"/>
        <w:gridCol w:w="850"/>
        <w:gridCol w:w="994"/>
        <w:gridCol w:w="994"/>
        <w:gridCol w:w="994"/>
        <w:gridCol w:w="989"/>
        <w:gridCol w:w="9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北京东华合创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软件及信息技术服务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288,321.3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168,981.39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7,157.22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东华医为科技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软件及信息技术服务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83,070.41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30,329.51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13,733.35</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北京神州新桥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软件及信息技术服务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254,957.83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76,789.29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12,400.40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2698"/>
        <w:gridCol w:w="40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东华丝路科技有限公司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东华智云（光山县）科技有限公司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白银东华软件有限公司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武汉东华软件技术有限公司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青岛云初技术有限公司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东华总部（山东）软件有限公司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深圳东之华软件有限公司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根据公司战略规划进行布局，有利于公司长期发展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优化内部管理结构，降低管理成本，提高运营效率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北京国能智研信息科技有限公司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优化内部管理结构，降低管理成本，提高运营效率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东华智慧视频技术有限公司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优化内部管理结构，降低管理成本，提高运营效率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北京厚盾鸿远科技有限公司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优化内部管理结构，降低管理成本，提高运营效率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优化内部管理结构，降低管理成本，提高运营效率</w:t>
            </w:r>
          </w:p>
        </w:tc>
      </w:tr>
    </w:tbl>
    <w:tbl>
      <w:tblPr>
        <w:tblOverlap w:val="never"/>
        <w:jc w:val="center"/>
        <w:tblLayout w:type="fixed"/>
      </w:tblPr>
      <w:tblGrid>
        <w:gridCol w:w="2842"/>
        <w:gridCol w:w="2698"/>
        <w:gridCol w:w="404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优化内部管理结构，降低管理成本，提高运营效率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青岛云初科技股份有限公司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优化内部管理结构，降低管理成本，提高运营效率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北京金云汇科技术有限公司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优化内部管理结构，降低管理成本，提高运营效率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内部股权划转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进行资源整合，提高生产经营效率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贵州东华黔通云服务有限公司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内部股权划转</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进行资源整合，提高生产经营效率</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主要控股参股公司情况说明：无。</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r>
        <w:rPr>
          <w:color w:val="000000"/>
          <w:spacing w:val="0"/>
          <w:w w:val="100"/>
          <w:position w:val="0"/>
        </w:rPr>
        <w:t>十、公司控制的结构化主体情况</w:t>
      </w:r>
      <w:bookmarkEnd w:id="267"/>
      <w:bookmarkEnd w:id="268"/>
      <w:bookmarkEnd w:id="269"/>
    </w:p>
    <w:p>
      <w:pPr>
        <w:pStyle w:val="Style1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270" w:name="bookmark270"/>
      <w:bookmarkStart w:id="271" w:name="bookmark271"/>
      <w:bookmarkStart w:id="272" w:name="bookmark272"/>
      <w:r>
        <w:rPr>
          <w:color w:val="000000"/>
          <w:spacing w:val="0"/>
          <w:w w:val="100"/>
          <w:position w:val="0"/>
        </w:rPr>
        <w:t>十一、公司未来发展的展望</w:t>
      </w:r>
      <w:bookmarkEnd w:id="270"/>
      <w:bookmarkEnd w:id="271"/>
      <w:bookmarkEnd w:id="272"/>
    </w:p>
    <w:p>
      <w:pPr>
        <w:pStyle w:val="Style18"/>
        <w:keepNext w:val="0"/>
        <w:keepLines w:val="0"/>
        <w:widowControl w:val="0"/>
        <w:shd w:val="clear" w:color="auto" w:fill="auto"/>
        <w:bidi w:val="0"/>
        <w:spacing w:before="0" w:after="120" w:line="311" w:lineRule="exact"/>
        <w:ind w:left="0" w:right="0" w:firstLine="380"/>
        <w:jc w:val="both"/>
      </w:pPr>
      <w:bookmarkStart w:id="273" w:name="bookmark273"/>
      <w:r>
        <w:rPr>
          <w:b/>
          <w:bCs/>
          <w:color w:val="000000"/>
          <w:spacing w:val="0"/>
          <w:w w:val="100"/>
          <w:position w:val="0"/>
        </w:rPr>
        <w:t>（</w:t>
      </w:r>
      <w:bookmarkEnd w:id="273"/>
      <w:r>
        <w:rPr>
          <w:b/>
          <w:bCs/>
          <w:color w:val="000000"/>
          <w:spacing w:val="0"/>
          <w:w w:val="100"/>
          <w:position w:val="0"/>
        </w:rPr>
        <w:t>一）公司发展战略</w:t>
      </w:r>
    </w:p>
    <w:p>
      <w:pPr>
        <w:pStyle w:val="Style18"/>
        <w:keepNext w:val="0"/>
        <w:keepLines w:val="0"/>
        <w:widowControl w:val="0"/>
        <w:shd w:val="clear" w:color="auto" w:fill="auto"/>
        <w:bidi w:val="0"/>
        <w:spacing w:before="0" w:after="240" w:line="314" w:lineRule="exact"/>
        <w:ind w:left="0" w:right="0" w:firstLine="500"/>
        <w:jc w:val="both"/>
      </w:pPr>
      <w:r>
        <w:rPr>
          <w:color w:val="000000"/>
          <w:spacing w:val="0"/>
          <w:w w:val="100"/>
          <w:position w:val="0"/>
        </w:rPr>
        <w:t>公司将围绕国家发展大局，响应和顺应国家关键核心技术创新，按照国家、地方、细分行业数字经济十四五蓝图，围 绕双循环、新基建和产业优化升级，继续聚焦大数据、人工智能、物联网、元宇宙等关键数字技术领域与行业场景深度融合 发力创新，发展数字化经济。继续加大在人工智能、大数据、元宇宙、物联网、云计算、区块链等新兴技术的产品研发与应 用创新的投入，持续为客户提供优质的产品和解决方案。</w:t>
      </w:r>
    </w:p>
    <w:p>
      <w:pPr>
        <w:pStyle w:val="Style18"/>
        <w:keepNext w:val="0"/>
        <w:keepLines w:val="0"/>
        <w:widowControl w:val="0"/>
        <w:shd w:val="clear" w:color="auto" w:fill="auto"/>
        <w:bidi w:val="0"/>
        <w:spacing w:before="0" w:after="0" w:line="360" w:lineRule="auto"/>
        <w:ind w:left="0" w:right="0" w:firstLine="380"/>
        <w:jc w:val="both"/>
      </w:pPr>
      <w:bookmarkStart w:id="274" w:name="bookmark274"/>
      <w:r>
        <w:rPr>
          <w:rFonts w:ascii="Times New Roman" w:eastAsia="Times New Roman" w:hAnsi="Times New Roman" w:cs="Times New Roman"/>
          <w:b/>
          <w:bCs/>
          <w:color w:val="000000"/>
          <w:spacing w:val="0"/>
          <w:w w:val="100"/>
          <w:position w:val="0"/>
          <w:sz w:val="18"/>
          <w:szCs w:val="18"/>
        </w:rPr>
        <w:t>1</w:t>
      </w:r>
      <w:bookmarkEnd w:id="274"/>
      <w:r>
        <w:rPr>
          <w:b/>
          <w:bCs/>
          <w:color w:val="000000"/>
          <w:spacing w:val="0"/>
          <w:w w:val="100"/>
          <w:position w:val="0"/>
        </w:rPr>
        <w:t>、医疗行业</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随着全球加速迈进数字化发展快车道，以数字化、网络化、智能化为特征的网络通信技术加速融入和改变人们的生产生 活方式，正在驱动传统的医疗卫生服务向数字健康发展阶段迈进。</w:t>
      </w:r>
    </w:p>
    <w:p>
      <w:pPr>
        <w:pStyle w:val="Style18"/>
        <w:keepNext w:val="0"/>
        <w:keepLines w:val="0"/>
        <w:widowControl w:val="0"/>
        <w:shd w:val="clear" w:color="auto" w:fill="auto"/>
        <w:bidi w:val="0"/>
        <w:spacing w:before="0" w:after="240" w:line="311" w:lineRule="exact"/>
        <w:ind w:left="0" w:right="0" w:firstLine="380"/>
        <w:jc w:val="both"/>
      </w:pPr>
      <w:r>
        <w:rPr>
          <w:color w:val="000000"/>
          <w:spacing w:val="0"/>
          <w:w w:val="100"/>
          <w:position w:val="0"/>
        </w:rPr>
        <w:t>面对医疗健康行业的新变化、新趋势，东华医为始终坚持技术创新、产品创新、业务模式创新的发展路径，紧抓国家对 健康医疗和信创产业利好政策不断加码的历史性机遇，综合运用云、人工智能、物联网、数字挛生等多种技术，助推医疗行 业数字化转型升级。医疗行业的高质量发展要求对下一阶段的信息化建设提出了新的挑战，东华医为利用</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提供 的核心能力与技术支撑体系，重构医院信息系统架构，能有效支持行业的全面数字化转型。东华医为的</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技术架 构，全面采用云原生技术体系，可为医院及医疗行业的数字化建设打下坚实的基础。</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的新型技术架构对重塑下 一代数字化医疗产品意义重大，随着医疗行业信息化的发展，</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可重用、可持续改进的建设理念能够不断发扬， 业务创新与系统涌现性将不断出现。在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期间，东华医为将继续以</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等解决方案为依托，推动一系列新业 务、新产品在全国落地，为医疗行业数字化升级持续赋能。</w:t>
      </w:r>
    </w:p>
    <w:p>
      <w:pPr>
        <w:pStyle w:val="Style18"/>
        <w:keepNext w:val="0"/>
        <w:keepLines w:val="0"/>
        <w:widowControl w:val="0"/>
        <w:shd w:val="clear" w:color="auto" w:fill="auto"/>
        <w:bidi w:val="0"/>
        <w:spacing w:before="0" w:after="0" w:line="360" w:lineRule="auto"/>
        <w:ind w:left="0" w:right="0" w:firstLine="500"/>
        <w:jc w:val="both"/>
      </w:pPr>
      <w:bookmarkStart w:id="275" w:name="bookmark275"/>
      <w:r>
        <w:rPr>
          <w:rFonts w:ascii="Times New Roman" w:eastAsia="Times New Roman" w:hAnsi="Times New Roman" w:cs="Times New Roman"/>
          <w:b/>
          <w:bCs/>
          <w:color w:val="000000"/>
          <w:spacing w:val="0"/>
          <w:w w:val="100"/>
          <w:position w:val="0"/>
          <w:sz w:val="18"/>
          <w:szCs w:val="18"/>
        </w:rPr>
        <w:t>2</w:t>
      </w:r>
      <w:bookmarkEnd w:id="275"/>
      <w:r>
        <w:rPr>
          <w:b/>
          <w:bCs/>
          <w:color w:val="000000"/>
          <w:spacing w:val="0"/>
          <w:w w:val="100"/>
          <w:position w:val="0"/>
        </w:rPr>
        <w:t>、能源行业</w:t>
      </w:r>
    </w:p>
    <w:p>
      <w:pPr>
        <w:pStyle w:val="Style18"/>
        <w:keepNext w:val="0"/>
        <w:keepLines w:val="0"/>
        <w:widowControl w:val="0"/>
        <w:shd w:val="clear" w:color="auto" w:fill="auto"/>
        <w:bidi w:val="0"/>
        <w:spacing w:before="0" w:after="0" w:line="308" w:lineRule="exact"/>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时期，能源数字经济相关技术发展与融合应用将呈加速趋势，随着国家能源数字新基建相关规划、投融资等 利好政策的强力支持，预期智慧能源服务市场将快速扩张，为经济持续复苏和安全绿色高质量发展提供有力的支撑。具体来 看，全社会能源生产、加工转换、储存、流通、消费等环节都有越来越大的智慧能源服务市场需求；智慧城市、智慧园区、 智慧工厂、智慧楼宇、智慧能源基地等的建设，将共同贡献智慧能源服务市场的重大需求。此外，在公共领域，各级政府能 源治理的数字化、现代化建设将加速推进，也将为智慧能源服务市场带来现实的增量投资需求。综合能源系统建设和运维服 务、能源交易和金融服务等细分市场均有增量发展空间，产业发展前景广阔。</w:t>
      </w:r>
    </w:p>
    <w:p>
      <w:pPr>
        <w:pStyle w:val="Style18"/>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未来，东华博泰将继续专注于为能源电力产业提供权威专业的设计咨询、高价值算法和平台化集成服务，搭建多赢合作 的新型工业互联网大数据生态体系，成为碳中和智慧大脑建设的引领者。进一步为供能侧、输能侧、用能侧、治理侧联接与 发电、用电相关的设备，通过对设备数据的采集、清洗、治理、存储、分析、建模等方式，综合运用大数据分析、人工智能、 数字挛生等新技术手段，为供能侧、输能侧、用能侧、治理侧用户提供技术服务，增质提效、节能降耗，减少碳排放。</w:t>
      </w:r>
    </w:p>
    <w:p>
      <w:pPr>
        <w:pStyle w:val="Style18"/>
        <w:keepNext w:val="0"/>
        <w:keepLines w:val="0"/>
        <w:widowControl w:val="0"/>
        <w:shd w:val="clear" w:color="auto" w:fill="auto"/>
        <w:bidi w:val="0"/>
        <w:spacing w:before="0" w:after="240" w:line="311"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年，东华博泰将主要在以下两个市场发力：</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在供能侧，随着清洁能源（风光水核储）在能源构成占比的稳步提高，将提高对能源调配软件的依赖性；另外传统发电 大户火电行业也急需大规模改造来提质增效，也离不开能源工业互联网平台的建设。以上的需求增长都为东华博泰彰显企业 价值提供了很好的舞台；</w:t>
      </w:r>
    </w:p>
    <w:p>
      <w:pPr>
        <w:pStyle w:val="Style18"/>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在用能侧，东华博泰将为更广大的工商用户，通过提高用电设备效率、增加自备新能源比例、储能（多能互补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峰谷电 价差等）等一些列技术手段，帮助其实现显著的节能降耗。</w:t>
      </w:r>
    </w:p>
    <w:p>
      <w:pPr>
        <w:pStyle w:val="Style18"/>
        <w:keepNext w:val="0"/>
        <w:keepLines w:val="0"/>
        <w:widowControl w:val="0"/>
        <w:shd w:val="clear" w:color="auto" w:fill="auto"/>
        <w:tabs>
          <w:tab w:pos="778" w:val="left"/>
        </w:tabs>
        <w:bidi w:val="0"/>
        <w:spacing w:before="0" w:after="0" w:line="360" w:lineRule="auto"/>
        <w:ind w:left="0" w:right="0" w:firstLine="480"/>
        <w:jc w:val="both"/>
      </w:pPr>
      <w:bookmarkStart w:id="276" w:name="bookmark276"/>
      <w:r>
        <w:rPr>
          <w:rFonts w:ascii="Times New Roman" w:eastAsia="Times New Roman" w:hAnsi="Times New Roman" w:cs="Times New Roman"/>
          <w:b/>
          <w:bCs/>
          <w:color w:val="000000"/>
          <w:spacing w:val="0"/>
          <w:w w:val="100"/>
          <w:position w:val="0"/>
          <w:sz w:val="18"/>
          <w:szCs w:val="18"/>
        </w:rPr>
        <w:t>3</w:t>
      </w:r>
      <w:bookmarkEnd w:id="276"/>
      <w:r>
        <w:rPr>
          <w:b/>
          <w:bCs/>
          <w:color w:val="000000"/>
          <w:spacing w:val="0"/>
          <w:w w:val="100"/>
          <w:position w:val="0"/>
        </w:rPr>
        <w:t>、</w:t>
        <w:tab/>
        <w:t>金融行业</w:t>
      </w:r>
    </w:p>
    <w:p>
      <w:pPr>
        <w:pStyle w:val="Style18"/>
        <w:keepNext w:val="0"/>
        <w:keepLines w:val="0"/>
        <w:widowControl w:val="0"/>
        <w:shd w:val="clear" w:color="auto" w:fill="auto"/>
        <w:bidi w:val="0"/>
        <w:spacing w:before="0" w:line="322"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工欲善其事，必先利其器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年完善基础支撑平台和数据开发平台的基础上，落地低代码开发平台，为快速适应 监管变化和需求迭代夯实基础。</w:t>
      </w:r>
    </w:p>
    <w:p>
      <w:pPr>
        <w:pStyle w:val="Style18"/>
        <w:keepNext w:val="0"/>
        <w:keepLines w:val="0"/>
        <w:widowControl w:val="0"/>
        <w:shd w:val="clear" w:color="auto" w:fill="auto"/>
        <w:bidi w:val="0"/>
        <w:spacing w:before="0" w:after="220" w:line="315" w:lineRule="exact"/>
        <w:ind w:left="0" w:right="0" w:firstLine="480"/>
        <w:jc w:val="both"/>
      </w:pPr>
      <w:r>
        <w:rPr>
          <w:color w:val="000000"/>
          <w:spacing w:val="0"/>
          <w:w w:val="100"/>
          <w:position w:val="0"/>
        </w:rPr>
        <w:t>技术的产品化必然导致部门人员结构的重塑，把部分</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工程师从技术重复的</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中释放出来，更关注业务分析，培 养成市场上最有竞争力的业务分析师和数据分析师；把客户化中前后端对接联调、增删改查开发中释放出来，关注需求本身， 开发复杂逻辑配置简单功能。与此同时，围绕征信及征信周边逐步完善整体解决方案，形成解决方案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业务的产品化的新模 式，业务产品化必然导致方案和产品竞争力增强，人员的重复工作的减少，有助于提高单位的产出和高素质人员的培养。</w:t>
      </w:r>
    </w:p>
    <w:p>
      <w:pPr>
        <w:pStyle w:val="Style18"/>
        <w:keepNext w:val="0"/>
        <w:keepLines w:val="0"/>
        <w:widowControl w:val="0"/>
        <w:shd w:val="clear" w:color="auto" w:fill="auto"/>
        <w:tabs>
          <w:tab w:pos="778" w:val="left"/>
        </w:tabs>
        <w:bidi w:val="0"/>
        <w:spacing w:before="0" w:after="0" w:line="360" w:lineRule="auto"/>
        <w:ind w:left="0" w:right="0" w:firstLine="480"/>
        <w:jc w:val="both"/>
      </w:pPr>
      <w:bookmarkStart w:id="277" w:name="bookmark277"/>
      <w:r>
        <w:rPr>
          <w:rFonts w:ascii="Times New Roman" w:eastAsia="Times New Roman" w:hAnsi="Times New Roman" w:cs="Times New Roman"/>
          <w:b/>
          <w:bCs/>
          <w:color w:val="000000"/>
          <w:spacing w:val="0"/>
          <w:w w:val="100"/>
          <w:position w:val="0"/>
          <w:sz w:val="18"/>
          <w:szCs w:val="18"/>
        </w:rPr>
        <w:t>4</w:t>
      </w:r>
      <w:bookmarkEnd w:id="277"/>
      <w:r>
        <w:rPr>
          <w:b/>
          <w:bCs/>
          <w:color w:val="000000"/>
          <w:spacing w:val="0"/>
          <w:w w:val="100"/>
          <w:position w:val="0"/>
        </w:rPr>
        <w:t>、</w:t>
        <w:tab/>
        <w:t>水利行业</w:t>
      </w:r>
    </w:p>
    <w:p>
      <w:pPr>
        <w:pStyle w:val="Style18"/>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深化在数字挛生、人工智能、物联网、云计算、区块链等新兴技术的产品研发与应用创新，持续为水利水务客户提供 优质的产品和解决方案，巩固在水利水务行业的领先地位。强化与拓展在智慧水利水务行业的竞争优势，优化与创新数字挛 生、云计算、大数据、人工智能、区块链等新兴技术在水利水务核心产品与服务中的应用，实现公司综合竞争力的可持续发 展。积极拓展与华为在水利项目的战略布局与市场应用，加深与腾讯在智慧水利领域的紧密战略合作，在产学研结合上与中 国水科院、河海大学、西安理工大学、太原理工大学等建立合作关系，积极转化科研成果，形成最新产品。通过充分发挥自 身与合作伙伴的技术互补和协同效应，全面提升企业在行业内的综合竞争力。依托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技术创新、产品创新、科技创新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 战略，整合优势资源、加大研发力量、培养人才队伍、完善企业激励约束机制，致力打造智慧水利、智慧水务等具有市场竞 争力的自主产品。</w:t>
      </w:r>
    </w:p>
    <w:p>
      <w:pPr>
        <w:pStyle w:val="Style18"/>
        <w:keepNext w:val="0"/>
        <w:keepLines w:val="0"/>
        <w:widowControl w:val="0"/>
        <w:shd w:val="clear" w:color="auto" w:fill="auto"/>
        <w:tabs>
          <w:tab w:pos="778" w:val="left"/>
        </w:tabs>
        <w:bidi w:val="0"/>
        <w:spacing w:before="0" w:after="0" w:line="360" w:lineRule="auto"/>
        <w:ind w:left="0" w:right="0" w:firstLine="480"/>
        <w:jc w:val="both"/>
      </w:pPr>
      <w:bookmarkStart w:id="278" w:name="bookmark278"/>
      <w:r>
        <w:rPr>
          <w:rFonts w:ascii="Times New Roman" w:eastAsia="Times New Roman" w:hAnsi="Times New Roman" w:cs="Times New Roman"/>
          <w:b/>
          <w:bCs/>
          <w:color w:val="000000"/>
          <w:spacing w:val="0"/>
          <w:w w:val="100"/>
          <w:position w:val="0"/>
          <w:sz w:val="18"/>
          <w:szCs w:val="18"/>
        </w:rPr>
        <w:t>5</w:t>
      </w:r>
      <w:bookmarkEnd w:id="278"/>
      <w:r>
        <w:rPr>
          <w:b/>
          <w:bCs/>
          <w:color w:val="000000"/>
          <w:spacing w:val="0"/>
          <w:w w:val="100"/>
          <w:position w:val="0"/>
        </w:rPr>
        <w:t>、</w:t>
        <w:tab/>
        <w:t>数字基础建设</w:t>
      </w:r>
    </w:p>
    <w:p>
      <w:pPr>
        <w:pStyle w:val="Style18"/>
        <w:keepNext w:val="0"/>
        <w:keepLines w:val="0"/>
        <w:widowControl w:val="0"/>
        <w:shd w:val="clear" w:color="auto" w:fill="auto"/>
        <w:bidi w:val="0"/>
        <w:spacing w:before="0" w:after="220" w:line="319" w:lineRule="exact"/>
        <w:ind w:left="0" w:right="0" w:firstLine="4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年公司将继续积聚集团的实力，以数字基础建设总承包为发展核心，以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服务社会、自主创新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为发展理念，充分 开展好数字基础建设总承包业务，积极展示数字基础建设总承包商的价值，有信心、有决心、有能力成为数字基础建设产业 高质量发展的新势力。</w:t>
      </w:r>
    </w:p>
    <w:p>
      <w:pPr>
        <w:pStyle w:val="Style18"/>
        <w:keepNext w:val="0"/>
        <w:keepLines w:val="0"/>
        <w:widowControl w:val="0"/>
        <w:shd w:val="clear" w:color="auto" w:fill="auto"/>
        <w:tabs>
          <w:tab w:pos="778" w:val="left"/>
        </w:tabs>
        <w:bidi w:val="0"/>
        <w:spacing w:before="0" w:after="0" w:line="360" w:lineRule="auto"/>
        <w:ind w:left="0" w:right="0" w:firstLine="480"/>
        <w:jc w:val="both"/>
      </w:pPr>
      <w:bookmarkStart w:id="279" w:name="bookmark279"/>
      <w:r>
        <w:rPr>
          <w:rFonts w:ascii="Times New Roman" w:eastAsia="Times New Roman" w:hAnsi="Times New Roman" w:cs="Times New Roman"/>
          <w:b/>
          <w:bCs/>
          <w:color w:val="000000"/>
          <w:spacing w:val="0"/>
          <w:w w:val="100"/>
          <w:position w:val="0"/>
          <w:sz w:val="18"/>
          <w:szCs w:val="18"/>
        </w:rPr>
        <w:t>6</w:t>
      </w:r>
      <w:bookmarkEnd w:id="279"/>
      <w:r>
        <w:rPr>
          <w:b/>
          <w:bCs/>
          <w:color w:val="000000"/>
          <w:spacing w:val="0"/>
          <w:w w:val="100"/>
          <w:position w:val="0"/>
        </w:rPr>
        <w:t>、</w:t>
        <w:tab/>
        <w:t>东华工业</w:t>
      </w:r>
      <w:r>
        <w:rPr>
          <w:rFonts w:ascii="Times New Roman" w:eastAsia="Times New Roman" w:hAnsi="Times New Roman" w:cs="Times New Roman"/>
          <w:b/>
          <w:bCs/>
          <w:color w:val="000000"/>
          <w:spacing w:val="0"/>
          <w:w w:val="100"/>
          <w:position w:val="0"/>
          <w:sz w:val="18"/>
          <w:szCs w:val="18"/>
        </w:rPr>
        <w:t>4.0</w:t>
      </w:r>
      <w:r>
        <w:rPr>
          <w:b/>
          <w:bCs/>
          <w:color w:val="000000"/>
          <w:spacing w:val="0"/>
          <w:w w:val="100"/>
          <w:position w:val="0"/>
        </w:rPr>
        <w:t>研究院</w:t>
      </w:r>
    </w:p>
    <w:p>
      <w:pPr>
        <w:pStyle w:val="Style18"/>
        <w:keepNext w:val="0"/>
        <w:keepLines w:val="0"/>
        <w:widowControl w:val="0"/>
        <w:shd w:val="clear" w:color="auto" w:fill="auto"/>
        <w:bidi w:val="0"/>
        <w:spacing w:before="0" w:line="317" w:lineRule="exact"/>
        <w:ind w:left="0" w:right="0" w:firstLine="380"/>
        <w:jc w:val="both"/>
      </w:pPr>
      <w:r>
        <w:rPr>
          <w:color w:val="000000"/>
          <w:spacing w:val="0"/>
          <w:w w:val="100"/>
          <w:position w:val="0"/>
        </w:rPr>
        <w:t>未来继续依托国家对工业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、工业互联网和中国制造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的相关政策支持，采用物联网</w:t>
      </w:r>
      <w:r>
        <w:rPr>
          <w:rFonts w:ascii="Times New Roman" w:eastAsia="Times New Roman" w:hAnsi="Times New Roman" w:cs="Times New Roman"/>
          <w:color w:val="000000"/>
          <w:spacing w:val="0"/>
          <w:w w:val="100"/>
          <w:position w:val="0"/>
          <w:sz w:val="18"/>
          <w:szCs w:val="18"/>
        </w:rPr>
        <w:t>IoT/5G</w:t>
      </w:r>
      <w:r>
        <w:rPr>
          <w:color w:val="000000"/>
          <w:spacing w:val="0"/>
          <w:w w:val="100"/>
          <w:position w:val="0"/>
        </w:rPr>
        <w:t>、</w:t>
      </w:r>
      <w:r>
        <w:rPr>
          <w:color w:val="000000"/>
          <w:spacing w:val="0"/>
          <w:w w:val="100"/>
          <w:position w:val="0"/>
        </w:rPr>
        <w:t>工业云计算、工业大 数据、工业</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、边缘计算、数字挛生、人工智能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虚拟现实等诸多高新尖端技术，在智慧城市、智 慧制造、智慧能源、智能建筑、智慧景区、智慧博物馆、智慧园区、智慧矿山、智慧监狱、智慧水务、智慧医院、智慧消防 等领域获得更多的中标项目机会。</w:t>
      </w:r>
    </w:p>
    <w:p>
      <w:pPr>
        <w:pStyle w:val="Style18"/>
        <w:keepNext w:val="0"/>
        <w:keepLines w:val="0"/>
        <w:widowControl w:val="0"/>
        <w:shd w:val="clear" w:color="auto" w:fill="auto"/>
        <w:bidi w:val="0"/>
        <w:spacing w:before="0" w:after="220" w:line="312" w:lineRule="exact"/>
        <w:ind w:left="0" w:right="0" w:firstLine="380"/>
        <w:jc w:val="both"/>
      </w:pPr>
      <w:bookmarkStart w:id="280" w:name="bookmark280"/>
      <w:r>
        <w:rPr>
          <w:b/>
          <w:bCs/>
          <w:color w:val="000000"/>
          <w:spacing w:val="0"/>
          <w:w w:val="100"/>
          <w:position w:val="0"/>
        </w:rPr>
        <w:t>（</w:t>
      </w:r>
      <w:bookmarkEnd w:id="280"/>
      <w:r>
        <w:rPr>
          <w:b/>
          <w:bCs/>
          <w:color w:val="000000"/>
          <w:spacing w:val="0"/>
          <w:w w:val="100"/>
          <w:position w:val="0"/>
        </w:rPr>
        <w:t>二）公司面临的风险和应对措施</w:t>
      </w:r>
    </w:p>
    <w:p>
      <w:pPr>
        <w:pStyle w:val="Style18"/>
        <w:keepNext w:val="0"/>
        <w:keepLines w:val="0"/>
        <w:widowControl w:val="0"/>
        <w:shd w:val="clear" w:color="auto" w:fill="auto"/>
        <w:tabs>
          <w:tab w:pos="759" w:val="left"/>
        </w:tabs>
        <w:bidi w:val="0"/>
        <w:spacing w:before="0" w:after="0" w:line="360" w:lineRule="auto"/>
        <w:ind w:left="0" w:right="0" w:firstLine="480"/>
        <w:jc w:val="both"/>
      </w:pPr>
      <w:bookmarkStart w:id="281" w:name="bookmark281"/>
      <w:r>
        <w:rPr>
          <w:rFonts w:ascii="Times New Roman" w:eastAsia="Times New Roman" w:hAnsi="Times New Roman" w:cs="Times New Roman"/>
          <w:b/>
          <w:bCs/>
          <w:color w:val="000000"/>
          <w:spacing w:val="0"/>
          <w:w w:val="100"/>
          <w:position w:val="0"/>
          <w:sz w:val="18"/>
          <w:szCs w:val="18"/>
        </w:rPr>
        <w:t>1</w:t>
      </w:r>
      <w:bookmarkEnd w:id="281"/>
      <w:r>
        <w:rPr>
          <w:b/>
          <w:bCs/>
          <w:color w:val="000000"/>
          <w:spacing w:val="0"/>
          <w:w w:val="100"/>
          <w:position w:val="0"/>
        </w:rPr>
        <w:t>、</w:t>
        <w:tab/>
        <w:t>市场竞争风险</w:t>
      </w:r>
    </w:p>
    <w:p>
      <w:pPr>
        <w:pStyle w:val="Style18"/>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软件和信息技术服务业是成熟且竞争激烈的行业，尽管公司具有在业内多年来一直保持的领先优势，但仍面临行业竞 争加剧的风险。公司将加强了精细化管理水平，进行部门改革升级，进一步激发业务动能。不断加大在人工智能、大数据、 元宇宙等关键技术领域创新力度，不断创造创新好产品，开展新的业务布局和技术布局，为客户提供全方位整理解决方案服 务，提高服务效率，提升客户体验，进一步增强公司竞争力。</w:t>
      </w:r>
    </w:p>
    <w:p>
      <w:pPr>
        <w:pStyle w:val="Style18"/>
        <w:keepNext w:val="0"/>
        <w:keepLines w:val="0"/>
        <w:widowControl w:val="0"/>
        <w:shd w:val="clear" w:color="auto" w:fill="auto"/>
        <w:tabs>
          <w:tab w:pos="774" w:val="left"/>
        </w:tabs>
        <w:bidi w:val="0"/>
        <w:spacing w:before="0" w:after="40" w:line="360" w:lineRule="auto"/>
        <w:ind w:left="0" w:right="0" w:firstLine="480"/>
        <w:jc w:val="both"/>
      </w:pPr>
      <w:bookmarkStart w:id="282" w:name="bookmark282"/>
      <w:r>
        <w:rPr>
          <w:rFonts w:ascii="Times New Roman" w:eastAsia="Times New Roman" w:hAnsi="Times New Roman" w:cs="Times New Roman"/>
          <w:b/>
          <w:bCs/>
          <w:color w:val="000000"/>
          <w:spacing w:val="0"/>
          <w:w w:val="100"/>
          <w:position w:val="0"/>
          <w:sz w:val="18"/>
          <w:szCs w:val="18"/>
        </w:rPr>
        <w:t>2</w:t>
      </w:r>
      <w:bookmarkEnd w:id="282"/>
      <w:r>
        <w:rPr>
          <w:b/>
          <w:bCs/>
          <w:color w:val="000000"/>
          <w:spacing w:val="0"/>
          <w:w w:val="100"/>
          <w:position w:val="0"/>
        </w:rPr>
        <w:t>、</w:t>
        <w:tab/>
        <w:t>政策风险</w:t>
      </w:r>
    </w:p>
    <w:p>
      <w:pPr>
        <w:pStyle w:val="Style18"/>
        <w:keepNext w:val="0"/>
        <w:keepLines w:val="0"/>
        <w:widowControl w:val="0"/>
        <w:shd w:val="clear" w:color="auto" w:fill="auto"/>
        <w:bidi w:val="0"/>
        <w:spacing w:before="0" w:after="260" w:line="307" w:lineRule="exact"/>
        <w:ind w:left="0" w:right="0" w:firstLine="480"/>
        <w:jc w:val="both"/>
      </w:pPr>
      <w:r>
        <w:rPr>
          <w:color w:val="000000"/>
          <w:spacing w:val="0"/>
          <w:w w:val="100"/>
          <w:position w:val="0"/>
        </w:rPr>
        <w:t xml:space="preserve">国家相关政策的调整和变化会给公司业务开展带来一定的影响。公司将充分利用目前良好的信息产业政策环境，积极 关注国家政策变化，适时调整发展战略，响应和顺应国家关键核心技术创新，不断加大创新力度，快自身的发展速度，，更 </w:t>
      </w:r>
      <w:r>
        <w:rPr>
          <w:color w:val="000000"/>
          <w:spacing w:val="0"/>
          <w:w w:val="100"/>
          <w:position w:val="0"/>
        </w:rPr>
        <w:t>好的应对风险，进一步巩固公司在各领域的领先地位。</w:t>
      </w:r>
    </w:p>
    <w:p>
      <w:pPr>
        <w:pStyle w:val="Style18"/>
        <w:keepNext w:val="0"/>
        <w:keepLines w:val="0"/>
        <w:widowControl w:val="0"/>
        <w:shd w:val="clear" w:color="auto" w:fill="auto"/>
        <w:tabs>
          <w:tab w:pos="786" w:val="left"/>
        </w:tabs>
        <w:bidi w:val="0"/>
        <w:spacing w:before="0" w:after="40" w:line="360" w:lineRule="auto"/>
        <w:ind w:left="0" w:right="0" w:firstLine="480"/>
        <w:jc w:val="both"/>
      </w:pPr>
      <w:bookmarkStart w:id="283" w:name="bookmark283"/>
      <w:r>
        <w:rPr>
          <w:rFonts w:ascii="Times New Roman" w:eastAsia="Times New Roman" w:hAnsi="Times New Roman" w:cs="Times New Roman"/>
          <w:b/>
          <w:bCs/>
          <w:color w:val="000000"/>
          <w:spacing w:val="0"/>
          <w:w w:val="100"/>
          <w:position w:val="0"/>
          <w:sz w:val="18"/>
          <w:szCs w:val="18"/>
        </w:rPr>
        <w:t>3</w:t>
      </w:r>
      <w:bookmarkEnd w:id="283"/>
      <w:r>
        <w:rPr>
          <w:b/>
          <w:bCs/>
          <w:color w:val="000000"/>
          <w:spacing w:val="0"/>
          <w:w w:val="100"/>
          <w:position w:val="0"/>
        </w:rPr>
        <w:t>、</w:t>
        <w:tab/>
        <w:t>技术风险</w:t>
      </w:r>
    </w:p>
    <w:p>
      <w:pPr>
        <w:pStyle w:val="Style18"/>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软件和信息技术服务业属于技术更新快、升级频繁的行业，新技术以及新技术产生的新商业模式，需要长期持续的研 究和创新，这对公司的市场开拓、技术储备和人才储备带来一定挑战。公司将加大技术研发投入、技术储备和人才引进，提 升对新技术的应对能力。公司需要及时、准确把握行业、技术、产品发展趋势，坚持创新驱动，持续深入加大研发投入，加 大行业前瞻性研究及产品规划，根据市场最新变化趋势和客户需求提出更优质的产品和解决方案，保障产品在市场上的竞争 优势。</w:t>
      </w:r>
    </w:p>
    <w:p>
      <w:pPr>
        <w:pStyle w:val="Style18"/>
        <w:keepNext w:val="0"/>
        <w:keepLines w:val="0"/>
        <w:widowControl w:val="0"/>
        <w:shd w:val="clear" w:color="auto" w:fill="auto"/>
        <w:tabs>
          <w:tab w:pos="781" w:val="left"/>
        </w:tabs>
        <w:bidi w:val="0"/>
        <w:spacing w:before="0" w:after="40" w:line="360" w:lineRule="auto"/>
        <w:ind w:left="0" w:right="0" w:firstLine="480"/>
        <w:jc w:val="both"/>
      </w:pPr>
      <w:bookmarkStart w:id="284" w:name="bookmark284"/>
      <w:r>
        <w:rPr>
          <w:rFonts w:ascii="Times New Roman" w:eastAsia="Times New Roman" w:hAnsi="Times New Roman" w:cs="Times New Roman"/>
          <w:b/>
          <w:bCs/>
          <w:color w:val="000000"/>
          <w:spacing w:val="0"/>
          <w:w w:val="100"/>
          <w:position w:val="0"/>
          <w:sz w:val="18"/>
          <w:szCs w:val="18"/>
        </w:rPr>
        <w:t>4</w:t>
      </w:r>
      <w:bookmarkEnd w:id="284"/>
      <w:r>
        <w:rPr>
          <w:b/>
          <w:bCs/>
          <w:color w:val="000000"/>
          <w:spacing w:val="0"/>
          <w:w w:val="100"/>
          <w:position w:val="0"/>
        </w:rPr>
        <w:t>、</w:t>
        <w:tab/>
        <w:t>业务创新风险</w:t>
      </w:r>
    </w:p>
    <w:p>
      <w:pPr>
        <w:pStyle w:val="Style18"/>
        <w:keepNext w:val="0"/>
        <w:keepLines w:val="0"/>
        <w:widowControl w:val="0"/>
        <w:shd w:val="clear" w:color="auto" w:fill="auto"/>
        <w:bidi w:val="0"/>
        <w:spacing w:before="0" w:after="260" w:line="314" w:lineRule="exact"/>
        <w:ind w:left="0" w:right="0" w:firstLine="480"/>
        <w:jc w:val="both"/>
      </w:pPr>
      <w:r>
        <w:rPr>
          <w:color w:val="000000"/>
          <w:spacing w:val="0"/>
          <w:w w:val="100"/>
          <w:position w:val="0"/>
        </w:rPr>
        <w:t>面对国家政策和行业发展趋势，需要不断创新业务，加强对国家政策导向的研究和最新行业动态的跟踪，在重点领域 积极拓展新业务，满足市场需求。</w:t>
      </w:r>
      <w:r>
        <w:rPr>
          <w:color w:val="333333"/>
          <w:spacing w:val="0"/>
          <w:w w:val="100"/>
          <w:position w:val="0"/>
        </w:rPr>
        <w:t>把握行业技术发展趋势，</w:t>
      </w:r>
      <w:r>
        <w:rPr>
          <w:color w:val="000000"/>
          <w:spacing w:val="0"/>
          <w:w w:val="100"/>
          <w:position w:val="0"/>
        </w:rPr>
        <w:t>对新业务进行市场调研和布局，对新业务开发的可行性和市场适 应性进行分析，及时调整过程中的不利因素，加强风险管控，加大研发投入和人才引进，不断优化部门设置，细分业务的专 业化，加强团队建设和专业能力，实现新老业务的协同发展。</w:t>
      </w:r>
    </w:p>
    <w:p>
      <w:pPr>
        <w:pStyle w:val="Style18"/>
        <w:keepNext w:val="0"/>
        <w:keepLines w:val="0"/>
        <w:widowControl w:val="0"/>
        <w:shd w:val="clear" w:color="auto" w:fill="auto"/>
        <w:tabs>
          <w:tab w:pos="781" w:val="left"/>
        </w:tabs>
        <w:bidi w:val="0"/>
        <w:spacing w:before="0" w:after="40" w:line="360" w:lineRule="auto"/>
        <w:ind w:left="0" w:right="0" w:firstLine="480"/>
        <w:jc w:val="both"/>
      </w:pPr>
      <w:bookmarkStart w:id="285" w:name="bookmark285"/>
      <w:r>
        <w:rPr>
          <w:rFonts w:ascii="Times New Roman" w:eastAsia="Times New Roman" w:hAnsi="Times New Roman" w:cs="Times New Roman"/>
          <w:b/>
          <w:bCs/>
          <w:color w:val="000000"/>
          <w:spacing w:val="0"/>
          <w:w w:val="100"/>
          <w:position w:val="0"/>
          <w:sz w:val="18"/>
          <w:szCs w:val="18"/>
        </w:rPr>
        <w:t>5</w:t>
      </w:r>
      <w:bookmarkEnd w:id="285"/>
      <w:r>
        <w:rPr>
          <w:b/>
          <w:bCs/>
          <w:color w:val="000000"/>
          <w:spacing w:val="0"/>
          <w:w w:val="100"/>
          <w:position w:val="0"/>
        </w:rPr>
        <w:t>、</w:t>
        <w:tab/>
        <w:t>人力资源风险</w:t>
      </w:r>
    </w:p>
    <w:p>
      <w:pPr>
        <w:pStyle w:val="Style18"/>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专业管理人才和技术人才是公司持续发展的核心，随着公司业务领域及业务规模不断扩大，项目同时并发数量多，项 目开展面临数据分析、开发人员不足导致项目推行缓慢的风险。公司将通过完善人才招聘、人才引进、培养等多种方式，不 断吸引高素质人才加盟公司，构建高质量的核心人才队伍，更好满足公司发展对人才的需求。持续优化人才发展机制，激发 员工的工作热情，降低人才流失风险，提供全面、完善的培训计划，提升工作效率，为公司持续发展提供人才保障。</w:t>
      </w:r>
    </w:p>
    <w:p>
      <w:pPr>
        <w:pStyle w:val="Style24"/>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r>
        <w:rPr>
          <w:color w:val="000000"/>
          <w:spacing w:val="0"/>
          <w:w w:val="100"/>
          <w:position w:val="0"/>
        </w:rPr>
        <w:t>十二、报告期内接待调研、沟通、采访等活动</w:t>
      </w:r>
      <w:bookmarkEnd w:id="286"/>
      <w:bookmarkEnd w:id="287"/>
      <w:bookmarkEnd w:id="28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498"/>
        <w:gridCol w:w="1003"/>
        <w:gridCol w:w="917"/>
        <w:gridCol w:w="1118"/>
        <w:gridCol w:w="1699"/>
        <w:gridCol w:w="178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480" w:right="0" w:hanging="480"/>
              <w:jc w:val="both"/>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公司当前业务情况及 未来发展重心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行业分析及公司重点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业务未来布局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全景路演天下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根据网上业绩说明会 中投资者提出的各项 问题作出答复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公司当前财务、经营 及市场发展情况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日的调研记录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公司当前的业务情况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日的调研记录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全景路演天下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根据网上投资者提出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的各项问题作出答复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8"/>
        <w:keepNext/>
        <w:keepLines/>
        <w:widowControl w:val="0"/>
        <w:shd w:val="clear" w:color="auto" w:fill="auto"/>
        <w:bidi w:val="0"/>
        <w:spacing w:before="0" w:after="580" w:line="240" w:lineRule="auto"/>
        <w:ind w:left="0" w:right="0" w:firstLine="0"/>
        <w:jc w:val="center"/>
      </w:pPr>
      <w:bookmarkStart w:id="289" w:name="bookmark289"/>
      <w:bookmarkStart w:id="290" w:name="bookmark290"/>
      <w:bookmarkStart w:id="291" w:name="bookmark291"/>
      <w:r>
        <w:rPr>
          <w:color w:val="000000"/>
          <w:spacing w:val="0"/>
          <w:w w:val="100"/>
          <w:position w:val="0"/>
        </w:rPr>
        <w:t>第四节公司治理</w:t>
      </w:r>
      <w:bookmarkEnd w:id="289"/>
      <w:bookmarkEnd w:id="290"/>
      <w:bookmarkEnd w:id="291"/>
    </w:p>
    <w:p>
      <w:pPr>
        <w:pStyle w:val="Style24"/>
        <w:keepNext/>
        <w:keepLines/>
        <w:widowControl w:val="0"/>
        <w:shd w:val="clear" w:color="auto" w:fill="auto"/>
        <w:bidi w:val="0"/>
        <w:spacing w:before="0" w:after="260" w:line="240" w:lineRule="auto"/>
        <w:ind w:left="0" w:right="0" w:firstLine="0"/>
        <w:jc w:val="left"/>
      </w:pPr>
      <w:bookmarkStart w:id="292" w:name="bookmark292"/>
      <w:bookmarkStart w:id="293" w:name="bookmark293"/>
      <w:bookmarkStart w:id="294" w:name="bookmark294"/>
      <w:bookmarkStart w:id="295" w:name="bookmark295"/>
      <w:bookmarkStart w:id="296" w:name="bookmark296"/>
      <w:r>
        <w:rPr>
          <w:color w:val="000000"/>
          <w:spacing w:val="0"/>
          <w:w w:val="100"/>
          <w:position w:val="0"/>
        </w:rPr>
        <w:t>一</w:t>
      </w:r>
      <w:bookmarkEnd w:id="295"/>
      <w:r>
        <w:rPr>
          <w:color w:val="000000"/>
          <w:spacing w:val="0"/>
          <w:w w:val="100"/>
          <w:position w:val="0"/>
        </w:rPr>
        <w:t>、公司治理的基本状况</w:t>
      </w:r>
      <w:bookmarkEnd w:id="293"/>
      <w:bookmarkEnd w:id="294"/>
      <w:bookmarkEnd w:id="296"/>
      <w:bookmarkEnd w:id="292"/>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公司严格按照《公司法》、《证券法》、《上市公司治理准则》、《深圳证券交易所股票上市规则》及中国证监会有关 法律法规的要求，不断完善公司治理结构，健全内部控制体系，加强信息披露工作，进一步规范公司运作，提高公司治理水 平。公司在实际运作中没有违反相关规定或与相关规定不一致的情况，公司治理基本符合相关法律法规和规范性文件的要求。 报告期内，公司治理实际情况基本符合中国证监会、证券交易所发布的有关上市公司治理的规范性文件要求。</w:t>
      </w:r>
    </w:p>
    <w:p>
      <w:pPr>
        <w:pStyle w:val="Style18"/>
        <w:keepNext w:val="0"/>
        <w:keepLines w:val="0"/>
        <w:widowControl w:val="0"/>
        <w:shd w:val="clear" w:color="auto" w:fill="auto"/>
        <w:tabs>
          <w:tab w:pos="688" w:val="left"/>
        </w:tabs>
        <w:bidi w:val="0"/>
        <w:spacing w:before="0" w:line="312" w:lineRule="exact"/>
        <w:ind w:left="0" w:right="0" w:firstLine="380"/>
        <w:jc w:val="both"/>
      </w:pPr>
      <w:bookmarkStart w:id="297" w:name="bookmark297"/>
      <w:r>
        <w:rPr>
          <w:rFonts w:ascii="Times New Roman" w:eastAsia="Times New Roman" w:hAnsi="Times New Roman" w:cs="Times New Roman"/>
          <w:b/>
          <w:bCs/>
          <w:color w:val="000000"/>
          <w:spacing w:val="0"/>
          <w:w w:val="100"/>
          <w:position w:val="0"/>
          <w:sz w:val="18"/>
          <w:szCs w:val="18"/>
        </w:rPr>
        <w:t>1</w:t>
      </w:r>
      <w:bookmarkEnd w:id="297"/>
      <w:r>
        <w:rPr>
          <w:b/>
          <w:bCs/>
          <w:color w:val="000000"/>
          <w:spacing w:val="0"/>
          <w:w w:val="100"/>
          <w:position w:val="0"/>
        </w:rPr>
        <w:t>、</w:t>
        <w:tab/>
        <w:t>关于股东与股东大会</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公司严格遵守法律法规，规范地召集、召开股东大会。股东大会的召集、召开程序、出席股东大会的人员资格及股东大 会的表决程序均符合《公司法》、《公司章程》和《股东大会议事规则》及其他法律法规的规定。报告期内共召开了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 度股东大会和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次临时股东大会，均由董事会召集召开。股东大会的召开邀请律师进行现场见证，并积极采用现场投票与网 络投票相结合的方式为股东参与决策提供便利，充分保障了公司股东尤其是中小投资者合法权益。</w:t>
      </w:r>
    </w:p>
    <w:p>
      <w:pPr>
        <w:pStyle w:val="Style18"/>
        <w:keepNext w:val="0"/>
        <w:keepLines w:val="0"/>
        <w:widowControl w:val="0"/>
        <w:shd w:val="clear" w:color="auto" w:fill="auto"/>
        <w:tabs>
          <w:tab w:pos="703" w:val="left"/>
        </w:tabs>
        <w:bidi w:val="0"/>
        <w:spacing w:before="0" w:line="312" w:lineRule="exact"/>
        <w:ind w:left="0" w:right="0" w:firstLine="380"/>
        <w:jc w:val="both"/>
      </w:pPr>
      <w:bookmarkStart w:id="298" w:name="bookmark298"/>
      <w:r>
        <w:rPr>
          <w:rFonts w:ascii="Times New Roman" w:eastAsia="Times New Roman" w:hAnsi="Times New Roman" w:cs="Times New Roman"/>
          <w:b/>
          <w:bCs/>
          <w:color w:val="000000"/>
          <w:spacing w:val="0"/>
          <w:w w:val="100"/>
          <w:position w:val="0"/>
          <w:sz w:val="18"/>
          <w:szCs w:val="18"/>
        </w:rPr>
        <w:t>2</w:t>
      </w:r>
      <w:bookmarkEnd w:id="298"/>
      <w:r>
        <w:rPr>
          <w:b/>
          <w:bCs/>
          <w:color w:val="000000"/>
          <w:spacing w:val="0"/>
          <w:w w:val="100"/>
          <w:position w:val="0"/>
        </w:rPr>
        <w:t>、</w:t>
        <w:tab/>
        <w:t>关于公司与控股股东</w:t>
      </w:r>
    </w:p>
    <w:p>
      <w:pPr>
        <w:pStyle w:val="Style18"/>
        <w:keepNext w:val="0"/>
        <w:keepLines w:val="0"/>
        <w:widowControl w:val="0"/>
        <w:shd w:val="clear" w:color="auto" w:fill="auto"/>
        <w:bidi w:val="0"/>
        <w:spacing w:before="0" w:line="314" w:lineRule="exact"/>
        <w:ind w:left="0" w:right="0" w:firstLine="380"/>
        <w:jc w:val="both"/>
      </w:pPr>
      <w:r>
        <w:rPr>
          <w:color w:val="000000"/>
          <w:spacing w:val="0"/>
          <w:w w:val="100"/>
          <w:position w:val="0"/>
        </w:rPr>
        <w:t>公司按照《公司法》、《证券法》、《公司章程》及证券监管部门的有关规定正确处理与控股股东的关系。公司具有自 主经营能力，在业务、人员、资金、财务等方面均独立于控股股东，公司董事会、监事会和内部机构能够按照各自的议事规 则和规章制度独立运作，各司其职。公司控股股东严格规范自己的行为，依法行使其权利并承担相应义务，不存在占用公司 资金、超越股东大会授权范围行使职权、直接或间接干预公司的决策和生产经营活动的情形。</w:t>
      </w:r>
    </w:p>
    <w:p>
      <w:pPr>
        <w:pStyle w:val="Style18"/>
        <w:keepNext w:val="0"/>
        <w:keepLines w:val="0"/>
        <w:widowControl w:val="0"/>
        <w:shd w:val="clear" w:color="auto" w:fill="auto"/>
        <w:tabs>
          <w:tab w:pos="703" w:val="left"/>
        </w:tabs>
        <w:bidi w:val="0"/>
        <w:spacing w:before="0" w:line="312" w:lineRule="exact"/>
        <w:ind w:left="0" w:right="0" w:firstLine="380"/>
        <w:jc w:val="both"/>
      </w:pPr>
      <w:bookmarkStart w:id="299" w:name="bookmark299"/>
      <w:r>
        <w:rPr>
          <w:rFonts w:ascii="Times New Roman" w:eastAsia="Times New Roman" w:hAnsi="Times New Roman" w:cs="Times New Roman"/>
          <w:b/>
          <w:bCs/>
          <w:color w:val="000000"/>
          <w:spacing w:val="0"/>
          <w:w w:val="100"/>
          <w:position w:val="0"/>
          <w:sz w:val="18"/>
          <w:szCs w:val="18"/>
        </w:rPr>
        <w:t>3</w:t>
      </w:r>
      <w:bookmarkEnd w:id="299"/>
      <w:r>
        <w:rPr>
          <w:b/>
          <w:bCs/>
          <w:color w:val="000000"/>
          <w:spacing w:val="0"/>
          <w:w w:val="100"/>
          <w:position w:val="0"/>
        </w:rPr>
        <w:t>、</w:t>
        <w:tab/>
        <w:t>关于董事与董事会</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公司制定《董事会议事规则》、《独立董事工作制度》等相关规则，公司现任董事具备任职资格，董事会的人员构成符 合法律法规和《公司章程》的要求。公司董事会下设审计委员会、战略委员会、薪酬与考核委员会和提名委员会，并依次制 订了相应的工作细则，为董事会的决策提供科学和专业的意见和补充。报告期内，公司全体董事能积极严格按照《公司法》、 《公司章程》和《董事会议事规则》的规定，认真出席董事会会议和列席股东大会，积极参加对相关知识的培训，熟悉并掌 握有关法律法规，认真履行董事诚实守信、勤勉尽责的义务。</w:t>
      </w:r>
    </w:p>
    <w:p>
      <w:pPr>
        <w:pStyle w:val="Style18"/>
        <w:keepNext w:val="0"/>
        <w:keepLines w:val="0"/>
        <w:widowControl w:val="0"/>
        <w:shd w:val="clear" w:color="auto" w:fill="auto"/>
        <w:tabs>
          <w:tab w:pos="698" w:val="left"/>
        </w:tabs>
        <w:bidi w:val="0"/>
        <w:spacing w:before="0" w:line="312" w:lineRule="exact"/>
        <w:ind w:left="0" w:right="0" w:firstLine="380"/>
        <w:jc w:val="both"/>
      </w:pPr>
      <w:bookmarkStart w:id="300" w:name="bookmark300"/>
      <w:r>
        <w:rPr>
          <w:rFonts w:ascii="Times New Roman" w:eastAsia="Times New Roman" w:hAnsi="Times New Roman" w:cs="Times New Roman"/>
          <w:b/>
          <w:bCs/>
          <w:color w:val="000000"/>
          <w:spacing w:val="0"/>
          <w:w w:val="100"/>
          <w:position w:val="0"/>
          <w:sz w:val="18"/>
          <w:szCs w:val="18"/>
        </w:rPr>
        <w:t>4</w:t>
      </w:r>
      <w:bookmarkEnd w:id="300"/>
      <w:r>
        <w:rPr>
          <w:b/>
          <w:bCs/>
          <w:color w:val="000000"/>
          <w:spacing w:val="0"/>
          <w:w w:val="100"/>
          <w:position w:val="0"/>
        </w:rPr>
        <w:t>、</w:t>
        <w:tab/>
        <w:t>关于监事和监事会</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公司监事会严格按照《公司法》、《公司章程》和《监事会议事规则》的有关规定开展工作，监事的推荐、选举和产生 程序符合相关法律、法规要求。报告期内，公司监事认真履行职责，对董事会决策程序、决议事项及公司依法运作情况实施 监督，对公司财务以及公司董事、高级管理人员履行职责的合法、合规性进行监督，维护公司及股东的合法权益。</w:t>
      </w:r>
    </w:p>
    <w:p>
      <w:pPr>
        <w:pStyle w:val="Style18"/>
        <w:keepNext w:val="0"/>
        <w:keepLines w:val="0"/>
        <w:widowControl w:val="0"/>
        <w:shd w:val="clear" w:color="auto" w:fill="auto"/>
        <w:tabs>
          <w:tab w:pos="703" w:val="left"/>
        </w:tabs>
        <w:bidi w:val="0"/>
        <w:spacing w:before="0" w:line="312" w:lineRule="exact"/>
        <w:ind w:left="0" w:right="0" w:firstLine="380"/>
        <w:jc w:val="both"/>
      </w:pPr>
      <w:bookmarkStart w:id="301" w:name="bookmark301"/>
      <w:r>
        <w:rPr>
          <w:rFonts w:ascii="Times New Roman" w:eastAsia="Times New Roman" w:hAnsi="Times New Roman" w:cs="Times New Roman"/>
          <w:b/>
          <w:bCs/>
          <w:color w:val="000000"/>
          <w:spacing w:val="0"/>
          <w:w w:val="100"/>
          <w:position w:val="0"/>
          <w:sz w:val="18"/>
          <w:szCs w:val="18"/>
        </w:rPr>
        <w:t>5</w:t>
      </w:r>
      <w:bookmarkEnd w:id="301"/>
      <w:r>
        <w:rPr>
          <w:b/>
          <w:bCs/>
          <w:color w:val="000000"/>
          <w:spacing w:val="0"/>
          <w:w w:val="100"/>
          <w:position w:val="0"/>
        </w:rPr>
        <w:t>、</w:t>
        <w:tab/>
        <w:t>关于信息披露与透明度</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公司依法履行信息披露义务。公司指定《中国证券报》《证券时报》和巨潮资讯网为公司信息披露的报纸和网站，真实、 准确、完整、及时、公平地披露公司信息，确保所有股东有公平的机会获得公司相关信息。同时，公司指定董事会秘书负责 信息披露工作，证券事务代表协助董事会秘书开展工作。</w:t>
      </w:r>
    </w:p>
    <w:p>
      <w:pPr>
        <w:pStyle w:val="Style18"/>
        <w:keepNext w:val="0"/>
        <w:keepLines w:val="0"/>
        <w:widowControl w:val="0"/>
        <w:shd w:val="clear" w:color="auto" w:fill="auto"/>
        <w:tabs>
          <w:tab w:pos="703" w:val="left"/>
        </w:tabs>
        <w:bidi w:val="0"/>
        <w:spacing w:before="0" w:line="312" w:lineRule="exact"/>
        <w:ind w:left="0" w:right="0" w:firstLine="380"/>
        <w:jc w:val="both"/>
      </w:pPr>
      <w:bookmarkStart w:id="302" w:name="bookmark302"/>
      <w:r>
        <w:rPr>
          <w:rFonts w:ascii="Times New Roman" w:eastAsia="Times New Roman" w:hAnsi="Times New Roman" w:cs="Times New Roman"/>
          <w:b/>
          <w:bCs/>
          <w:color w:val="000000"/>
          <w:spacing w:val="0"/>
          <w:w w:val="100"/>
          <w:position w:val="0"/>
          <w:sz w:val="18"/>
          <w:szCs w:val="18"/>
        </w:rPr>
        <w:t>6</w:t>
      </w:r>
      <w:bookmarkEnd w:id="302"/>
      <w:r>
        <w:rPr>
          <w:b/>
          <w:bCs/>
          <w:color w:val="000000"/>
          <w:spacing w:val="0"/>
          <w:w w:val="100"/>
          <w:position w:val="0"/>
        </w:rPr>
        <w:t>、</w:t>
        <w:tab/>
        <w:t>关于相关利益者</w:t>
      </w:r>
    </w:p>
    <w:p>
      <w:pPr>
        <w:pStyle w:val="Style18"/>
        <w:keepNext w:val="0"/>
        <w:keepLines w:val="0"/>
        <w:widowControl w:val="0"/>
        <w:shd w:val="clear" w:color="auto" w:fill="auto"/>
        <w:bidi w:val="0"/>
        <w:spacing w:before="0" w:line="317" w:lineRule="exact"/>
        <w:ind w:left="0" w:right="0" w:firstLine="38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18"/>
        <w:keepNext w:val="0"/>
        <w:keepLines w:val="0"/>
        <w:widowControl w:val="0"/>
        <w:shd w:val="clear" w:color="auto" w:fill="auto"/>
        <w:tabs>
          <w:tab w:pos="703" w:val="left"/>
        </w:tabs>
        <w:bidi w:val="0"/>
        <w:spacing w:before="0" w:line="312" w:lineRule="exact"/>
        <w:ind w:left="0" w:right="0" w:firstLine="380"/>
        <w:jc w:val="both"/>
      </w:pPr>
      <w:bookmarkStart w:id="303" w:name="bookmark303"/>
      <w:r>
        <w:rPr>
          <w:rFonts w:ascii="Times New Roman" w:eastAsia="Times New Roman" w:hAnsi="Times New Roman" w:cs="Times New Roman"/>
          <w:b/>
          <w:bCs/>
          <w:color w:val="000000"/>
          <w:spacing w:val="0"/>
          <w:w w:val="100"/>
          <w:position w:val="0"/>
          <w:sz w:val="18"/>
          <w:szCs w:val="18"/>
        </w:rPr>
        <w:t>7</w:t>
      </w:r>
      <w:bookmarkEnd w:id="303"/>
      <w:r>
        <w:rPr>
          <w:b/>
          <w:bCs/>
          <w:color w:val="000000"/>
          <w:spacing w:val="0"/>
          <w:w w:val="100"/>
          <w:position w:val="0"/>
        </w:rPr>
        <w:t>、</w:t>
        <w:tab/>
        <w:t>关于绩效评价与激励约束机制</w:t>
      </w:r>
    </w:p>
    <w:p>
      <w:pPr>
        <w:pStyle w:val="Style18"/>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 xml:space="preserve">公司建立了完善的绩效评价、激励与约束机制，公司高级管理人员均由董事会聘任，董事会薪酬与考核委员会负责对公 </w:t>
      </w:r>
      <w:r>
        <w:rPr>
          <w:color w:val="000000"/>
          <w:spacing w:val="0"/>
          <w:w w:val="100"/>
          <w:position w:val="0"/>
        </w:rPr>
        <w:t>司高级管理人员的工作能力、履行情况、责任目标完成情况进行严格考评。报告期内，公司员工持股计划处于存续期，对吸 引和保留优秀管理人才和核心员工起到积极的促进作用。通过激励机制的不断完善，有效的促进了公司持续健康发展、完善 了公司法人治理结构。</w:t>
      </w:r>
    </w:p>
    <w:p>
      <w:pPr>
        <w:pStyle w:val="Style18"/>
        <w:keepNext w:val="0"/>
        <w:keepLines w:val="0"/>
        <w:widowControl w:val="0"/>
        <w:shd w:val="clear" w:color="auto" w:fill="auto"/>
        <w:bidi w:val="0"/>
        <w:spacing w:before="0" w:after="0" w:line="360" w:lineRule="auto"/>
        <w:ind w:left="0" w:right="0" w:firstLine="380"/>
        <w:jc w:val="both"/>
      </w:pPr>
      <w:bookmarkStart w:id="304" w:name="bookmark304"/>
      <w:r>
        <w:rPr>
          <w:rFonts w:ascii="Times New Roman" w:eastAsia="Times New Roman" w:hAnsi="Times New Roman" w:cs="Times New Roman"/>
          <w:b/>
          <w:bCs/>
          <w:color w:val="000000"/>
          <w:spacing w:val="0"/>
          <w:w w:val="100"/>
          <w:position w:val="0"/>
          <w:sz w:val="18"/>
          <w:szCs w:val="18"/>
        </w:rPr>
        <w:t>8</w:t>
      </w:r>
      <w:bookmarkEnd w:id="304"/>
      <w:r>
        <w:rPr>
          <w:b/>
          <w:bCs/>
          <w:color w:val="000000"/>
          <w:spacing w:val="0"/>
          <w:w w:val="100"/>
          <w:position w:val="0"/>
        </w:rPr>
        <w:t>、关于内部审计制度的建立和执行情况</w:t>
      </w:r>
    </w:p>
    <w:p>
      <w:pPr>
        <w:pStyle w:val="Style18"/>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公司建立了《内部审计制度》，对内审工作作出明确的规定和要求。公司内部审计部门直接对董事会负责，在审计委员 会的指导下，独立行使审计职权，不受其他部门和个人的干涉。内部审计部门对公司及下属子公司所有经营管理、财务状况、 内控执行等情况进行检查和评估，对其经济效益的真实性、合理性、合法性做出合理评价，提升内部控制管理的有效性，进 一步防范经营风险和财务风险。</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84" w:val="left"/>
        </w:tabs>
        <w:bidi w:val="0"/>
        <w:spacing w:before="0" w:after="240" w:line="331"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二</w:t>
      </w:r>
      <w:bookmarkEnd w:id="307"/>
      <w:r>
        <w:rPr>
          <w:color w:val="000000"/>
          <w:spacing w:val="0"/>
          <w:w w:val="100"/>
          <w:position w:val="0"/>
        </w:rPr>
        <w:t>、</w:t>
        <w:tab/>
        <w:t>公司相对于控股股东、实际控制人在保证公司资产、人员、财务、机构、业务等方面的 独立情况</w:t>
      </w:r>
      <w:bookmarkEnd w:id="305"/>
      <w:bookmarkEnd w:id="306"/>
      <w:bookmarkEnd w:id="308"/>
    </w:p>
    <w:p>
      <w:pPr>
        <w:pStyle w:val="Style1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公司严格按照《公司法》《公司章程》等法律法规和规章制度规范运作，在业务、人员、资产、机构、财务等方面与控 股股东完全分开，具有独立完整的业务及自主经营能力。</w:t>
      </w:r>
    </w:p>
    <w:p>
      <w:pPr>
        <w:pStyle w:val="Style18"/>
        <w:keepNext w:val="0"/>
        <w:keepLines w:val="0"/>
        <w:widowControl w:val="0"/>
        <w:shd w:val="clear" w:color="auto" w:fill="auto"/>
        <w:tabs>
          <w:tab w:pos="663" w:val="left"/>
        </w:tabs>
        <w:bidi w:val="0"/>
        <w:spacing w:before="0" w:after="120" w:line="314" w:lineRule="exact"/>
        <w:ind w:left="0" w:right="0" w:firstLine="380"/>
        <w:jc w:val="both"/>
      </w:pPr>
      <w:bookmarkStart w:id="309" w:name="bookmark309"/>
      <w:r>
        <w:rPr>
          <w:rFonts w:ascii="Times New Roman" w:eastAsia="Times New Roman" w:hAnsi="Times New Roman" w:cs="Times New Roman"/>
          <w:color w:val="000000"/>
          <w:spacing w:val="0"/>
          <w:w w:val="100"/>
          <w:position w:val="0"/>
          <w:sz w:val="18"/>
          <w:szCs w:val="18"/>
        </w:rPr>
        <w:t>1</w:t>
      </w:r>
      <w:bookmarkEnd w:id="309"/>
      <w:r>
        <w:rPr>
          <w:color w:val="000000"/>
          <w:spacing w:val="0"/>
          <w:w w:val="100"/>
          <w:position w:val="0"/>
        </w:rPr>
        <w:t>、</w:t>
        <w:tab/>
        <w:t>业务独立性：公司业务结构完整，具有独立面向市场自主经营的能力，独立开展业务、独立核算和决策、独立承担 责任与风险，不依赖于控股股东或其它任何关联方；与控股股东、实际控制人及其控制的其他企业间不存在同业竞争或者显 失公平的关联交易，也不存在控股股东直接或间接干预公司经营运作的情形。</w:t>
      </w:r>
    </w:p>
    <w:p>
      <w:pPr>
        <w:pStyle w:val="Style18"/>
        <w:keepNext w:val="0"/>
        <w:keepLines w:val="0"/>
        <w:widowControl w:val="0"/>
        <w:shd w:val="clear" w:color="auto" w:fill="auto"/>
        <w:tabs>
          <w:tab w:pos="668" w:val="left"/>
        </w:tabs>
        <w:bidi w:val="0"/>
        <w:spacing w:before="0" w:after="120" w:line="317" w:lineRule="exact"/>
        <w:ind w:left="0" w:right="0" w:firstLine="38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w:t>
        <w:tab/>
        <w:t>人员独立性：公司逐步建立健全法人治理结构，董事、监事及高级管理人员均严格按照《公司法》、《公司章程》 规定的条件和程序产生。目前，除董事长薛向东担任控股股东诚信电脑的董事长外，公司其余董事、监事均未在公司股东单 位任职。除副总经理王俭在全资子公司北京神州新桥科技有限公司任职领取薪酬外，公司总经理及其他高级管理人员专职在 公司工作并领取薪酬，未在公司股东单位任职，也未在与公司业务相同或相似、或存在其他利益冲突的企业任职。</w:t>
      </w:r>
    </w:p>
    <w:p>
      <w:pPr>
        <w:pStyle w:val="Style18"/>
        <w:keepNext w:val="0"/>
        <w:keepLines w:val="0"/>
        <w:widowControl w:val="0"/>
        <w:shd w:val="clear" w:color="auto" w:fill="auto"/>
        <w:tabs>
          <w:tab w:pos="678" w:val="left"/>
        </w:tabs>
        <w:bidi w:val="0"/>
        <w:spacing w:before="0" w:after="120" w:line="317" w:lineRule="exact"/>
        <w:ind w:left="0" w:right="0" w:firstLine="38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w:t>
        <w:tab/>
        <w:t>资产独立性：公司拥有独立的生产经营场所，对全部资产拥有完全的控制支配权，拥有独立的经营系统和配套设施、 专有技术、计算机软件著作权等资产。公司和控股股东产权关系明确，公司资产完整并由公司实际控制和使用，不存在资产、 资金被控股股东、实际控制人及其控制的企业违规占用而损害公司利益的情况。</w:t>
      </w:r>
    </w:p>
    <w:p>
      <w:pPr>
        <w:pStyle w:val="Style18"/>
        <w:keepNext w:val="0"/>
        <w:keepLines w:val="0"/>
        <w:widowControl w:val="0"/>
        <w:shd w:val="clear" w:color="auto" w:fill="auto"/>
        <w:tabs>
          <w:tab w:pos="668" w:val="left"/>
        </w:tabs>
        <w:bidi w:val="0"/>
        <w:spacing w:before="0" w:after="120" w:line="326" w:lineRule="exact"/>
        <w:ind w:left="0" w:right="0" w:firstLine="380"/>
        <w:jc w:val="both"/>
      </w:pPr>
      <w:bookmarkStart w:id="312" w:name="bookmark312"/>
      <w:r>
        <w:rPr>
          <w:rFonts w:ascii="Times New Roman" w:eastAsia="Times New Roman" w:hAnsi="Times New Roman" w:cs="Times New Roman"/>
          <w:color w:val="000000"/>
          <w:spacing w:val="0"/>
          <w:w w:val="100"/>
          <w:position w:val="0"/>
          <w:sz w:val="18"/>
          <w:szCs w:val="18"/>
        </w:rPr>
        <w:t>4</w:t>
      </w:r>
      <w:bookmarkEnd w:id="312"/>
      <w:r>
        <w:rPr>
          <w:color w:val="000000"/>
          <w:spacing w:val="0"/>
          <w:w w:val="100"/>
          <w:position w:val="0"/>
        </w:rPr>
        <w:t>、</w:t>
        <w:tab/>
        <w:t>机构独立性：公司根据《公司法》、《证券法》及《公司章程》的相关规定，制定了健全的组织结构体系，独立运 作，不存在与控股股东或其职能部门之间的从属关系。</w:t>
      </w:r>
    </w:p>
    <w:p>
      <w:pPr>
        <w:pStyle w:val="Style18"/>
        <w:keepNext w:val="0"/>
        <w:keepLines w:val="0"/>
        <w:widowControl w:val="0"/>
        <w:shd w:val="clear" w:color="auto" w:fill="auto"/>
        <w:bidi w:val="0"/>
        <w:spacing w:before="0" w:after="300" w:line="319" w:lineRule="exact"/>
        <w:ind w:left="0" w:right="0" w:firstLine="380"/>
        <w:jc w:val="both"/>
      </w:pPr>
      <w:bookmarkStart w:id="313" w:name="bookmark313"/>
      <w:r>
        <w:rPr>
          <w:rFonts w:ascii="Times New Roman" w:eastAsia="Times New Roman" w:hAnsi="Times New Roman" w:cs="Times New Roman"/>
          <w:color w:val="000000"/>
          <w:spacing w:val="0"/>
          <w:w w:val="100"/>
          <w:position w:val="0"/>
          <w:sz w:val="18"/>
          <w:szCs w:val="18"/>
        </w:rPr>
        <w:t>5</w:t>
      </w:r>
      <w:bookmarkEnd w:id="313"/>
      <w:r>
        <w:rPr>
          <w:color w:val="000000"/>
          <w:spacing w:val="0"/>
          <w:w w:val="100"/>
          <w:position w:val="0"/>
        </w:rPr>
        <w:t>、 财务独立性：公司已依照相关法律、法规成立了独立的财务部门，建立了独立的会计核算体系和财务管理制度，并 实施严格的内部审计制度，不存在公司股东或其他关联方干预公司资金使用的情况；公司拥有独立的银行账户，独立进行纳 税申报并履行纳税义务，公司股东及其他关联方未以任何形式占用公司资金、资产和其他资源。</w:t>
      </w:r>
    </w:p>
    <w:p>
      <w:pPr>
        <w:pStyle w:val="Style24"/>
        <w:keepNext/>
        <w:keepLines/>
        <w:widowControl w:val="0"/>
        <w:shd w:val="clear" w:color="auto" w:fill="auto"/>
        <w:tabs>
          <w:tab w:pos="584" w:val="left"/>
        </w:tabs>
        <w:bidi w:val="0"/>
        <w:spacing w:before="0" w:line="331"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三</w:t>
      </w:r>
      <w:bookmarkEnd w:id="316"/>
      <w:r>
        <w:rPr>
          <w:color w:val="000000"/>
          <w:spacing w:val="0"/>
          <w:w w:val="100"/>
          <w:position w:val="0"/>
        </w:rPr>
        <w:t>、</w:t>
        <w:tab/>
        <w:t>同业竞争情况</w:t>
      </w:r>
      <w:bookmarkEnd w:id="314"/>
      <w:bookmarkEnd w:id="315"/>
      <w:bookmarkEnd w:id="317"/>
    </w:p>
    <w:p>
      <w:pPr>
        <w:pStyle w:val="Style18"/>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四</w:t>
      </w:r>
      <w:bookmarkEnd w:id="320"/>
      <w:r>
        <w:rPr>
          <w:color w:val="000000"/>
          <w:spacing w:val="0"/>
          <w:w w:val="100"/>
          <w:position w:val="0"/>
        </w:rPr>
        <w:t>、报告期内召开的年度股东大会和临时股东大会的有关情况</w:t>
      </w:r>
      <w:bookmarkEnd w:id="318"/>
      <w:bookmarkEnd w:id="319"/>
      <w:bookmarkEnd w:id="321"/>
    </w:p>
    <w:p>
      <w:pPr>
        <w:pStyle w:val="Style29"/>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、本报告期股东大会情况</w:t>
      </w:r>
      <w:bookmarkEnd w:id="322"/>
      <w:bookmarkEnd w:id="323"/>
      <w:bookmarkEnd w:id="325"/>
    </w:p>
    <w:tbl>
      <w:tblPr>
        <w:tblOverlap w:val="never"/>
        <w:jc w:val="center"/>
        <w:tblLayout w:type="fixed"/>
      </w:tblPr>
      <w:tblGrid>
        <w:gridCol w:w="1286"/>
        <w:gridCol w:w="1272"/>
        <w:gridCol w:w="1138"/>
        <w:gridCol w:w="989"/>
        <w:gridCol w:w="994"/>
        <w:gridCol w:w="39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的《东华软件股份公司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 公告》（公告编号：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年第一次临时股东大会决议公告》（公告 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年第二次临时股东大会决议公告》（公告 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年第三次临时股东大会决议公告》（公告 编号：</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年第四次临时股东大会决议公告》（公告 编号：</w:t>
            </w:r>
            <w:r>
              <w:rPr>
                <w:rFonts w:ascii="Times New Roman" w:eastAsia="Times New Roman" w:hAnsi="Times New Roman" w:cs="Times New Roman"/>
                <w:color w:val="000000"/>
                <w:spacing w:val="0"/>
                <w:w w:val="100"/>
                <w:position w:val="0"/>
                <w:sz w:val="18"/>
                <w:szCs w:val="18"/>
              </w:rPr>
              <w:t>2021-104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 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详见公司刊登于《中国证券报》、《证券日报》、《证 券时报》及巨潮资讯网（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年第五次临时股东大会决议公告》（公告 编号：</w:t>
            </w:r>
            <w:r>
              <w:rPr>
                <w:rFonts w:ascii="Times New Roman" w:eastAsia="Times New Roman" w:hAnsi="Times New Roman" w:cs="Times New Roman"/>
                <w:color w:val="000000"/>
                <w:spacing w:val="0"/>
                <w:w w:val="100"/>
                <w:position w:val="0"/>
                <w:sz w:val="18"/>
                <w:szCs w:val="18"/>
              </w:rPr>
              <w:t>2021-114</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、表决权恢复的优先股股东请求召开临时股东大会</w:t>
      </w:r>
      <w:bookmarkEnd w:id="326"/>
      <w:bookmarkEnd w:id="327"/>
      <w:bookmarkEnd w:id="32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五</w:t>
      </w:r>
      <w:bookmarkEnd w:id="332"/>
      <w:r>
        <w:rPr>
          <w:color w:val="000000"/>
          <w:spacing w:val="0"/>
          <w:w w:val="100"/>
          <w:position w:val="0"/>
        </w:rPr>
        <w:t>、董事、监事和高级管理人员情况</w:t>
      </w:r>
      <w:bookmarkEnd w:id="330"/>
      <w:bookmarkEnd w:id="331"/>
      <w:bookmarkEnd w:id="333"/>
    </w:p>
    <w:p>
      <w:pPr>
        <w:pStyle w:val="Style29"/>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、基本情况</w:t>
      </w:r>
      <w:bookmarkEnd w:id="334"/>
      <w:bookmarkEnd w:id="335"/>
      <w:bookmarkEnd w:id="337"/>
    </w:p>
    <w:tbl>
      <w:tblPr>
        <w:tblOverlap w:val="never"/>
        <w:jc w:val="center"/>
        <w:tblLayout w:type="fixed"/>
      </w:tblPr>
      <w:tblGrid>
        <w:gridCol w:w="739"/>
        <w:gridCol w:w="739"/>
        <w:gridCol w:w="374"/>
        <w:gridCol w:w="283"/>
        <w:gridCol w:w="422"/>
        <w:gridCol w:w="1277"/>
        <w:gridCol w:w="1320"/>
        <w:gridCol w:w="806"/>
        <w:gridCol w:w="667"/>
        <w:gridCol w:w="610"/>
        <w:gridCol w:w="710"/>
        <w:gridCol w:w="888"/>
        <w:gridCol w:w="744"/>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任职</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状态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性</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任期终止日期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期初持股数</w:t>
            </w:r>
          </w:p>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本期增持</w:t>
            </w:r>
          </w:p>
          <w:p>
            <w:pPr>
              <w:pStyle w:val="Style21"/>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股份数量</w:t>
            </w:r>
          </w:p>
          <w:p>
            <w:pPr>
              <w:pStyle w:val="Style21"/>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本期减</w:t>
            </w:r>
          </w:p>
          <w:p>
            <w:pPr>
              <w:pStyle w:val="Style21"/>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持股份</w:t>
            </w:r>
          </w:p>
          <w:p>
            <w:pPr>
              <w:pStyle w:val="Style21"/>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其他增减</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变动（股）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期末持股数</w:t>
            </w:r>
          </w:p>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4"/>
                <w:szCs w:val="14"/>
              </w:rPr>
            </w:pPr>
            <w:r>
              <w:rPr>
                <w:color w:val="000000"/>
                <w:spacing w:val="0"/>
                <w:w w:val="100"/>
                <w:position w:val="0"/>
                <w:sz w:val="14"/>
                <w:szCs w:val="14"/>
              </w:rPr>
              <w:t>股份增减</w:t>
            </w:r>
          </w:p>
          <w:p>
            <w:pPr>
              <w:pStyle w:val="Style21"/>
              <w:keepNext w:val="0"/>
              <w:keepLines w:val="0"/>
              <w:widowControl w:val="0"/>
              <w:shd w:val="clear" w:color="auto" w:fill="auto"/>
              <w:bidi w:val="0"/>
              <w:spacing w:before="0" w:after="0" w:line="307" w:lineRule="exact"/>
              <w:ind w:left="0" w:right="0" w:firstLine="0"/>
              <w:jc w:val="center"/>
              <w:rPr>
                <w:sz w:val="14"/>
                <w:szCs w:val="14"/>
              </w:rPr>
            </w:pPr>
            <w:r>
              <w:rPr>
                <w:color w:val="000000"/>
                <w:spacing w:val="0"/>
                <w:w w:val="100"/>
                <w:position w:val="0"/>
                <w:sz w:val="14"/>
                <w:szCs w:val="14"/>
              </w:rPr>
              <w:t>变动的原 因</w:t>
            </w:r>
          </w:p>
        </w:tc>
      </w:tr>
    </w:tbl>
    <w:p>
      <w:pPr>
        <w:spacing w:lineRule="exact" w:line="1"/>
        <w:rPr>
          <w:sz w:val="2"/>
          <w:szCs w:val="2"/>
        </w:rPr>
      </w:pPr>
      <w:r>
        <w:br w:type="page"/>
      </w:r>
    </w:p>
    <w:tbl>
      <w:tblPr>
        <w:tblOverlap w:val="never"/>
        <w:jc w:val="center"/>
        <w:tblLayout w:type="fixed"/>
      </w:tblPr>
      <w:tblGrid>
        <w:gridCol w:w="739"/>
        <w:gridCol w:w="739"/>
        <w:gridCol w:w="374"/>
        <w:gridCol w:w="283"/>
        <w:gridCol w:w="422"/>
        <w:gridCol w:w="1277"/>
        <w:gridCol w:w="1320"/>
        <w:gridCol w:w="806"/>
        <w:gridCol w:w="667"/>
        <w:gridCol w:w="610"/>
        <w:gridCol w:w="710"/>
        <w:gridCol w:w="888"/>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384,755,226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384,755,226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副董事长、</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6,076,720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6,076,720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李建国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董事、副总</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2,628,572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2,628,572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董事、副总</w:t>
            </w:r>
          </w:p>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经理、董事</w:t>
            </w:r>
          </w:p>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610,024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610,024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郑晓清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187,650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187,650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董事、副总</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491,800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-122,950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368,850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离任高管</w:t>
            </w:r>
          </w:p>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锁定股解</w:t>
            </w:r>
          </w:p>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限</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郭玉杰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70,500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蒋恕慧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323,600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323,600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638,152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638,152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夏金崇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2,899,612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2,899,612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林文平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349,500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349,500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王佺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1,581,768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1,581,768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350,800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阮晋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293,400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293,400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任安彪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72,800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尹继南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90,600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叶莉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271,800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271,800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李燕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王以朋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401,692,524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-122,950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401,569,574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公司董事、监事、高级管理人员变动情况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工作需求</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年第五次临时股东大会新选聘为非独立董事</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、任职情况</w:t>
      </w:r>
      <w:bookmarkEnd w:id="338"/>
      <w:bookmarkEnd w:id="339"/>
      <w:bookmarkEnd w:id="341"/>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tabs>
          <w:tab w:pos="921" w:val="left"/>
        </w:tabs>
        <w:bidi w:val="0"/>
        <w:spacing w:before="0" w:after="0" w:line="316" w:lineRule="exact"/>
        <w:ind w:left="0" w:right="0" w:firstLine="380"/>
        <w:jc w:val="both"/>
      </w:pPr>
      <w:bookmarkStart w:id="342" w:name="bookmark342"/>
      <w:r>
        <w:rPr>
          <w:b/>
          <w:bCs/>
          <w:color w:val="000000"/>
          <w:spacing w:val="0"/>
          <w:w w:val="100"/>
          <w:position w:val="0"/>
        </w:rPr>
        <w:t>（</w:t>
      </w:r>
      <w:bookmarkEnd w:id="342"/>
      <w:r>
        <w:rPr>
          <w:b/>
          <w:bCs/>
          <w:color w:val="000000"/>
          <w:spacing w:val="0"/>
          <w:w w:val="100"/>
          <w:position w:val="0"/>
        </w:rPr>
        <w:t>一）</w:t>
        <w:tab/>
        <w:t>董事会成员</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薛向东先生：中国国籍，</w:t>
      </w:r>
      <w:r>
        <w:rPr>
          <w:color w:val="000000"/>
          <w:spacing w:val="0"/>
          <w:w w:val="100"/>
          <w:position w:val="0"/>
          <w:sz w:val="18"/>
          <w:szCs w:val="18"/>
        </w:rPr>
        <w:t>1959</w:t>
      </w:r>
      <w:r>
        <w:rPr>
          <w:color w:val="000000"/>
          <w:spacing w:val="0"/>
          <w:w w:val="100"/>
          <w:position w:val="0"/>
        </w:rPr>
        <w:t>年出生，大学本科，高级工程师，长期从事行业应用软件开发及计算机信息系统集成工作， 公司实际控制人，最近</w:t>
      </w:r>
      <w:r>
        <w:rPr>
          <w:color w:val="000000"/>
          <w:spacing w:val="0"/>
          <w:w w:val="100"/>
          <w:position w:val="0"/>
          <w:sz w:val="18"/>
          <w:szCs w:val="18"/>
        </w:rPr>
        <w:t>5</w:t>
      </w:r>
      <w:r>
        <w:rPr>
          <w:color w:val="000000"/>
          <w:spacing w:val="0"/>
          <w:w w:val="100"/>
          <w:position w:val="0"/>
        </w:rPr>
        <w:t>年一直担任本公司董事长。</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吕波先生：中国国籍，</w:t>
      </w:r>
      <w:r>
        <w:rPr>
          <w:color w:val="000000"/>
          <w:spacing w:val="0"/>
          <w:w w:val="100"/>
          <w:position w:val="0"/>
          <w:sz w:val="18"/>
          <w:szCs w:val="18"/>
        </w:rPr>
        <w:t>1963</w:t>
      </w:r>
      <w:r>
        <w:rPr>
          <w:color w:val="000000"/>
          <w:spacing w:val="0"/>
          <w:w w:val="100"/>
          <w:position w:val="0"/>
        </w:rPr>
        <w:t xml:space="preserve">年出生，硕士研究生，讲师，长期从事行业应用软件开发及计算机信息系统集成工作，最近 </w:t>
      </w:r>
      <w:r>
        <w:rPr>
          <w:color w:val="000000"/>
          <w:spacing w:val="0"/>
          <w:w w:val="100"/>
          <w:position w:val="0"/>
          <w:sz w:val="18"/>
          <w:szCs w:val="18"/>
        </w:rPr>
        <w:t>5</w:t>
      </w:r>
      <w:r>
        <w:rPr>
          <w:color w:val="000000"/>
          <w:spacing w:val="0"/>
          <w:w w:val="100"/>
          <w:position w:val="0"/>
        </w:rPr>
        <w:t>年一直担任本公司副董事长、总经理。</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李建国先生：中国国籍，</w:t>
      </w:r>
      <w:r>
        <w:rPr>
          <w:color w:val="000000"/>
          <w:spacing w:val="0"/>
          <w:w w:val="100"/>
          <w:position w:val="0"/>
          <w:sz w:val="18"/>
          <w:szCs w:val="18"/>
        </w:rPr>
        <w:t>1969</w:t>
      </w:r>
      <w:r>
        <w:rPr>
          <w:color w:val="000000"/>
          <w:spacing w:val="0"/>
          <w:w w:val="100"/>
          <w:position w:val="0"/>
        </w:rPr>
        <w:t>年出生，硕士研究生，长期从事行业应用软件开发及计算机信息系统集成工作，最近</w:t>
      </w:r>
      <w:r>
        <w:rPr>
          <w:color w:val="000000"/>
          <w:spacing w:val="0"/>
          <w:w w:val="100"/>
          <w:position w:val="0"/>
          <w:sz w:val="18"/>
          <w:szCs w:val="18"/>
        </w:rPr>
        <w:t>5</w:t>
      </w:r>
      <w:r>
        <w:rPr>
          <w:color w:val="000000"/>
          <w:spacing w:val="0"/>
          <w:w w:val="100"/>
          <w:position w:val="0"/>
        </w:rPr>
        <w:t>年 一直担任本公司董事、副总经理。</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杨健先生：中国国籍，</w:t>
      </w:r>
      <w:r>
        <w:rPr>
          <w:color w:val="000000"/>
          <w:spacing w:val="0"/>
          <w:w w:val="100"/>
          <w:position w:val="0"/>
          <w:sz w:val="18"/>
          <w:szCs w:val="18"/>
        </w:rPr>
        <w:t>1968</w:t>
      </w:r>
      <w:r>
        <w:rPr>
          <w:color w:val="000000"/>
          <w:spacing w:val="0"/>
          <w:w w:val="100"/>
          <w:position w:val="0"/>
        </w:rPr>
        <w:t>年出生，硕士研究生，会计师，最近</w:t>
      </w:r>
      <w:r>
        <w:rPr>
          <w:color w:val="000000"/>
          <w:spacing w:val="0"/>
          <w:w w:val="100"/>
          <w:position w:val="0"/>
          <w:sz w:val="18"/>
          <w:szCs w:val="18"/>
        </w:rPr>
        <w:t>5</w:t>
      </w:r>
      <w:r>
        <w:rPr>
          <w:color w:val="000000"/>
          <w:spacing w:val="0"/>
          <w:w w:val="100"/>
          <w:position w:val="0"/>
        </w:rPr>
        <w:t>年一直担任本公司董事、副总经理、董事会秘书。</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郑晓清女士：中国国籍，</w:t>
      </w:r>
      <w:r>
        <w:rPr>
          <w:color w:val="000000"/>
          <w:spacing w:val="0"/>
          <w:w w:val="100"/>
          <w:position w:val="0"/>
          <w:sz w:val="18"/>
          <w:szCs w:val="18"/>
        </w:rPr>
        <w:t>1971</w:t>
      </w:r>
      <w:r>
        <w:rPr>
          <w:color w:val="000000"/>
          <w:spacing w:val="0"/>
          <w:w w:val="100"/>
          <w:position w:val="0"/>
        </w:rPr>
        <w:t>年出生，硕士研究生，最近</w:t>
      </w:r>
      <w:r>
        <w:rPr>
          <w:color w:val="000000"/>
          <w:spacing w:val="0"/>
          <w:w w:val="100"/>
          <w:position w:val="0"/>
          <w:sz w:val="18"/>
          <w:szCs w:val="18"/>
        </w:rPr>
        <w:t>5</w:t>
      </w:r>
      <w:r>
        <w:rPr>
          <w:color w:val="000000"/>
          <w:spacing w:val="0"/>
          <w:w w:val="100"/>
          <w:position w:val="0"/>
        </w:rPr>
        <w:t>年一直担任本公司董事、市场部经理。</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陈广域先生：中国国籍，</w:t>
      </w:r>
      <w:r>
        <w:rPr>
          <w:color w:val="000000"/>
          <w:spacing w:val="0"/>
          <w:w w:val="100"/>
          <w:position w:val="0"/>
          <w:sz w:val="18"/>
          <w:szCs w:val="18"/>
        </w:rPr>
        <w:t>1975</w:t>
      </w:r>
      <w:r>
        <w:rPr>
          <w:color w:val="000000"/>
          <w:spacing w:val="0"/>
          <w:w w:val="100"/>
          <w:position w:val="0"/>
        </w:rPr>
        <w:t>年出生，硕士学历，先后领导腾讯互联网+、医疗健康事业部等业务团队，现担任本公司 董事，腾讯云与智慧产业事业群高级副总裁、产业生态合作部负责人。</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栾大龙先生：中国国籍，</w:t>
      </w:r>
      <w:r>
        <w:rPr>
          <w:color w:val="000000"/>
          <w:spacing w:val="0"/>
          <w:w w:val="100"/>
          <w:position w:val="0"/>
          <w:sz w:val="18"/>
          <w:szCs w:val="18"/>
        </w:rPr>
        <w:t>1964</w:t>
      </w:r>
      <w:r>
        <w:rPr>
          <w:color w:val="000000"/>
          <w:spacing w:val="0"/>
          <w:w w:val="100"/>
          <w:position w:val="0"/>
        </w:rPr>
        <w:t>年出生，博士学位，历任湖南株洲</w:t>
      </w:r>
      <w:r>
        <w:rPr>
          <w:color w:val="000000"/>
          <w:spacing w:val="0"/>
          <w:w w:val="100"/>
          <w:position w:val="0"/>
          <w:sz w:val="18"/>
          <w:szCs w:val="18"/>
        </w:rPr>
        <w:t>331</w:t>
      </w:r>
      <w:r>
        <w:rPr>
          <w:color w:val="000000"/>
          <w:spacing w:val="0"/>
          <w:w w:val="100"/>
          <w:position w:val="0"/>
        </w:rPr>
        <w:t>厂军事代表室军事代表，海军驻洛阳航空军事代表 室军事代表，军事科学院研究员。最近</w:t>
      </w:r>
      <w:r>
        <w:rPr>
          <w:color w:val="000000"/>
          <w:spacing w:val="0"/>
          <w:w w:val="100"/>
          <w:position w:val="0"/>
          <w:sz w:val="18"/>
          <w:szCs w:val="18"/>
        </w:rPr>
        <w:t>5</w:t>
      </w:r>
      <w:r>
        <w:rPr>
          <w:color w:val="000000"/>
          <w:spacing w:val="0"/>
          <w:w w:val="100"/>
          <w:position w:val="0"/>
        </w:rPr>
        <w:t>年一直担任本公司独立董事，兼任航天科技控股集团股份有限公司、北京京城机电 股份有限公司、苏州瑞可达连接系统股份有限公司、湖南华菱线缆股份有限公司独立董事。</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王以朋先生：中国国籍，</w:t>
      </w:r>
      <w:r>
        <w:rPr>
          <w:color w:val="000000"/>
          <w:spacing w:val="0"/>
          <w:w w:val="100"/>
          <w:position w:val="0"/>
          <w:sz w:val="18"/>
          <w:szCs w:val="18"/>
        </w:rPr>
        <w:t>1956</w:t>
      </w:r>
      <w:r>
        <w:rPr>
          <w:color w:val="000000"/>
          <w:spacing w:val="0"/>
          <w:w w:val="100"/>
          <w:position w:val="0"/>
        </w:rPr>
        <w:t>年出生，大学本科，博士生导师、教授，现担任本公司独立董事，中国医学科学院北京协 和医院</w:t>
      </w:r>
      <w:r>
        <w:rPr>
          <w:color w:val="000000"/>
          <w:spacing w:val="0"/>
          <w:w w:val="100"/>
          <w:position w:val="0"/>
          <w:sz w:val="18"/>
          <w:szCs w:val="18"/>
        </w:rPr>
        <w:t>WHO</w:t>
      </w:r>
      <w:r>
        <w:rPr>
          <w:color w:val="000000"/>
          <w:spacing w:val="0"/>
          <w:w w:val="100"/>
          <w:position w:val="0"/>
        </w:rPr>
        <w:t>疾病分类家族中国部主任。</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刘尔奎先生：中国国籍，</w:t>
      </w:r>
      <w:r>
        <w:rPr>
          <w:color w:val="000000"/>
          <w:spacing w:val="0"/>
          <w:w w:val="100"/>
          <w:position w:val="0"/>
          <w:sz w:val="18"/>
          <w:szCs w:val="18"/>
        </w:rPr>
        <w:t>1969</w:t>
      </w:r>
      <w:r>
        <w:rPr>
          <w:color w:val="000000"/>
          <w:spacing w:val="0"/>
          <w:w w:val="100"/>
          <w:position w:val="0"/>
        </w:rPr>
        <w:t>年出生，博士学位，现担任本公司独立董事，中审亚太会计师事务所（特殊普通合伙）副 所长，现任陕西红旗民爆集团股份有限公司独立董事、长城人寿保险公司独立董事、中航科（北京）资产管理有限公司执行 董事、连云港市交通控股集团有限公司及连云港市农业发展集团有限公司的外部董事。</w:t>
      </w:r>
    </w:p>
    <w:p>
      <w:pPr>
        <w:pStyle w:val="Style18"/>
        <w:keepNext w:val="0"/>
        <w:keepLines w:val="0"/>
        <w:widowControl w:val="0"/>
        <w:shd w:val="clear" w:color="auto" w:fill="auto"/>
        <w:tabs>
          <w:tab w:pos="921" w:val="left"/>
        </w:tabs>
        <w:bidi w:val="0"/>
        <w:spacing w:before="0" w:after="0" w:line="316" w:lineRule="exact"/>
        <w:ind w:left="0" w:right="0" w:firstLine="380"/>
        <w:jc w:val="both"/>
      </w:pPr>
      <w:bookmarkStart w:id="343" w:name="bookmark343"/>
      <w:r>
        <w:rPr>
          <w:b/>
          <w:bCs/>
          <w:color w:val="000000"/>
          <w:spacing w:val="0"/>
          <w:w w:val="100"/>
          <w:position w:val="0"/>
        </w:rPr>
        <w:t>（</w:t>
      </w:r>
      <w:bookmarkEnd w:id="343"/>
      <w:r>
        <w:rPr>
          <w:b/>
          <w:bCs/>
          <w:color w:val="000000"/>
          <w:spacing w:val="0"/>
          <w:w w:val="100"/>
          <w:position w:val="0"/>
        </w:rPr>
        <w:t>二）</w:t>
        <w:tab/>
        <w:t>监事会成员</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苏根继先生：中国国籍，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年出生，大学本科，讲师，最近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年一直担任本公司监事会主席、法律部负责人。</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蒋恕慧女士：中国国籍，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年出生，大学本科，工程师，最近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年一直担任本公司监事、商务部经理。</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郭玉杰先生：中国国籍，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年出生，大学专科，最近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w:t>
      </w:r>
    </w:p>
    <w:p>
      <w:pPr>
        <w:pStyle w:val="Style18"/>
        <w:keepNext w:val="0"/>
        <w:keepLines w:val="0"/>
        <w:widowControl w:val="0"/>
        <w:shd w:val="clear" w:color="auto" w:fill="auto"/>
        <w:tabs>
          <w:tab w:pos="921" w:val="left"/>
        </w:tabs>
        <w:bidi w:val="0"/>
        <w:spacing w:before="0" w:after="0" w:line="316" w:lineRule="exact"/>
        <w:ind w:left="0" w:right="0" w:firstLine="380"/>
        <w:jc w:val="both"/>
      </w:pPr>
      <w:bookmarkStart w:id="344" w:name="bookmark344"/>
      <w:r>
        <w:rPr>
          <w:b/>
          <w:bCs/>
          <w:color w:val="000000"/>
          <w:spacing w:val="0"/>
          <w:w w:val="100"/>
          <w:position w:val="0"/>
        </w:rPr>
        <w:t>（</w:t>
      </w:r>
      <w:bookmarkEnd w:id="344"/>
      <w:r>
        <w:rPr>
          <w:b/>
          <w:bCs/>
          <w:color w:val="000000"/>
          <w:spacing w:val="0"/>
          <w:w w:val="100"/>
          <w:position w:val="0"/>
        </w:rPr>
        <w:t>三）</w:t>
        <w:tab/>
        <w:t>高级管理人员</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吕波先生：公司总经理，简历见董事介绍。</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侯志国先生：中国国籍，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w:t>
      </w:r>
      <w:r>
        <w:rPr>
          <w:rFonts w:ascii="Times New Roman" w:eastAsia="Times New Roman" w:hAnsi="Times New Roman" w:cs="Times New Roman"/>
          <w:color w:val="000000"/>
          <w:spacing w:val="0"/>
          <w:w w:val="100"/>
          <w:position w:val="0"/>
          <w:sz w:val="18"/>
          <w:szCs w:val="18"/>
        </w:rPr>
        <w:t>C EO</w:t>
      </w:r>
      <w:r>
        <w:rPr>
          <w:color w:val="000000"/>
          <w:spacing w:val="0"/>
          <w:w w:val="100"/>
          <w:position w:val="0"/>
        </w:rPr>
        <w:t>。</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李建国先生：公司副总经理，简历见董事介绍。</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杨健先生：公司副总经理，简历见董事介绍。</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金伟先生：中国国籍，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w:t>
      </w:r>
    </w:p>
    <w:p>
      <w:pPr>
        <w:pStyle w:val="Style18"/>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夏金崇先生：中国国籍，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年出生，大学本科，工程师，最近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w:t>
      </w:r>
      <w:r>
        <w:br w:type="page"/>
      </w:r>
    </w:p>
    <w:p>
      <w:pPr>
        <w:pStyle w:val="Style18"/>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林文平先生：中国国籍，</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年一直在本公司工作，现任公司副总经理。</w:t>
      </w:r>
    </w:p>
    <w:p>
      <w:pPr>
        <w:pStyle w:val="Style18"/>
        <w:keepNext w:val="0"/>
        <w:keepLines w:val="0"/>
        <w:widowControl w:val="0"/>
        <w:shd w:val="clear" w:color="auto" w:fill="auto"/>
        <w:bidi w:val="0"/>
        <w:spacing w:before="0" w:after="0" w:line="322" w:lineRule="exact"/>
        <w:ind w:left="0" w:right="0" w:firstLine="360"/>
        <w:jc w:val="left"/>
      </w:pPr>
      <w:r>
        <w:rPr>
          <w:color w:val="000000"/>
          <w:spacing w:val="0"/>
          <w:w w:val="100"/>
          <w:position w:val="0"/>
        </w:rPr>
        <w:t>王佺先生：中国国籍，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年一直在全资子公司北京神州新桥科技有限公司工作，现任本 公司副总经理。</w:t>
      </w:r>
    </w:p>
    <w:p>
      <w:pPr>
        <w:pStyle w:val="Style18"/>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叶莉女士：中国国籍，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年一直在本公司工作，现任本公司财务总监。</w:t>
      </w:r>
    </w:p>
    <w:p>
      <w:pPr>
        <w:pStyle w:val="Style18"/>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尹继南先生：中国国籍，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18"/>
        <w:keepNext w:val="0"/>
        <w:keepLines w:val="0"/>
        <w:widowControl w:val="0"/>
        <w:shd w:val="clear" w:color="auto" w:fill="auto"/>
        <w:bidi w:val="0"/>
        <w:spacing w:before="0" w:after="140" w:line="322" w:lineRule="exact"/>
        <w:ind w:left="0" w:right="0" w:firstLine="300"/>
        <w:jc w:val="left"/>
      </w:pPr>
      <w:r>
        <w:rPr>
          <w:color w:val="000000"/>
          <w:spacing w:val="0"/>
          <w:w w:val="100"/>
          <w:position w:val="0"/>
        </w:rPr>
        <w:t>任安彪先生：中国国籍，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038"/>
        <w:gridCol w:w="1272"/>
        <w:gridCol w:w="1560"/>
        <w:gridCol w:w="854"/>
        <w:gridCol w:w="163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667"/>
        <w:gridCol w:w="1574"/>
        <w:gridCol w:w="542"/>
        <w:gridCol w:w="1171"/>
        <w:gridCol w:w="138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任期 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东华互联宜家（北京）信息技术服务有限公司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北京岳麓京华信息咨询服务有限公司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泰安东华服饰材料有限公司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湖北华中大数据交易股份有限公司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北京冠瑞通电子商务科技股份有限公司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东华时尚服饰有限公司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667"/>
        <w:gridCol w:w="1574"/>
        <w:gridCol w:w="542"/>
        <w:gridCol w:w="1171"/>
        <w:gridCol w:w="138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北京东华中企会智慧城市科技有限公司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雄安东华全球软件研发有限公司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瑞客东华转化医学研究中心有限公司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东华健康乐互联网医院有限公司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健康乐（海南）互联网医院有限公司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北京乐康诊所有限公司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健康乐（海南）远程医疗中心有限公司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东华医为大数据科技（上海）有限公司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尹继南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广西东华云数据信息技术有限责任公司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广州神州新桥科技发展有限公司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北京东华信创科技有限公司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东华慧湾数字科技有限公司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武汉东华软件技术有限公司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北京快立方科技有限公司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北京卓智能研科技有限公司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北京能源工业互联网研究院有限公司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东华软件（沈阳）有限公司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南昌东华软件有限公司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667"/>
        <w:gridCol w:w="1574"/>
        <w:gridCol w:w="542"/>
        <w:gridCol w:w="1171"/>
        <w:gridCol w:w="138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苏州瑞可达连接系统股份有限公司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湖南华菱线缆股份有限公司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北京京城机电股份有限公司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中审亚太会计师事务所（特殊普通合伙）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陕西红旗民爆集团股份有限公司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中航科（北京）资产管理有限公司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连云港市交通控股集团有限公司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连云港市农业发展集团有限公司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长城人寿保险股份公司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王以朋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中国医学科学院北京协和医院</w:t>
            </w:r>
            <w:r>
              <w:rPr>
                <w:rFonts w:ascii="Times New Roman" w:eastAsia="Times New Roman" w:hAnsi="Times New Roman" w:cs="Times New Roman"/>
                <w:color w:val="000000"/>
                <w:spacing w:val="0"/>
                <w:w w:val="100"/>
                <w:position w:val="0"/>
                <w:sz w:val="18"/>
                <w:szCs w:val="18"/>
              </w:rPr>
              <w:t>WHO</w:t>
            </w:r>
            <w:r>
              <w:rPr>
                <w:color w:val="000000"/>
                <w:spacing w:val="0"/>
                <w:w w:val="100"/>
                <w:position w:val="0"/>
              </w:rPr>
              <w:t>疾病分类 家族中国部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北京仁科互动网络技术有限公司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企鹅杏仁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企鹅杏仁健康科技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杭州卓健信息科技股份有限公司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广州嘉为科技股份有限公司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企鹅杏仁健康科技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海南腾讯远程医疗中心有限公司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海南腾讯互联网医院有限公司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详见第六节重要事项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十二、处罚及整改情况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、董事、监事、高级管理人员报酬情况</w:t>
      </w:r>
      <w:bookmarkEnd w:id="345"/>
      <w:bookmarkEnd w:id="346"/>
      <w:bookmarkEnd w:id="348"/>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704" w:val="left"/>
        </w:tabs>
        <w:bidi w:val="0"/>
        <w:spacing w:before="0" w:after="0" w:line="312" w:lineRule="exact"/>
        <w:ind w:left="0" w:right="0" w:firstLine="380"/>
        <w:jc w:val="left"/>
      </w:pPr>
      <w:bookmarkStart w:id="349" w:name="bookmark349"/>
      <w:r>
        <w:rPr>
          <w:rFonts w:ascii="Times New Roman" w:eastAsia="Times New Roman" w:hAnsi="Times New Roman" w:cs="Times New Roman"/>
          <w:color w:val="000000"/>
          <w:spacing w:val="0"/>
          <w:w w:val="100"/>
          <w:position w:val="0"/>
          <w:sz w:val="18"/>
          <w:szCs w:val="18"/>
        </w:rPr>
        <w:t>1</w:t>
      </w:r>
      <w:bookmarkEnd w:id="349"/>
      <w:r>
        <w:rPr>
          <w:color w:val="000000"/>
          <w:spacing w:val="0"/>
          <w:w w:val="100"/>
          <w:position w:val="0"/>
        </w:rPr>
        <w:t>、</w:t>
        <w:tab/>
        <w:t>决策程序：董事、监事的津贴根据股东大会决议确定。薪酬与考核委员会是董事会按照股东大会决议设立的专门工 作机构，负责对董事会与高级管理人员的考核和薪酬进行审查，并提出意见和建议。</w:t>
      </w:r>
    </w:p>
    <w:p>
      <w:pPr>
        <w:pStyle w:val="Style18"/>
        <w:keepNext w:val="0"/>
        <w:keepLines w:val="0"/>
        <w:widowControl w:val="0"/>
        <w:shd w:val="clear" w:color="auto" w:fill="auto"/>
        <w:tabs>
          <w:tab w:pos="704" w:val="left"/>
        </w:tabs>
        <w:bidi w:val="0"/>
        <w:spacing w:before="0" w:after="0" w:line="326" w:lineRule="exact"/>
        <w:ind w:left="0" w:right="0" w:firstLine="380"/>
        <w:jc w:val="left"/>
      </w:pPr>
      <w:bookmarkStart w:id="350" w:name="bookmark350"/>
      <w:r>
        <w:rPr>
          <w:rFonts w:ascii="Times New Roman" w:eastAsia="Times New Roman" w:hAnsi="Times New Roman" w:cs="Times New Roman"/>
          <w:color w:val="000000"/>
          <w:spacing w:val="0"/>
          <w:w w:val="100"/>
          <w:position w:val="0"/>
          <w:sz w:val="18"/>
          <w:szCs w:val="18"/>
        </w:rPr>
        <w:t>2</w:t>
      </w:r>
      <w:bookmarkEnd w:id="350"/>
      <w:r>
        <w:rPr>
          <w:color w:val="000000"/>
          <w:spacing w:val="0"/>
          <w:w w:val="100"/>
          <w:position w:val="0"/>
        </w:rPr>
        <w:t>、</w:t>
        <w:tab/>
        <w:t>确定依据：在公司任职的董事、监事、高级管理人员按照其行政职务根据公司现行的工资制度领取报酬，年底根据 经营业绩，按照绩效考核体系对高级管理人员进行考评，根据考评结果确定其年终奖金。</w:t>
      </w:r>
    </w:p>
    <w:p>
      <w:pPr>
        <w:pStyle w:val="Style18"/>
        <w:keepNext w:val="0"/>
        <w:keepLines w:val="0"/>
        <w:widowControl w:val="0"/>
        <w:shd w:val="clear" w:color="auto" w:fill="auto"/>
        <w:tabs>
          <w:tab w:pos="724" w:val="left"/>
        </w:tabs>
        <w:bidi w:val="0"/>
        <w:spacing w:before="0" w:after="0" w:line="326" w:lineRule="exact"/>
        <w:ind w:left="0" w:right="0" w:firstLine="380"/>
        <w:jc w:val="left"/>
      </w:pPr>
      <w:bookmarkStart w:id="351" w:name="bookmark351"/>
      <w:r>
        <w:rPr>
          <w:rFonts w:ascii="Times New Roman" w:eastAsia="Times New Roman" w:hAnsi="Times New Roman" w:cs="Times New Roman"/>
          <w:color w:val="000000"/>
          <w:spacing w:val="0"/>
          <w:w w:val="100"/>
          <w:position w:val="0"/>
          <w:sz w:val="18"/>
          <w:szCs w:val="18"/>
        </w:rPr>
        <w:t>3</w:t>
      </w:r>
      <w:bookmarkEnd w:id="351"/>
      <w:r>
        <w:rPr>
          <w:color w:val="000000"/>
          <w:spacing w:val="0"/>
          <w:w w:val="100"/>
          <w:position w:val="0"/>
        </w:rPr>
        <w:t>、</w:t>
        <w:tab/>
        <w:t>实际支付情况：公司严格按照董事、监事、高级管理人员薪酬的决策程序与确定依据按月支付薪酬。</w:t>
      </w:r>
    </w:p>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2400"/>
        <w:gridCol w:w="854"/>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郑晓清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王以朋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蒋恕慧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夏金崇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林文平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阮晋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叶莉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2400"/>
        <w:gridCol w:w="854"/>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尹继南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任安彪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六</w:t>
      </w:r>
      <w:bookmarkEnd w:id="354"/>
      <w:r>
        <w:rPr>
          <w:color w:val="000000"/>
          <w:spacing w:val="0"/>
          <w:w w:val="100"/>
          <w:position w:val="0"/>
        </w:rPr>
        <w:t>、报告期内董事履行职责的情况</w:t>
      </w:r>
      <w:bookmarkEnd w:id="352"/>
      <w:bookmarkEnd w:id="353"/>
      <w:bookmarkEnd w:id="355"/>
    </w:p>
    <w:p>
      <w:pPr>
        <w:pStyle w:val="Style29"/>
        <w:keepNext/>
        <w:keepLines/>
        <w:widowControl w:val="0"/>
        <w:shd w:val="clear" w:color="auto" w:fill="auto"/>
        <w:bidi w:val="0"/>
        <w:spacing w:before="0" w:after="32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、本报告期董事会情况</w:t>
      </w:r>
      <w:bookmarkEnd w:id="356"/>
      <w:bookmarkEnd w:id="357"/>
      <w:bookmarkEnd w:id="359"/>
    </w:p>
    <w:tbl>
      <w:tblPr>
        <w:tblOverlap w:val="never"/>
        <w:jc w:val="center"/>
        <w:tblLayout w:type="fixed"/>
      </w:tblPr>
      <w:tblGrid>
        <w:gridCol w:w="1570"/>
        <w:gridCol w:w="1560"/>
        <w:gridCol w:w="1555"/>
        <w:gridCol w:w="490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第七届董事会第十 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审议通过了《关于控股子公司股权转让暨关联交易的议案》、</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《关于对外投资签订股权增资协议的议案》、《关于公司向银行 申请综合授信业务的议案》。</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第七届董事会第二 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审议通过了《关于内部股权架构调整的议案》、《关于对外投资 设立东华智慧城市（江门）技术有限公司的议案》。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审议通过了《关于对外投资设立东华住云（湖南）科技有限公 司的议案》、《关于全资孙公司变更经营范围并修改章程的议 案》、《关于会计政策变更的议案》、《关于申请银行授信及担保 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审议通过了《关于控股子公司申请银行授信及提供担保的议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案》、《关于对外投资设立山西东华软件科技有限公司的议案》、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《关于内部股权架构调整的议案》。</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年度报告》全文及摘要、《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 我评价报告》、《内部控制规则落实自查表》、《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年第一季度 报告》全文及正文、《关于续聘会计师事务所的议案》、《关于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年度高级管理人员薪酬考核的议案》、《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 任报告》、《关于计提长期股权投资减值准备和商誉减值准备的 议案》、《关于延长公司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股股票决议有 效期的议案》、《关于提请股东大会延长授权董事会办理公司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股股票相关事宜的议案》、《关于召开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年度股东大会的议案》、《关于控股子公司对外投资的议 案》、《关于公司申请银行授信的议案》、《关于子公司申请银行 授信及担保事项的议案》、《关于修订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部分条款的议 案》。</w:t>
            </w: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第七届董事会第二 十四次会议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审议通过了《关于对外投资设立东华智云（光山）科技有限公 司的议案》、《关于对外投资设立东华丝路科技有限公司的议 案》、《关于对外投资设立蚌埠东华软件有限公司的议案》、《关 于补选公司第七届董事会专门委员会委员的议案》、《关于公司 申请银行授信的议案》、《关于控股子公司向银行申请综合授信 及担保的议案》、《关于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p>
        </w:tc>
      </w:tr>
    </w:tbl>
    <w:p>
      <w:pPr>
        <w:spacing w:lineRule="exact" w:line="1"/>
        <w:rPr>
          <w:sz w:val="2"/>
          <w:szCs w:val="2"/>
        </w:rPr>
      </w:pPr>
      <w:r>
        <w:br w:type="page"/>
      </w:r>
    </w:p>
    <w:tbl>
      <w:tblPr>
        <w:tblOverlap w:val="never"/>
        <w:jc w:val="center"/>
        <w:tblLayout w:type="fixed"/>
      </w:tblPr>
      <w:tblGrid>
        <w:gridCol w:w="1570"/>
        <w:gridCol w:w="1560"/>
        <w:gridCol w:w="1555"/>
        <w:gridCol w:w="490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年第一次临时股东大会通知的议案》</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审议通过了《关于控股子公司对外投资设立东华医为大数据上 海有限公司的议案》、《关于全资子公司对外投资设立成都东华 智联科技有限公司的议案》、《关于内部股权架构调整的议案》、 《关于公司申请银行授信的议案》、《关于子公司申请银行授信 及担保事项的议案》、《关于对子公司增资的议案》。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第七届董事会第二 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审议通过了《关于公司向银行申请综合授信的议案》。</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审议通过了《关于公司向银行申请综合授信的议案》、《关于公 司为控股子公司提供担保的议案》、《关于控股子公司向银行申 请综合授信及担保的议案》、《关于公司为全资子公司提供担保 的议案》、《关于全资子公司向银行申请综合授信及担保的议 案》、《关于对外投资设立白银东华软件有限公司的议案》、《关 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审议通过了《关于全资子公司受让财产份额暨关联交易的议 案》、《关于全资子公司对外投资设立有限合伙企业的议案》、</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《关于控股子公司变更经营范围的议案》。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第七届董事会第二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年半年度报告》全文及摘要、《关于修订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部分条款的议案》、《关于公司向银行申请综合授信 的议案》、《关于全资子公司向银行申请综合授信及担保的议 案》、《关于召开公司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 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审议通过了《关于拟开立募集资金专户的议案》。</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审议通过了《关于公司向银行申请综合授信的议案》、《关于控 股子公司股权转让暨关联交易的议案》。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审议通过了《关于聘任公司首席执行官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的议案》、《关 于公司向银行申请综合授信的议案》、《关于对外投资设立广西 东华软件有限公司的议案》。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审议通过了《关于公司向银行申请综合授信的议案》、《关于对 外投资设立德州东华软件有限公司的议案》、《关于控股孙公司 对外投资设立全资子公司的议案》。</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 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年第三季度报告》、《关于修订</w:t>
            </w:r>
            <w:r>
              <w:rPr>
                <w:color w:val="000000"/>
                <w:spacing w:val="0"/>
                <w:w w:val="100"/>
                <w:position w:val="0"/>
                <w:sz w:val="18"/>
                <w:szCs w:val="18"/>
              </w:rPr>
              <w:t>〈</w:t>
            </w:r>
            <w:r>
              <w:rPr>
                <w:color w:val="000000"/>
                <w:spacing w:val="0"/>
                <w:w w:val="100"/>
                <w:position w:val="0"/>
              </w:rPr>
              <w:t>股东大 会议事规则</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的议案》、 《关于修订</w:t>
            </w:r>
            <w:r>
              <w:rPr>
                <w:color w:val="000000"/>
                <w:spacing w:val="0"/>
                <w:w w:val="100"/>
                <w:position w:val="0"/>
                <w:sz w:val="18"/>
                <w:szCs w:val="18"/>
              </w:rPr>
              <w:t>〈</w:t>
            </w:r>
            <w:r>
              <w:rPr>
                <w:color w:val="000000"/>
                <w:spacing w:val="0"/>
                <w:w w:val="100"/>
                <w:position w:val="0"/>
              </w:rPr>
              <w:t>独立董事工作制度</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总经理 工作细则</w:t>
            </w:r>
            <w:r>
              <w:rPr>
                <w:color w:val="000000"/>
                <w:spacing w:val="0"/>
                <w:w w:val="100"/>
                <w:position w:val="0"/>
                <w:sz w:val="18"/>
                <w:szCs w:val="18"/>
              </w:rPr>
              <w:t>〉</w:t>
            </w:r>
            <w:r>
              <w:rPr>
                <w:color w:val="000000"/>
                <w:spacing w:val="0"/>
                <w:w w:val="100"/>
                <w:position w:val="0"/>
              </w:rPr>
              <w:t>的议案》、《关于注销全资子公司的议案》、《关于变 更注册资本并修订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部分条款的议案》、《关于公司向 银行申请综合授信的议案》、《关于对外投资设立东华总部（山 东）软件有限公司的议案》、《关于召开公司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 时股东大会的议案》。</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审议通过了《关于增选第七届董事会非独立董事的议案》、《关 于调整募投项目募集资金使用金额的议案》、《关于变更部分募</w:t>
            </w:r>
          </w:p>
        </w:tc>
      </w:tr>
    </w:tbl>
    <w:p>
      <w:pPr>
        <w:spacing w:lineRule="exact" w:line="1"/>
        <w:rPr>
          <w:sz w:val="2"/>
          <w:szCs w:val="2"/>
        </w:rPr>
      </w:pPr>
      <w:r>
        <w:br w:type="page"/>
      </w:r>
    </w:p>
    <w:tbl>
      <w:tblPr>
        <w:tblOverlap w:val="never"/>
        <w:jc w:val="center"/>
        <w:tblLayout w:type="fixed"/>
      </w:tblPr>
      <w:tblGrid>
        <w:gridCol w:w="1570"/>
        <w:gridCol w:w="1560"/>
        <w:gridCol w:w="1555"/>
        <w:gridCol w:w="490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集资金项目实施主体并开立募集资金专户的议案》、《关于使用 募集资金向募投项目实施主体提供借款实施募投项目的议 案》、《关于修订</w:t>
            </w:r>
            <w:r>
              <w:rPr>
                <w:color w:val="000000"/>
                <w:spacing w:val="0"/>
                <w:w w:val="100"/>
                <w:position w:val="0"/>
                <w:sz w:val="18"/>
                <w:szCs w:val="18"/>
              </w:rPr>
              <w:t>〈</w:t>
            </w:r>
            <w:r>
              <w:rPr>
                <w:color w:val="000000"/>
                <w:spacing w:val="0"/>
                <w:w w:val="100"/>
                <w:position w:val="0"/>
              </w:rPr>
              <w:t>战略委员会实施细则</w:t>
            </w:r>
            <w:r>
              <w:rPr>
                <w:color w:val="000000"/>
                <w:spacing w:val="0"/>
                <w:w w:val="100"/>
                <w:position w:val="0"/>
                <w:sz w:val="18"/>
                <w:szCs w:val="18"/>
              </w:rPr>
              <w:t>〉</w:t>
            </w:r>
            <w:r>
              <w:rPr>
                <w:color w:val="000000"/>
                <w:spacing w:val="0"/>
                <w:w w:val="100"/>
                <w:position w:val="0"/>
              </w:rPr>
              <w:t>的议案》、《关于修订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薪酬与考核委员会实施细则</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审计委员会 实施细则</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提名委员会实施细则</w:t>
            </w:r>
            <w:r>
              <w:rPr>
                <w:color w:val="000000"/>
                <w:spacing w:val="0"/>
                <w:w w:val="100"/>
                <w:position w:val="0"/>
                <w:sz w:val="18"/>
                <w:szCs w:val="18"/>
              </w:rPr>
              <w:t>〉</w:t>
            </w:r>
            <w:r>
              <w:rPr>
                <w:color w:val="000000"/>
                <w:spacing w:val="0"/>
                <w:w w:val="100"/>
                <w:position w:val="0"/>
              </w:rPr>
              <w:t>的议 案》、《关于修订</w:t>
            </w:r>
            <w:r>
              <w:rPr>
                <w:color w:val="000000"/>
                <w:spacing w:val="0"/>
                <w:w w:val="100"/>
                <w:position w:val="0"/>
                <w:sz w:val="18"/>
                <w:szCs w:val="18"/>
              </w:rPr>
              <w:t>〈</w:t>
            </w:r>
            <w:r>
              <w:rPr>
                <w:color w:val="000000"/>
                <w:spacing w:val="0"/>
                <w:w w:val="100"/>
                <w:position w:val="0"/>
              </w:rPr>
              <w:t>募集资金管理及使用制度</w:t>
            </w:r>
            <w:r>
              <w:rPr>
                <w:color w:val="000000"/>
                <w:spacing w:val="0"/>
                <w:w w:val="100"/>
                <w:position w:val="0"/>
                <w:sz w:val="18"/>
                <w:szCs w:val="18"/>
              </w:rPr>
              <w:t>〉</w:t>
            </w:r>
            <w:r>
              <w:rPr>
                <w:color w:val="000000"/>
                <w:spacing w:val="0"/>
                <w:w w:val="100"/>
                <w:position w:val="0"/>
              </w:rPr>
              <w:t>的议案》、《关于召 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审议通过了《关于控股子公司增资扩股暨引入战略投资者的议 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审议通过了《关于对外投资设立深圳东之华软件有限公司的议 案》、《关于公司拟向银行申请综合授信的议案》。</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审议通过了《关于控股子公司增资扩股暨引入投资者的议案》</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、董事出席董事会及股东大会的情况</w:t>
      </w:r>
      <w:bookmarkEnd w:id="360"/>
      <w:bookmarkEnd w:id="361"/>
      <w:bookmarkEnd w:id="363"/>
    </w:p>
    <w:tbl>
      <w:tblPr>
        <w:tblOverlap w:val="never"/>
        <w:jc w:val="center"/>
        <w:tblLayout w:type="fixed"/>
      </w:tblPr>
      <w:tblGrid>
        <w:gridCol w:w="1142"/>
        <w:gridCol w:w="1459"/>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是否连续两次</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未亲自参加董</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陈广域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王以朋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、董事对公司有关事项提出异议的情况</w:t>
      </w:r>
      <w:bookmarkEnd w:id="364"/>
      <w:bookmarkEnd w:id="365"/>
      <w:bookmarkEnd w:id="36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60" w:right="1052" w:bottom="1479" w:left="1065" w:header="0" w:footer="3" w:gutter="0"/>
          <w:cols w:space="720"/>
          <w:noEndnote/>
          <w:rtlGutter w:val="0"/>
          <w:docGrid w:linePitch="360"/>
        </w:sectPr>
      </w:pPr>
      <w:r>
        <w:rPr>
          <w:color w:val="000000"/>
          <w:spacing w:val="0"/>
          <w:w w:val="100"/>
          <w:position w:val="0"/>
        </w:rPr>
        <w:t>报告期内董事对公司有关事项未提出异议。</w:t>
      </w:r>
    </w:p>
    <w:p>
      <w:pPr>
        <w:pStyle w:val="Style29"/>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、董事履行职责的其他说明</w:t>
      </w:r>
      <w:bookmarkEnd w:id="368"/>
      <w:bookmarkEnd w:id="369"/>
      <w:bookmarkEnd w:id="371"/>
    </w:p>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400" w:line="322" w:lineRule="exact"/>
        <w:ind w:left="0" w:right="0" w:firstLine="380"/>
        <w:jc w:val="left"/>
      </w:pPr>
      <w:r>
        <w:rPr>
          <w:color w:val="000000"/>
          <w:spacing w:val="0"/>
          <w:w w:val="100"/>
          <w:position w:val="0"/>
        </w:rPr>
        <w:t>报告期内，公司非独立董事、独立董事严格按照中国证监会和深交所的相关规定以及《公司章程》《董事会议事规则》开展工作，勤勉尽责，根据公司的实际情况，对公司的 重大治理和经营决策提出了相关的意见，经过充分沟通讨论，形成一致意见，并坚决监督和推动董事会决议的执行，确保决策科学、及时、高效，维护公司和全体股东的合法权益。</w:t>
      </w:r>
    </w:p>
    <w:p>
      <w:pPr>
        <w:pStyle w:val="Style24"/>
        <w:keepNext/>
        <w:keepLines/>
        <w:widowControl w:val="0"/>
        <w:shd w:val="clear" w:color="auto" w:fill="auto"/>
        <w:bidi w:val="0"/>
        <w:spacing w:before="0" w:after="32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七</w:t>
      </w:r>
      <w:bookmarkEnd w:id="374"/>
      <w:r>
        <w:rPr>
          <w:color w:val="000000"/>
          <w:spacing w:val="0"/>
          <w:w w:val="100"/>
          <w:position w:val="0"/>
        </w:rPr>
        <w:t>、董事会下设专门委员会在报告期内的情况</w:t>
      </w:r>
      <w:bookmarkEnd w:id="372"/>
      <w:bookmarkEnd w:id="373"/>
      <w:bookmarkEnd w:id="375"/>
    </w:p>
    <w:tbl>
      <w:tblPr>
        <w:tblOverlap w:val="never"/>
        <w:jc w:val="center"/>
        <w:tblLayout w:type="fixed"/>
      </w:tblPr>
      <w:tblGrid>
        <w:gridCol w:w="1099"/>
        <w:gridCol w:w="1272"/>
        <w:gridCol w:w="811"/>
        <w:gridCol w:w="1656"/>
        <w:gridCol w:w="5760"/>
        <w:gridCol w:w="1243"/>
        <w:gridCol w:w="1037"/>
        <w:gridCol w:w="1147"/>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05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刘尔奎、杨健、 李燕、王以朋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审议：《关于控股子公司股权转让暨关联交易的议案》、《关于公司向银行 申请综合授信业务的议案》、《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年第四季度内部审计工作报告》、《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年第一季度内部审计工作计划》。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审议：《关于会计政策变更的议案》、《关于申请银行授信及担保的议案》。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与会计师事务所沟通公司年度审计工作。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审议：《关于控股子公司申请银行授信及提供担保的议案》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0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年度财务决算报告》、《关于续聘会计师事务所的议案》、《关 于计提长期股权投资减值准备和商誉减值准备的议案》、《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 制自我评价报告》、《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年第一季度报告》全文及正文、《关于公司申请 银行授信的议案》、《关于子公司申请银行授信及担保事项的议案》、《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年度内部审计工作报告》、《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年第一季度内部审计工作报告》、《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年第二季度内部审计工作计划》。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审议：《关于公司申请银行授信的议案》、《关于控股子公司向银行申请综 合授信及担保的议案》、《关于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审议：《关于公司申请银行授信的议案》、《关于子公司申请银行授信及担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99"/>
        <w:gridCol w:w="1272"/>
        <w:gridCol w:w="811"/>
        <w:gridCol w:w="1656"/>
        <w:gridCol w:w="5760"/>
        <w:gridCol w:w="1243"/>
        <w:gridCol w:w="1037"/>
        <w:gridCol w:w="1147"/>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保事项的议案》。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审议：《关于公司向银行申请综合授信的议案》。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审议：《关于公司向银行申请综合授信的议案》、《关于公司为控股子公司 提供担保的议案》、《关于控股子公司向银行申请综合授信及担保的议案》、</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《关于公司为全资子公司提供担保的议案》、《关于全资子公司向银行申请 综合授信及担保的议案》。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审议：《关于全资子公司受让财产份额暨关联交易的议案》。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年半年度报告》全文及摘要、《关于公司向银行申请综合授 信的议案》、《关于全资子公司向银行申请综合授信及担保的议案》、《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年第二季度内部审计工作报告》、《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年第三季度内部审计工作计划》。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审议：《关于公司向银行申请综合授信的议案》、《关于控股子公司股权转 让暨关联交易的议案》。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审议：《关于公司向银行申请综合授信的议案》。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5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年第三季度报告》、《关于公司向银行申请综合授信的议 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年第三季度内部审计工作报告》、《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年第四季度内部审计 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审议：《关于调整募投项目资金使用金额的议案》、《关于变更部分募集资 金项目实施主体并开立募集资金专门的议案》、《关于使用募集资金向募投 项目实施主体提供借款实施募投项目的议案》。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审议：《关于公司拟向银行申请综合授信的议案》。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薛向东、吕波、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栾大龙</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审议：《关于对外投资签订股权增资协议的议案》、《关于控股子公司股权 转让暨关联交易的议案》。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审议：《关于对外投资设立东华智慧城市（江门）技术有限公司的议案》、 《关于内部股权架构调整的议案》。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审议：《关于对外投资设立东华住云（湖南）科技有限公司的议案》。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99"/>
        <w:gridCol w:w="1272"/>
        <w:gridCol w:w="811"/>
        <w:gridCol w:w="1656"/>
        <w:gridCol w:w="5760"/>
        <w:gridCol w:w="1243"/>
        <w:gridCol w:w="1037"/>
        <w:gridCol w:w="1147"/>
      </w:tblGrid>
      <w:tr>
        <w:trPr>
          <w:trHeight w:val="44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审议：《关于对外投资设立山西东华软件科技有限公司的议案》。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审议：《关于控股子公司对外投资的议案》。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5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审议：《关于对外投资设立东华智云（光山）科技有限公司的议案》、《关 于对外投资设立东华丝路科技有限公司的议案》、《关于对外投资设立蚌埠 东华软件有限公司的议案》。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审议：《关于控股子公司对外投资设立东华医为大数据上海有限公司的议 案》、《关于全资子公司对外投资设立成都东华智联科技有限公司的议案》、</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《关于对子公司增资的议案》、《关于内部股权架构调整的议案》。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审议：《关于对外投资设立白银东华软件有限公司的议案》。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审议：《关于全资子公司对外投资设立有限合伙企业的议案》。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审议：《关于对外投资设立广西东华软件有限公司的议案》。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审议：《关于对外投资设立德州东华软件有限公司的议案》；《关于控股孙 公司对外投资设立全资子公司的议案》。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审议：《关于对外投资设立东华总部（山东）软件有限公司的议案》、《关 于注销全资子公司的议案》。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审议：《关于控股子公司增资扩股暨引入战略投资者的议案》。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审议：《关于对外投资设立深圳东之华软件有限公司》。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审议：《关于控股子公司增资扩股暨引入投资者的议案》。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薛向东、王以 朋、刘尔奎</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审议：《关于聘任公司首席执行官（</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审议：《关于增选第七届董事会非独立董事的议案》。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刘尔奎、栾大 龙、王以朋、薛 向东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年度高级管理人员薪酬考核的议案》。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6840" w:h="11900" w:orient="landscape"/>
          <w:pgMar w:top="1131" w:right="1357" w:bottom="1279" w:left="1375" w:header="0" w:footer="3" w:gutter="0"/>
          <w:cols w:space="720"/>
          <w:noEndnote/>
          <w:rtlGutter w:val="0"/>
          <w:docGrid w:linePitch="360"/>
        </w:sectPr>
      </w:pPr>
    </w:p>
    <w:p>
      <w:pPr>
        <w:pStyle w:val="Style24"/>
        <w:keepNext/>
        <w:keepLines/>
        <w:widowControl w:val="0"/>
        <w:shd w:val="clear" w:color="auto" w:fill="auto"/>
        <w:bidi w:val="0"/>
        <w:spacing w:before="80" w:after="38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八</w:t>
      </w:r>
      <w:bookmarkEnd w:id="378"/>
      <w:r>
        <w:rPr>
          <w:color w:val="000000"/>
          <w:spacing w:val="0"/>
          <w:w w:val="100"/>
          <w:position w:val="0"/>
        </w:rPr>
        <w:t>、监事会工作情况</w:t>
      </w:r>
      <w:bookmarkEnd w:id="376"/>
      <w:bookmarkEnd w:id="377"/>
      <w:bookmarkEnd w:id="37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九</w:t>
      </w:r>
      <w:bookmarkEnd w:id="382"/>
      <w:r>
        <w:rPr>
          <w:color w:val="000000"/>
          <w:spacing w:val="0"/>
          <w:w w:val="100"/>
          <w:position w:val="0"/>
        </w:rPr>
        <w:t>、公司员工情况</w:t>
      </w:r>
      <w:bookmarkEnd w:id="380"/>
      <w:bookmarkEnd w:id="381"/>
      <w:bookmarkEnd w:id="383"/>
    </w:p>
    <w:p>
      <w:pPr>
        <w:pStyle w:val="Style29"/>
        <w:keepNext/>
        <w:keepLines/>
        <w:widowControl w:val="0"/>
        <w:shd w:val="clear" w:color="auto" w:fill="auto"/>
        <w:bidi w:val="0"/>
        <w:spacing w:before="0" w:after="32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、员工数量、专业构成及教育程度</w:t>
      </w:r>
      <w:bookmarkEnd w:id="384"/>
      <w:bookmarkEnd w:id="385"/>
      <w:bookmarkEnd w:id="387"/>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2,072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9,694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1,097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9,674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w:t>
            </w:r>
          </w:p>
        </w:tc>
      </w:tr>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1,792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8,651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、薪酬政策</w:t>
      </w:r>
      <w:bookmarkEnd w:id="388"/>
      <w:bookmarkEnd w:id="389"/>
      <w:bookmarkEnd w:id="391"/>
    </w:p>
    <w:p>
      <w:pPr>
        <w:pStyle w:val="Style18"/>
        <w:keepNext w:val="0"/>
        <w:keepLines w:val="0"/>
        <w:widowControl w:val="0"/>
        <w:shd w:val="clear" w:color="auto" w:fill="auto"/>
        <w:bidi w:val="0"/>
        <w:spacing w:before="0" w:after="320" w:line="323" w:lineRule="exact"/>
        <w:ind w:left="0" w:right="0" w:firstLine="380"/>
        <w:jc w:val="left"/>
      </w:pPr>
      <w:r>
        <w:rPr>
          <w:color w:val="000000"/>
          <w:spacing w:val="0"/>
          <w:w w:val="100"/>
          <w:position w:val="0"/>
        </w:rPr>
        <w:t>公司严格按照《中华人民共和国劳动合同法》和相关法律法规的规定，结合自身经营状况与行业薪酬水平，在综合考虑 各岗位价值和效能的前提下，设计公司薪酬架构体系，并严格按照国家规定为公司员工缴纳医疗保险金、养老保险、失业保 险、工伤保险、生育保险、公积金。同时，公司提供员工持股计划、绩效挂钩奖励制度等进一步调动管理者和核心员工的工 作积极性。公司通过科学的薪酬体系、完备的福利保障、丰富的激励机制，持续加强人才队伍的培养，有效促进公司持续健 康发展。</w:t>
      </w:r>
    </w:p>
    <w:p>
      <w:pPr>
        <w:pStyle w:val="Style18"/>
        <w:keepNext w:val="0"/>
        <w:keepLines w:val="0"/>
        <w:widowControl w:val="0"/>
        <w:shd w:val="clear" w:color="auto" w:fill="auto"/>
        <w:bidi w:val="0"/>
        <w:spacing w:before="0" w:after="40" w:line="32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400" w:line="331" w:lineRule="exact"/>
        <w:ind w:left="0" w:right="0" w:firstLine="380"/>
        <w:jc w:val="both"/>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sz w:val="18"/>
          <w:szCs w:val="18"/>
        </w:rPr>
        <w:t>185,147.70</w:t>
      </w:r>
      <w:r>
        <w:rPr>
          <w:color w:val="000000"/>
          <w:spacing w:val="0"/>
          <w:w w:val="100"/>
          <w:position w:val="0"/>
        </w:rPr>
        <w:t>万元，占公司成本总额的</w:t>
      </w:r>
      <w:r>
        <w:rPr>
          <w:rFonts w:ascii="Times New Roman" w:eastAsia="Times New Roman" w:hAnsi="Times New Roman" w:cs="Times New Roman"/>
          <w:color w:val="000000"/>
          <w:spacing w:val="0"/>
          <w:w w:val="100"/>
          <w:position w:val="0"/>
          <w:sz w:val="18"/>
          <w:szCs w:val="18"/>
        </w:rPr>
        <w:t>17.75%</w:t>
      </w:r>
      <w:r>
        <w:rPr>
          <w:color w:val="000000"/>
          <w:spacing w:val="0"/>
          <w:w w:val="100"/>
          <w:position w:val="0"/>
        </w:rPr>
        <w:t>，利润对职工薪酬变化较 为敏感。</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培训计划</w:t>
      </w:r>
      <w:bookmarkEnd w:id="392"/>
      <w:bookmarkEnd w:id="393"/>
      <w:bookmarkEnd w:id="395"/>
    </w:p>
    <w:p>
      <w:pPr>
        <w:pStyle w:val="Style18"/>
        <w:keepNext w:val="0"/>
        <w:keepLines w:val="0"/>
        <w:widowControl w:val="0"/>
        <w:shd w:val="clear" w:color="auto" w:fill="auto"/>
        <w:bidi w:val="0"/>
        <w:spacing w:before="0" w:after="400" w:line="320" w:lineRule="exact"/>
        <w:ind w:left="0" w:right="0" w:firstLine="380"/>
        <w:jc w:val="both"/>
      </w:pPr>
      <w:r>
        <w:rPr>
          <w:color w:val="000000"/>
          <w:spacing w:val="0"/>
          <w:w w:val="100"/>
          <w:position w:val="0"/>
        </w:rPr>
        <w:t>公司十分重视人才的培养和储备，不断完善员工培训管理机制，积极寻求优质培训资源，着力提高全体员工的综合素质 和专业技能，建立专业、高效的人才队伍。公司结合自身发展状况、岗位要求、企业文化及个人职业发展，制定了分级培训 计划，采取现场培训与网络培训相结合的方式，有针对性地开展新员工入职培训与在职人员专业技能培训，实现公司可持续 发展和员工自身职业技能提升的共赢。</w:t>
      </w:r>
    </w:p>
    <w:p>
      <w:pPr>
        <w:pStyle w:val="Style29"/>
        <w:keepNext/>
        <w:keepLines/>
        <w:widowControl w:val="0"/>
        <w:shd w:val="clear" w:color="auto" w:fill="auto"/>
        <w:tabs>
          <w:tab w:pos="378" w:val="left"/>
        </w:tabs>
        <w:bidi w:val="0"/>
        <w:spacing w:before="0" w:after="40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劳务外包情况</w:t>
      </w:r>
      <w:bookmarkEnd w:id="396"/>
      <w:bookmarkEnd w:id="397"/>
      <w:bookmarkEnd w:id="399"/>
    </w:p>
    <w:p>
      <w:pPr>
        <w:pStyle w:val="Style18"/>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400" w:name="bookmark400"/>
      <w:bookmarkStart w:id="401" w:name="bookmark401"/>
      <w:bookmarkStart w:id="402" w:name="bookmark402"/>
      <w:r>
        <w:rPr>
          <w:color w:val="000000"/>
          <w:spacing w:val="0"/>
          <w:w w:val="100"/>
          <w:position w:val="0"/>
        </w:rPr>
        <w:t>十、公司利润分配及资本公积金转增股本情况</w:t>
      </w:r>
      <w:bookmarkEnd w:id="400"/>
      <w:bookmarkEnd w:id="401"/>
      <w:bookmarkEnd w:id="402"/>
    </w:p>
    <w:p>
      <w:pPr>
        <w:pStyle w:val="Style18"/>
        <w:keepNext w:val="0"/>
        <w:keepLines w:val="0"/>
        <w:widowControl w:val="0"/>
        <w:shd w:val="clear" w:color="auto" w:fill="auto"/>
        <w:bidi w:val="0"/>
        <w:spacing w:before="0" w:after="140" w:line="323"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23" w:lineRule="exact"/>
        <w:ind w:left="0" w:right="0" w:firstLine="380"/>
        <w:jc w:val="both"/>
      </w:pPr>
      <w:r>
        <w:rPr>
          <w:color w:val="000000"/>
          <w:spacing w:val="0"/>
          <w:w w:val="100"/>
          <w:position w:val="0"/>
        </w:rPr>
        <w:t xml:space="preserve">公司严格按照《公司章程》制定现金分红方案。报告期内，公司实施了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年度利润分配预案》，以公司权益分派登记日的公司股本为股份基数，向全体股东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元（含税），本方案已于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日实施完毕。利润分配政策符合《公司章程》及审议 程序的规定，独立董事发表了独立意见，充分保护中小投资者的合法权益。实际实施的权益分派方案与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 议的利润分配方案一致。</w:t>
      </w:r>
    </w:p>
    <w:tbl>
      <w:tblPr>
        <w:tblOverlap w:val="never"/>
        <w:jc w:val="center"/>
        <w:tblLayout w:type="fixed"/>
      </w:tblPr>
      <w:tblGrid>
        <w:gridCol w:w="6389"/>
        <w:gridCol w:w="3197"/>
      </w:tblGrid>
      <w:tr>
        <w:trPr>
          <w:trHeight w:val="41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18"/>
        <w:gridCol w:w="5467"/>
      </w:tblGrid>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3,205,482,375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160,274,118.75</w:t>
            </w:r>
          </w:p>
        </w:tc>
      </w:tr>
    </w:tbl>
    <w:p>
      <w:pPr>
        <w:spacing w:lineRule="exact" w:line="1"/>
        <w:rPr>
          <w:sz w:val="2"/>
          <w:szCs w:val="2"/>
        </w:rPr>
      </w:pPr>
      <w:r>
        <w:br w:type="page"/>
      </w:r>
    </w:p>
    <w:tbl>
      <w:tblPr>
        <w:tblOverlap w:val="never"/>
        <w:jc w:val="center"/>
        <w:tblLayout w:type="fixed"/>
      </w:tblPr>
      <w:tblGrid>
        <w:gridCol w:w="4118"/>
        <w:gridCol w:w="546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160,274,118.75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2,734,045,719.25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44"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公司拟以现有总股本</w:t>
            </w:r>
            <w:r>
              <w:rPr>
                <w:rFonts w:ascii="Times New Roman" w:eastAsia="Times New Roman" w:hAnsi="Times New Roman" w:cs="Times New Roman"/>
                <w:color w:val="000000"/>
                <w:spacing w:val="0"/>
                <w:w w:val="100"/>
                <w:position w:val="0"/>
                <w:sz w:val="18"/>
                <w:szCs w:val="18"/>
              </w:rPr>
              <w:t>3,205,482,375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元（含税），该方案尚需提交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年度股东大会审议批准。</w:t>
            </w:r>
          </w:p>
        </w:tc>
      </w:tr>
    </w:tbl>
    <w:p>
      <w:pPr>
        <w:widowControl w:val="0"/>
        <w:spacing w:after="319" w:line="1" w:lineRule="exact"/>
      </w:pPr>
    </w:p>
    <w:p>
      <w:pPr>
        <w:pStyle w:val="Style24"/>
        <w:keepNext/>
        <w:keepLines/>
        <w:widowControl w:val="0"/>
        <w:shd w:val="clear" w:color="auto" w:fill="auto"/>
        <w:bidi w:val="0"/>
        <w:spacing w:before="0" w:after="400" w:line="240" w:lineRule="auto"/>
        <w:ind w:left="0" w:right="0" w:firstLine="0"/>
        <w:jc w:val="left"/>
      </w:pPr>
      <w:bookmarkStart w:id="403" w:name="bookmark403"/>
      <w:bookmarkStart w:id="404" w:name="bookmark404"/>
      <w:bookmarkStart w:id="405" w:name="bookmark405"/>
      <w:r>
        <w:rPr>
          <w:color w:val="000000"/>
          <w:spacing w:val="0"/>
          <w:w w:val="100"/>
          <w:position w:val="0"/>
        </w:rPr>
        <w:t>十一、公司股权激励计划、员工持股计划或其他员工激励措施的实施情况</w:t>
      </w:r>
      <w:bookmarkEnd w:id="403"/>
      <w:bookmarkEnd w:id="404"/>
      <w:bookmarkEnd w:id="405"/>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tabs>
          <w:tab w:pos="368" w:val="left"/>
        </w:tabs>
        <w:bidi w:val="0"/>
        <w:spacing w:before="0" w:after="40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t>股权激励</w:t>
      </w:r>
      <w:bookmarkEnd w:id="406"/>
      <w:bookmarkEnd w:id="407"/>
      <w:bookmarkEnd w:id="40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40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员工持股计划的实施情况</w:t>
      </w:r>
      <w:bookmarkEnd w:id="410"/>
      <w:bookmarkEnd w:id="411"/>
      <w:bookmarkEnd w:id="413"/>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3269"/>
        <w:gridCol w:w="994"/>
        <w:gridCol w:w="1416"/>
        <w:gridCol w:w="850"/>
        <w:gridCol w:w="1277"/>
        <w:gridCol w:w="1781"/>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员工人数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持有的股票总额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占上市公司股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实施计划的资金来源</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董事、监事及高级管理人员与其他员工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26,412,422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79" w:line="1" w:lineRule="exact"/>
      </w:pPr>
    </w:p>
    <w:tbl>
      <w:tblPr>
        <w:tblOverlap w:val="never"/>
        <w:jc w:val="center"/>
        <w:tblLayout w:type="fixed"/>
      </w:tblPr>
      <w:tblGrid>
        <w:gridCol w:w="1142"/>
        <w:gridCol w:w="1843"/>
        <w:gridCol w:w="1843"/>
        <w:gridCol w:w="2410"/>
        <w:gridCol w:w="234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报告期初持股数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占上市公司股本总额的比例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4,964,542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1,584,428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1,584,428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1142"/>
        <w:gridCol w:w="1843"/>
        <w:gridCol w:w="1843"/>
        <w:gridCol w:w="2410"/>
        <w:gridCol w:w="234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蒋恕慧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尹继南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132,036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任安彪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夏金崇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105,629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报告期内资产管理机构的变更情况</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报告期内因持有人处置份额等引起的权益变动情况</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报告期内股东权利行使的情况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报告期内员工持股计划的其他相关情形及说明</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报告期内，员工持股计划持有人因发生离职情形依照员工持股计划管理办法进行处置，符合员工持股计划的约定。</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员工持股计划管理委员会成员发生变化</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报告期内，员工持股计划管理委员会其中一位成员因离职退出并按照员工持股计划管理办法进行调整。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员工持股计划对报告期上市公司的财务影响及相关会计处理</w:t>
      </w:r>
    </w:p>
    <w:p>
      <w:pPr>
        <w:pStyle w:val="Style18"/>
        <w:keepNext w:val="0"/>
        <w:keepLines w:val="0"/>
        <w:widowControl w:val="0"/>
        <w:numPr>
          <w:ilvl w:val="0"/>
          <w:numId w:val="7"/>
        </w:numPr>
        <w:shd w:val="clear" w:color="auto" w:fill="auto"/>
        <w:tabs>
          <w:tab w:pos="282" w:val="left"/>
          <w:tab w:pos="728" w:val="left"/>
        </w:tabs>
        <w:bidi w:val="0"/>
        <w:spacing w:before="0" w:after="160" w:line="240" w:lineRule="auto"/>
        <w:ind w:left="0" w:right="0" w:firstLine="0"/>
        <w:jc w:val="left"/>
      </w:pPr>
      <w:bookmarkStart w:id="414" w:name="bookmark414"/>
      <w:bookmarkEnd w:id="414"/>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报告期内员工持股计划终止的情况</w:t>
      </w:r>
    </w:p>
    <w:p>
      <w:pPr>
        <w:pStyle w:val="Style18"/>
        <w:keepNext w:val="0"/>
        <w:keepLines w:val="0"/>
        <w:widowControl w:val="0"/>
        <w:numPr>
          <w:ilvl w:val="0"/>
          <w:numId w:val="7"/>
        </w:numPr>
        <w:shd w:val="clear" w:color="auto" w:fill="auto"/>
        <w:tabs>
          <w:tab w:pos="282" w:val="left"/>
          <w:tab w:pos="728" w:val="left"/>
        </w:tabs>
        <w:bidi w:val="0"/>
        <w:spacing w:before="0" w:after="160" w:line="240" w:lineRule="auto"/>
        <w:ind w:left="0" w:right="0" w:firstLine="0"/>
        <w:jc w:val="left"/>
      </w:pPr>
      <w:bookmarkStart w:id="415" w:name="bookmark415"/>
      <w:bookmarkEnd w:id="41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、其他员工激励措施</w:t>
      </w:r>
      <w:bookmarkEnd w:id="416"/>
      <w:bookmarkEnd w:id="417"/>
      <w:bookmarkEnd w:id="419"/>
    </w:p>
    <w:p>
      <w:pPr>
        <w:pStyle w:val="Style18"/>
        <w:keepNext w:val="0"/>
        <w:keepLines w:val="0"/>
        <w:widowControl w:val="0"/>
        <w:numPr>
          <w:ilvl w:val="0"/>
          <w:numId w:val="7"/>
        </w:numPr>
        <w:shd w:val="clear" w:color="auto" w:fill="auto"/>
        <w:tabs>
          <w:tab w:pos="282" w:val="left"/>
        </w:tabs>
        <w:bidi w:val="0"/>
        <w:spacing w:before="0" w:after="160" w:line="240" w:lineRule="auto"/>
        <w:ind w:left="0" w:right="0" w:firstLine="0"/>
        <w:jc w:val="left"/>
      </w:pPr>
      <w:bookmarkStart w:id="420" w:name="bookmark420"/>
      <w:bookmarkEnd w:id="4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keepLines/>
        <w:widowControl w:val="0"/>
        <w:shd w:val="clear" w:color="auto" w:fill="auto"/>
        <w:bidi w:val="0"/>
        <w:spacing w:before="0" w:after="380" w:line="240" w:lineRule="auto"/>
        <w:ind w:left="0" w:right="0" w:firstLine="0"/>
        <w:jc w:val="left"/>
      </w:pPr>
      <w:bookmarkStart w:id="421" w:name="bookmark421"/>
      <w:bookmarkStart w:id="422" w:name="bookmark422"/>
      <w:bookmarkStart w:id="423" w:name="bookmark423"/>
      <w:r>
        <w:rPr>
          <w:color w:val="000000"/>
          <w:spacing w:val="0"/>
          <w:w w:val="100"/>
          <w:position w:val="0"/>
        </w:rPr>
        <w:t>十二、报告期内的内部控制制度建设及实施情况</w:t>
      </w:r>
      <w:bookmarkEnd w:id="421"/>
      <w:bookmarkEnd w:id="422"/>
      <w:bookmarkEnd w:id="423"/>
    </w:p>
    <w:p>
      <w:pPr>
        <w:pStyle w:val="Style29"/>
        <w:keepNext/>
        <w:keepLines/>
        <w:widowControl w:val="0"/>
        <w:shd w:val="clear" w:color="auto" w:fill="auto"/>
        <w:tabs>
          <w:tab w:pos="368"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w:t>
        <w:tab/>
        <w:t>内部控制建设及实施情况</w:t>
      </w:r>
      <w:bookmarkEnd w:id="424"/>
      <w:bookmarkEnd w:id="425"/>
      <w:bookmarkEnd w:id="427"/>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公司严格按照《公司法》、《深圳证券交易所上市公司自律监管指引第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主板上市公司规范运作》、《企业内部 控制基本规范》、《企业内部控制评价指引》等相关法律法规及有关上市公司治理的规范性文件要求，遵循内部控制的基本 原则，不断完善法人治理结构，进一步提升公司治理水平，加强公司内部控制，规范运作。公司董事会及管理层重视内部控 制体系的建立健全工作，通过完善法人治理结构、内部组织架构、内部控制制度，基本建立起一个科学的控制体系，并根据 管理需要及内部控制环境的变化适时予以调整完善。公司《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年度内部控制自我评价报告》全面、真实、准确地反映了公 司内部控制的实际情况，报告期内公司不存在内部控制重大缺陷和重要缺陷。</w:t>
      </w:r>
    </w:p>
    <w:p>
      <w:pPr>
        <w:pStyle w:val="Style29"/>
        <w:keepNext/>
        <w:keepLines/>
        <w:widowControl w:val="0"/>
        <w:shd w:val="clear" w:color="auto" w:fill="auto"/>
        <w:tabs>
          <w:tab w:pos="378" w:val="left"/>
        </w:tabs>
        <w:bidi w:val="0"/>
        <w:spacing w:before="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报告期内发现的内部控制重大缺陷的具体情况</w:t>
      </w:r>
      <w:bookmarkEnd w:id="428"/>
      <w:bookmarkEnd w:id="429"/>
      <w:bookmarkEnd w:id="431"/>
    </w:p>
    <w:p>
      <w:pPr>
        <w:pStyle w:val="Style18"/>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both"/>
      </w:pPr>
      <w:bookmarkStart w:id="432" w:name="bookmark432"/>
      <w:bookmarkStart w:id="433" w:name="bookmark433"/>
      <w:bookmarkStart w:id="434" w:name="bookmark434"/>
      <w:r>
        <w:rPr>
          <w:color w:val="000000"/>
          <w:spacing w:val="0"/>
          <w:w w:val="100"/>
          <w:position w:val="0"/>
        </w:rPr>
        <w:t>十三、公司报告期内对子公司的管理控制情况</w:t>
      </w:r>
      <w:bookmarkEnd w:id="432"/>
      <w:bookmarkEnd w:id="433"/>
      <w:bookmarkEnd w:id="434"/>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r>
        <w:rPr>
          <w:color w:val="000000"/>
          <w:spacing w:val="0"/>
          <w:w w:val="100"/>
          <w:position w:val="0"/>
        </w:rPr>
        <w:t>十四、内部控制自我评价报告或内部控制审计报告</w:t>
      </w:r>
      <w:bookmarkEnd w:id="435"/>
      <w:bookmarkEnd w:id="436"/>
      <w:bookmarkEnd w:id="437"/>
    </w:p>
    <w:p>
      <w:pPr>
        <w:pStyle w:val="Style29"/>
        <w:keepNext/>
        <w:keepLines/>
        <w:widowControl w:val="0"/>
        <w:shd w:val="clear" w:color="auto" w:fill="auto"/>
        <w:bidi w:val="0"/>
        <w:spacing w:before="0" w:after="32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、内控自我评价报告</w:t>
      </w:r>
      <w:bookmarkEnd w:id="438"/>
      <w:bookmarkEnd w:id="439"/>
      <w:bookmarkEnd w:id="441"/>
    </w:p>
    <w:tbl>
      <w:tblPr>
        <w:tblOverlap w:val="never"/>
        <w:jc w:val="center"/>
        <w:tblLayout w:type="fixed"/>
      </w:tblPr>
      <w:tblGrid>
        <w:gridCol w:w="2659"/>
        <w:gridCol w:w="3197"/>
        <w:gridCol w:w="3730"/>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年度内部控制自我评价报告》刊登于巨潮资讯网(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属于财务报告重大缺陷的情形：</w:t>
            </w:r>
          </w:p>
          <w:p>
            <w:pPr>
              <w:pStyle w:val="Style21"/>
              <w:keepNext w:val="0"/>
              <w:keepLines w:val="0"/>
              <w:widowControl w:val="0"/>
              <w:numPr>
                <w:ilvl w:val="0"/>
                <w:numId w:val="9"/>
              </w:numPr>
              <w:shd w:val="clear" w:color="auto" w:fill="auto"/>
              <w:tabs>
                <w:tab w:pos="187" w:val="left"/>
              </w:tabs>
              <w:bidi w:val="0"/>
              <w:spacing w:before="0" w:after="0" w:line="322" w:lineRule="exact"/>
              <w:ind w:left="0" w:right="0" w:firstLine="0"/>
              <w:jc w:val="both"/>
            </w:pPr>
            <w:r>
              <w:rPr>
                <w:color w:val="000000"/>
                <w:spacing w:val="0"/>
                <w:w w:val="100"/>
                <w:position w:val="0"/>
              </w:rPr>
              <w:t>公司董事、监事及高级管理人员的舞 弊行为；</w:t>
            </w:r>
          </w:p>
          <w:p>
            <w:pPr>
              <w:pStyle w:val="Style21"/>
              <w:keepNext w:val="0"/>
              <w:keepLines w:val="0"/>
              <w:widowControl w:val="0"/>
              <w:numPr>
                <w:ilvl w:val="0"/>
                <w:numId w:val="9"/>
              </w:numPr>
              <w:shd w:val="clear" w:color="auto" w:fill="auto"/>
              <w:tabs>
                <w:tab w:pos="187" w:val="left"/>
              </w:tabs>
              <w:bidi w:val="0"/>
              <w:spacing w:before="0" w:after="0" w:line="322" w:lineRule="exact"/>
              <w:ind w:left="0" w:right="0" w:firstLine="0"/>
              <w:jc w:val="both"/>
            </w:pPr>
            <w:r>
              <w:rPr>
                <w:color w:val="000000"/>
                <w:spacing w:val="0"/>
                <w:w w:val="100"/>
                <w:position w:val="0"/>
              </w:rPr>
              <w:t>公司更正已发布的财务报告；</w:t>
            </w:r>
          </w:p>
          <w:p>
            <w:pPr>
              <w:pStyle w:val="Style21"/>
              <w:keepNext w:val="0"/>
              <w:keepLines w:val="0"/>
              <w:widowControl w:val="0"/>
              <w:numPr>
                <w:ilvl w:val="0"/>
                <w:numId w:val="9"/>
              </w:numPr>
              <w:shd w:val="clear" w:color="auto" w:fill="auto"/>
              <w:tabs>
                <w:tab w:pos="182" w:val="left"/>
              </w:tabs>
              <w:bidi w:val="0"/>
              <w:spacing w:before="0" w:after="0" w:line="322" w:lineRule="exact"/>
              <w:ind w:left="0" w:right="0" w:firstLine="0"/>
              <w:jc w:val="both"/>
            </w:pPr>
            <w:r>
              <w:rPr>
                <w:color w:val="000000"/>
                <w:spacing w:val="0"/>
                <w:w w:val="100"/>
                <w:position w:val="0"/>
              </w:rPr>
              <w:t>注册会计师发现的却未被公司内部控 制识别的当期财务报告中的重大错报；</w:t>
            </w:r>
          </w:p>
          <w:p>
            <w:pPr>
              <w:pStyle w:val="Style21"/>
              <w:keepNext w:val="0"/>
              <w:keepLines w:val="0"/>
              <w:widowControl w:val="0"/>
              <w:numPr>
                <w:ilvl w:val="0"/>
                <w:numId w:val="9"/>
              </w:numPr>
              <w:shd w:val="clear" w:color="auto" w:fill="auto"/>
              <w:tabs>
                <w:tab w:pos="187" w:val="left"/>
              </w:tabs>
              <w:bidi w:val="0"/>
              <w:spacing w:before="0" w:after="0" w:line="322" w:lineRule="exact"/>
              <w:ind w:left="0" w:right="0" w:firstLine="0"/>
              <w:jc w:val="both"/>
            </w:pPr>
            <w:r>
              <w:rPr>
                <w:color w:val="000000"/>
                <w:spacing w:val="0"/>
                <w:w w:val="100"/>
                <w:position w:val="0"/>
              </w:rPr>
              <w:t>审计委员会和审计内控部门对公司的 对外财务报告和财务报告内部控制监督 无效。</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属于财务报告重要缺陷的情形：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非财务报告重大缺陷的存在迹象包括：</w:t>
            </w:r>
          </w:p>
          <w:p>
            <w:pPr>
              <w:pStyle w:val="Style21"/>
              <w:keepNext w:val="0"/>
              <w:keepLines w:val="0"/>
              <w:widowControl w:val="0"/>
              <w:numPr>
                <w:ilvl w:val="0"/>
                <w:numId w:val="11"/>
              </w:numPr>
              <w:shd w:val="clear" w:color="auto" w:fill="auto"/>
              <w:tabs>
                <w:tab w:pos="187" w:val="left"/>
              </w:tabs>
              <w:bidi w:val="0"/>
              <w:spacing w:before="0" w:after="40" w:line="317" w:lineRule="exact"/>
              <w:ind w:left="0" w:right="0" w:firstLine="0"/>
              <w:jc w:val="left"/>
            </w:pPr>
            <w:r>
              <w:rPr>
                <w:color w:val="000000"/>
                <w:spacing w:val="0"/>
                <w:w w:val="100"/>
                <w:position w:val="0"/>
              </w:rPr>
              <w:t>严重违反国家法律、法规，并造成重大损失；</w:t>
            </w:r>
          </w:p>
          <w:p>
            <w:pPr>
              <w:pStyle w:val="Style21"/>
              <w:keepNext w:val="0"/>
              <w:keepLines w:val="0"/>
              <w:widowControl w:val="0"/>
              <w:numPr>
                <w:ilvl w:val="0"/>
                <w:numId w:val="11"/>
              </w:numPr>
              <w:shd w:val="clear" w:color="auto" w:fill="auto"/>
              <w:tabs>
                <w:tab w:pos="187" w:val="left"/>
              </w:tabs>
              <w:bidi w:val="0"/>
              <w:spacing w:before="0" w:after="40" w:line="317" w:lineRule="exact"/>
              <w:ind w:left="0" w:right="0" w:firstLine="0"/>
              <w:jc w:val="left"/>
            </w:pPr>
            <w:r>
              <w:rPr>
                <w:color w:val="000000"/>
                <w:spacing w:val="0"/>
                <w:w w:val="100"/>
                <w:position w:val="0"/>
              </w:rPr>
              <w:t>缺乏民主决策程序，决策程序不科学或出现 重大失误，给公司造成重大财产损失；</w:t>
            </w:r>
          </w:p>
          <w:p>
            <w:pPr>
              <w:pStyle w:val="Style21"/>
              <w:keepNext w:val="0"/>
              <w:keepLines w:val="0"/>
              <w:widowControl w:val="0"/>
              <w:numPr>
                <w:ilvl w:val="0"/>
                <w:numId w:val="11"/>
              </w:numPr>
              <w:shd w:val="clear" w:color="auto" w:fill="auto"/>
              <w:tabs>
                <w:tab w:pos="187" w:val="left"/>
              </w:tabs>
              <w:bidi w:val="0"/>
              <w:spacing w:before="0" w:after="120" w:line="317" w:lineRule="exact"/>
              <w:ind w:left="0" w:right="0" w:firstLine="0"/>
              <w:jc w:val="left"/>
            </w:pPr>
            <w:r>
              <w:rPr>
                <w:color w:val="000000"/>
                <w:spacing w:val="0"/>
                <w:w w:val="100"/>
                <w:position w:val="0"/>
              </w:rPr>
              <w:t>重要业务制度性缺失或制度运行系统性失</w:t>
            </w: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效；</w:t>
            </w:r>
          </w:p>
          <w:p>
            <w:pPr>
              <w:pStyle w:val="Style21"/>
              <w:keepNext w:val="0"/>
              <w:keepLines w:val="0"/>
              <w:widowControl w:val="0"/>
              <w:numPr>
                <w:ilvl w:val="0"/>
                <w:numId w:val="11"/>
              </w:numPr>
              <w:shd w:val="clear" w:color="auto" w:fill="auto"/>
              <w:tabs>
                <w:tab w:pos="187" w:val="left"/>
              </w:tabs>
              <w:bidi w:val="0"/>
              <w:spacing w:before="0" w:after="40" w:line="317" w:lineRule="exact"/>
              <w:ind w:left="0" w:right="0" w:firstLine="0"/>
              <w:jc w:val="left"/>
            </w:pPr>
            <w:r>
              <w:rPr>
                <w:color w:val="000000"/>
                <w:spacing w:val="0"/>
                <w:w w:val="100"/>
                <w:position w:val="0"/>
              </w:rPr>
              <w:t>严重违规并处以重罚或承担刑事责任。</w:t>
            </w: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非财务报告重要缺陷的存在迹象包括：</w:t>
            </w:r>
          </w:p>
          <w:p>
            <w:pPr>
              <w:pStyle w:val="Style21"/>
              <w:keepNext w:val="0"/>
              <w:keepLines w:val="0"/>
              <w:widowControl w:val="0"/>
              <w:numPr>
                <w:ilvl w:val="0"/>
                <w:numId w:val="13"/>
              </w:numPr>
              <w:shd w:val="clear" w:color="auto" w:fill="auto"/>
              <w:tabs>
                <w:tab w:pos="192" w:val="left"/>
              </w:tabs>
              <w:bidi w:val="0"/>
              <w:spacing w:before="0" w:after="40" w:line="317" w:lineRule="exact"/>
              <w:ind w:left="0" w:right="0" w:firstLine="0"/>
              <w:jc w:val="left"/>
            </w:pPr>
            <w:r>
              <w:rPr>
                <w:color w:val="000000"/>
                <w:spacing w:val="0"/>
                <w:w w:val="100"/>
                <w:position w:val="0"/>
              </w:rPr>
              <w:t>决策程序存在缺陷，可能导致一般失误；</w:t>
            </w:r>
          </w:p>
          <w:p>
            <w:pPr>
              <w:pStyle w:val="Style21"/>
              <w:keepNext w:val="0"/>
              <w:keepLines w:val="0"/>
              <w:widowControl w:val="0"/>
              <w:numPr>
                <w:ilvl w:val="0"/>
                <w:numId w:val="13"/>
              </w:numPr>
              <w:shd w:val="clear" w:color="auto" w:fill="auto"/>
              <w:tabs>
                <w:tab w:pos="187" w:val="left"/>
              </w:tabs>
              <w:bidi w:val="0"/>
              <w:spacing w:before="0" w:after="40" w:line="317" w:lineRule="exact"/>
              <w:ind w:left="0" w:right="0" w:firstLine="0"/>
              <w:jc w:val="left"/>
            </w:pPr>
            <w:r>
              <w:rPr>
                <w:color w:val="000000"/>
                <w:spacing w:val="0"/>
                <w:w w:val="100"/>
                <w:position w:val="0"/>
              </w:rPr>
              <w:t>违反企业内部规章，形成损失；</w:t>
            </w:r>
          </w:p>
        </w:tc>
      </w:tr>
    </w:tbl>
    <w:p>
      <w:pPr>
        <w:spacing w:lineRule="exact" w:line="1"/>
        <w:rPr>
          <w:sz w:val="2"/>
          <w:szCs w:val="2"/>
        </w:rPr>
      </w:pPr>
      <w:r>
        <w:br w:type="page"/>
      </w:r>
    </w:p>
    <w:tbl>
      <w:tblPr>
        <w:tblOverlap w:val="never"/>
        <w:jc w:val="center"/>
        <w:tblLayout w:type="fixed"/>
      </w:tblPr>
      <w:tblGrid>
        <w:gridCol w:w="2659"/>
        <w:gridCol w:w="3197"/>
        <w:gridCol w:w="3730"/>
      </w:tblGrid>
      <w:tr>
        <w:trPr>
          <w:trHeight w:val="3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numPr>
                <w:ilvl w:val="0"/>
                <w:numId w:val="15"/>
              </w:numPr>
              <w:shd w:val="clear" w:color="auto" w:fill="auto"/>
              <w:tabs>
                <w:tab w:pos="187" w:val="left"/>
              </w:tabs>
              <w:bidi w:val="0"/>
              <w:spacing w:before="0" w:after="0" w:line="331" w:lineRule="exact"/>
              <w:ind w:left="0" w:right="0" w:firstLine="0"/>
              <w:jc w:val="left"/>
            </w:pPr>
            <w:r>
              <w:rPr>
                <w:color w:val="000000"/>
                <w:spacing w:val="0"/>
                <w:w w:val="100"/>
                <w:position w:val="0"/>
              </w:rPr>
              <w:t>未按照公认会计准则选择和应用会计 政策；</w:t>
            </w:r>
          </w:p>
          <w:p>
            <w:pPr>
              <w:pStyle w:val="Style21"/>
              <w:keepNext w:val="0"/>
              <w:keepLines w:val="0"/>
              <w:widowControl w:val="0"/>
              <w:numPr>
                <w:ilvl w:val="0"/>
                <w:numId w:val="15"/>
              </w:numPr>
              <w:shd w:val="clear" w:color="auto" w:fill="auto"/>
              <w:tabs>
                <w:tab w:pos="187" w:val="left"/>
              </w:tabs>
              <w:bidi w:val="0"/>
              <w:spacing w:before="0" w:after="0" w:line="326" w:lineRule="exact"/>
              <w:ind w:left="0" w:right="0" w:firstLine="0"/>
              <w:jc w:val="left"/>
            </w:pPr>
            <w:r>
              <w:rPr>
                <w:color w:val="000000"/>
                <w:spacing w:val="0"/>
                <w:w w:val="100"/>
                <w:position w:val="0"/>
              </w:rPr>
              <w:t>公司内控系统未建立反舞弊程序和控 制措施；</w:t>
            </w:r>
          </w:p>
          <w:p>
            <w:pPr>
              <w:pStyle w:val="Style21"/>
              <w:keepNext w:val="0"/>
              <w:keepLines w:val="0"/>
              <w:widowControl w:val="0"/>
              <w:numPr>
                <w:ilvl w:val="0"/>
                <w:numId w:val="15"/>
              </w:numPr>
              <w:shd w:val="clear" w:color="auto" w:fill="auto"/>
              <w:tabs>
                <w:tab w:pos="182" w:val="left"/>
              </w:tabs>
              <w:bidi w:val="0"/>
              <w:spacing w:before="0" w:after="0" w:line="326" w:lineRule="exact"/>
              <w:ind w:left="0" w:right="0" w:firstLine="0"/>
              <w:jc w:val="left"/>
            </w:pPr>
            <w:r>
              <w:rPr>
                <w:color w:val="000000"/>
                <w:spacing w:val="0"/>
                <w:w w:val="100"/>
                <w:position w:val="0"/>
              </w:rPr>
              <w:t>重要的业务流程或系统存在缺陷；</w:t>
            </w:r>
          </w:p>
          <w:p>
            <w:pPr>
              <w:pStyle w:val="Style21"/>
              <w:keepNext w:val="0"/>
              <w:keepLines w:val="0"/>
              <w:widowControl w:val="0"/>
              <w:numPr>
                <w:ilvl w:val="0"/>
                <w:numId w:val="15"/>
              </w:numPr>
              <w:shd w:val="clear" w:color="auto" w:fill="auto"/>
              <w:tabs>
                <w:tab w:pos="197" w:val="left"/>
              </w:tabs>
              <w:bidi w:val="0"/>
              <w:spacing w:before="0" w:after="0" w:line="326" w:lineRule="exact"/>
              <w:ind w:left="0" w:right="0" w:firstLine="0"/>
              <w:jc w:val="left"/>
            </w:pPr>
            <w:r>
              <w:rPr>
                <w:color w:val="000000"/>
                <w:spacing w:val="0"/>
                <w:w w:val="100"/>
                <w:position w:val="0"/>
              </w:rPr>
              <w:t>当期财务报告出现重要错报。</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属于财务报告一般缺陷的情形：未构成 重大缺陷、重要缺陷标准的其他内部控 制缺陷。</w:t>
            </w:r>
          </w:p>
        </w:tc>
        <w:tc>
          <w:tcPr>
            <w:tcBorders>
              <w:top w:val="single" w:sz="4"/>
              <w:left w:val="single" w:sz="4"/>
              <w:right w:val="single" w:sz="4"/>
            </w:tcBorders>
            <w:shd w:val="clear" w:color="auto" w:fill="FFFFFF"/>
            <w:vAlign w:val="top"/>
          </w:tcPr>
          <w:p>
            <w:pPr>
              <w:pStyle w:val="Style21"/>
              <w:keepNext w:val="0"/>
              <w:keepLines w:val="0"/>
              <w:widowControl w:val="0"/>
              <w:numPr>
                <w:ilvl w:val="0"/>
                <w:numId w:val="17"/>
              </w:numPr>
              <w:shd w:val="clear" w:color="auto" w:fill="auto"/>
              <w:tabs>
                <w:tab w:pos="187" w:val="left"/>
              </w:tabs>
              <w:bidi w:val="0"/>
              <w:spacing w:before="0" w:after="40" w:line="317" w:lineRule="exact"/>
              <w:ind w:left="0" w:right="0" w:firstLine="0"/>
              <w:jc w:val="left"/>
            </w:pPr>
            <w:r>
              <w:rPr>
                <w:color w:val="000000"/>
                <w:spacing w:val="0"/>
                <w:w w:val="100"/>
                <w:position w:val="0"/>
              </w:rPr>
              <w:t>关键岗位业务人员流失严重；</w:t>
            </w:r>
          </w:p>
          <w:p>
            <w:pPr>
              <w:pStyle w:val="Style21"/>
              <w:keepNext w:val="0"/>
              <w:keepLines w:val="0"/>
              <w:widowControl w:val="0"/>
              <w:numPr>
                <w:ilvl w:val="0"/>
                <w:numId w:val="17"/>
              </w:numPr>
              <w:shd w:val="clear" w:color="auto" w:fill="auto"/>
              <w:tabs>
                <w:tab w:pos="206" w:val="left"/>
              </w:tabs>
              <w:bidi w:val="0"/>
              <w:spacing w:before="0" w:after="40" w:line="317" w:lineRule="exact"/>
              <w:ind w:left="0" w:right="0" w:firstLine="0"/>
              <w:jc w:val="left"/>
            </w:pPr>
            <w:r>
              <w:rPr>
                <w:color w:val="000000"/>
                <w:spacing w:val="0"/>
                <w:w w:val="100"/>
                <w:position w:val="0"/>
              </w:rPr>
              <w:t>内部控制重要或一般缺陷未得到整改；</w:t>
            </w: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非财务报告一般缺陷的存在迹象包括：除上述 重大缺陷、重要缺陷之外的其他缺陷。</w:t>
            </w:r>
          </w:p>
        </w:tc>
      </w:tr>
      <w:tr>
        <w:trPr>
          <w:trHeight w:val="20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 直接损失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 利润总额的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color w:val="000000"/>
                <w:spacing w:val="0"/>
                <w:w w:val="100"/>
                <w:position w:val="0"/>
                <w:sz w:val="18"/>
                <w:szCs w:val="18"/>
              </w:rPr>
              <w:t>V</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或资产总额的</w:t>
            </w:r>
            <w:r>
              <w:rPr>
                <w:rFonts w:ascii="Times New Roman" w:eastAsia="Times New Roman" w:hAnsi="Times New Roman" w:cs="Times New Roman"/>
                <w:color w:val="000000"/>
                <w:spacing w:val="0"/>
                <w:w w:val="100"/>
                <w:position w:val="0"/>
                <w:sz w:val="18"/>
                <w:szCs w:val="18"/>
              </w:rPr>
              <w:t>0.2%W</w:t>
            </w:r>
            <w:r>
              <w:rPr>
                <w:color w:val="000000"/>
                <w:spacing w:val="0"/>
                <w:w w:val="100"/>
                <w:position w:val="0"/>
              </w:rPr>
              <w:t>错报</w:t>
            </w:r>
            <w:r>
              <w:rPr>
                <w:color w:val="000000"/>
                <w:spacing w:val="0"/>
                <w:w w:val="100"/>
                <w:position w:val="0"/>
                <w:sz w:val="18"/>
                <w:szCs w:val="18"/>
              </w:rPr>
              <w:t>V</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一般缺陷：错报</w:t>
            </w:r>
            <w:r>
              <w:rPr>
                <w:color w:val="000000"/>
                <w:spacing w:val="0"/>
                <w:w w:val="100"/>
                <w:position w:val="0"/>
                <w:sz w:val="18"/>
                <w:szCs w:val="18"/>
              </w:rPr>
              <w:t>V</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 错报</w:t>
            </w:r>
            <w:r>
              <w:rPr>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或直接 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；重要缺陷：利润总额 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color w:val="000000"/>
                <w:spacing w:val="0"/>
                <w:w w:val="100"/>
                <w:position w:val="0"/>
                <w:sz w:val="18"/>
                <w:szCs w:val="18"/>
              </w:rPr>
              <w:t>V</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或资产总额的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错报</w:t>
            </w:r>
            <w:r>
              <w:rPr>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一般缺陷：错 报</w:t>
            </w:r>
            <w:r>
              <w:rPr>
                <w:color w:val="000000"/>
                <w:spacing w:val="0"/>
                <w:w w:val="100"/>
                <w:position w:val="0"/>
                <w:sz w:val="18"/>
                <w:szCs w:val="18"/>
              </w:rPr>
              <w:t>V</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或错报</w:t>
            </w:r>
            <w:r>
              <w:rPr>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、内部控制审计报告</w:t>
      </w:r>
      <w:bookmarkEnd w:id="442"/>
      <w:bookmarkEnd w:id="443"/>
      <w:bookmarkEnd w:id="445"/>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096"/>
        <w:gridCol w:w="6490"/>
      </w:tblGrid>
      <w:tr>
        <w:trPr>
          <w:trHeight w:val="41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34"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大华会计师事务所（特殊普通合伙）对公司内部控制的有效性进行了评价，认为：东华软件股份公司按照《企业内部控 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日在所有重大方面保持了与财务报表相关的有效的内部控制。</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《内部控制鉴证报告》刊登于巨潮资讯网（</w:t>
            </w: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注：披露索引可以披露公告的编号、公告名称、公告披露的网站名称。</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会计师事务所出具非标准意见的内部控制审计报告的说明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会计师事务所出具的内部控制审计报告与董事会的自我评价报告意见不一致的原因说明</w:t>
      </w:r>
    </w:p>
    <w:p>
      <w:pPr>
        <w:pStyle w:val="Style24"/>
        <w:keepNext/>
        <w:keepLines/>
        <w:widowControl w:val="0"/>
        <w:shd w:val="clear" w:color="auto" w:fill="auto"/>
        <w:bidi w:val="0"/>
        <w:spacing w:before="0" w:after="260" w:line="240" w:lineRule="auto"/>
        <w:ind w:left="0" w:right="0" w:firstLine="0"/>
        <w:jc w:val="left"/>
      </w:pPr>
      <w:bookmarkStart w:id="446" w:name="bookmark446"/>
      <w:bookmarkStart w:id="447" w:name="bookmark447"/>
      <w:bookmarkStart w:id="448" w:name="bookmark448"/>
      <w:r>
        <w:rPr>
          <w:color w:val="000000"/>
          <w:spacing w:val="0"/>
          <w:w w:val="100"/>
          <w:position w:val="0"/>
        </w:rPr>
        <w:t>十五、上市公司治理专项行动自查问题整改情况</w:t>
      </w:r>
      <w:bookmarkEnd w:id="446"/>
      <w:bookmarkEnd w:id="447"/>
      <w:bookmarkEnd w:id="448"/>
    </w:p>
    <w:p>
      <w:pPr>
        <w:pStyle w:val="Style18"/>
        <w:keepNext w:val="0"/>
        <w:keepLines w:val="0"/>
        <w:widowControl w:val="0"/>
        <w:shd w:val="clear" w:color="auto" w:fill="auto"/>
        <w:bidi w:val="0"/>
        <w:spacing w:before="0" w:after="0" w:line="323" w:lineRule="exact"/>
        <w:ind w:left="0" w:right="0" w:firstLine="360"/>
        <w:jc w:val="both"/>
        <w:sectPr>
          <w:footnotePr>
            <w:pos w:val="pageBottom"/>
            <w:numFmt w:val="decimal"/>
            <w:numRestart w:val="continuous"/>
          </w:footnotePr>
          <w:pgSz w:w="11900" w:h="16840"/>
          <w:pgMar w:top="1388" w:right="1086" w:bottom="1470" w:left="1056" w:header="0" w:footer="3" w:gutter="0"/>
          <w:cols w:space="720"/>
          <w:noEndnote/>
          <w:rtlGutter w:val="0"/>
          <w:docGrid w:linePitch="360"/>
        </w:sectPr>
      </w:pPr>
      <w:r>
        <w:rPr>
          <w:color w:val="000000"/>
          <w:spacing w:val="0"/>
          <w:w w:val="100"/>
          <w:position w:val="0"/>
        </w:rPr>
        <w:t>根据中国证券会上市公司治理专项自查清单填报系统，公司本着实事求是的原则，严格对照《公司法》、《证券法》、 《上市公司信息披露管理办法》、《深圳证券交易所股票上市规则》、《深圳证券交易所上市公司自律监管指引第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 xml:space="preserve">一一 </w:t>
      </w:r>
      <w:r>
        <w:rPr>
          <w:color w:val="000000"/>
          <w:spacing w:val="0"/>
          <w:w w:val="100"/>
          <w:position w:val="0"/>
        </w:rPr>
        <w:t>主板上市公司规范运作》等有关法律法规、以及内部规章制度，对专项活动的自查事项进行了自查，并进行了认真地梳理填 报。通过本次自查，公司认为本公司治理结构完善，运作规范，不存在重大问题的失误。通过本次自查，公司认为本公司治 理结构完善，运作规范，不存在重大问题的失误。</w:t>
      </w:r>
    </w:p>
    <w:p>
      <w:pPr>
        <w:pStyle w:val="Style8"/>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第五节环境和社会责任</w:t>
      </w:r>
      <w:bookmarkEnd w:id="449"/>
      <w:bookmarkEnd w:id="450"/>
      <w:bookmarkEnd w:id="451"/>
    </w:p>
    <w:p>
      <w:pPr>
        <w:pStyle w:val="Style24"/>
        <w:keepNext/>
        <w:keepLines/>
        <w:widowControl w:val="0"/>
        <w:shd w:val="clear" w:color="auto" w:fill="auto"/>
        <w:tabs>
          <w:tab w:pos="517"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bookmarkStart w:id="456" w:name="bookmark456"/>
      <w:r>
        <w:rPr>
          <w:color w:val="000000"/>
          <w:spacing w:val="0"/>
          <w:w w:val="100"/>
          <w:position w:val="0"/>
        </w:rPr>
        <w:t>一</w:t>
      </w:r>
      <w:bookmarkEnd w:id="455"/>
      <w:r>
        <w:rPr>
          <w:color w:val="000000"/>
          <w:spacing w:val="0"/>
          <w:w w:val="100"/>
          <w:position w:val="0"/>
        </w:rPr>
        <w:t>、</w:t>
        <w:tab/>
        <w:t>重大环保问题</w:t>
      </w:r>
      <w:bookmarkEnd w:id="453"/>
      <w:bookmarkEnd w:id="454"/>
      <w:bookmarkEnd w:id="456"/>
      <w:bookmarkEnd w:id="452"/>
    </w:p>
    <w:p>
      <w:pPr>
        <w:pStyle w:val="Style18"/>
        <w:keepNext w:val="0"/>
        <w:keepLines w:val="0"/>
        <w:widowControl w:val="0"/>
        <w:shd w:val="clear" w:color="auto" w:fill="auto"/>
        <w:bidi w:val="0"/>
        <w:spacing w:before="0" w:after="120" w:line="320" w:lineRule="exact"/>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报告期内因环境问题受到行政处罚的情况</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120" w:line="32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80" w:line="320" w:lineRule="exact"/>
        <w:ind w:left="0" w:right="0" w:firstLine="500"/>
        <w:jc w:val="both"/>
      </w:pPr>
      <w:r>
        <w:rPr>
          <w:color w:val="000000"/>
          <w:spacing w:val="0"/>
          <w:w w:val="100"/>
          <w:position w:val="0"/>
        </w:rPr>
        <w:t>公司倡导节能减排，安全环保，根据《国务院办公厅关于严格执行公共建筑空调温度控制标准的通知》中“办公室、 会议室等办公区域，夏季室内空调温度设置不低于</w:t>
      </w:r>
      <w:r>
        <w:rPr>
          <w:color w:val="000000"/>
          <w:spacing w:val="0"/>
          <w:w w:val="100"/>
          <w:position w:val="0"/>
          <w:sz w:val="18"/>
          <w:szCs w:val="18"/>
        </w:rPr>
        <w:t>26°C</w:t>
      </w:r>
      <w:r>
        <w:rPr>
          <w:color w:val="000000"/>
          <w:spacing w:val="0"/>
          <w:w w:val="100"/>
          <w:position w:val="0"/>
        </w:rPr>
        <w:t>的要求，公司总部办公楼内使用</w:t>
      </w:r>
      <w:r>
        <w:rPr>
          <w:color w:val="000000"/>
          <w:spacing w:val="0"/>
          <w:w w:val="100"/>
          <w:position w:val="0"/>
          <w:sz w:val="18"/>
          <w:szCs w:val="18"/>
        </w:rPr>
        <w:t>VR</w:t>
      </w:r>
      <w:r>
        <w:rPr>
          <w:color w:val="000000"/>
          <w:spacing w:val="0"/>
          <w:w w:val="100"/>
          <w:position w:val="0"/>
          <w:sz w:val="18"/>
          <w:szCs w:val="18"/>
        </w:rPr>
        <w:t>V</w:t>
      </w:r>
      <w:r>
        <w:rPr>
          <w:color w:val="000000"/>
          <w:spacing w:val="0"/>
          <w:w w:val="100"/>
          <w:position w:val="0"/>
        </w:rPr>
        <w:t xml:space="preserve">中央空调，当夏季室内温度达到 </w:t>
      </w:r>
      <w:r>
        <w:rPr>
          <w:color w:val="000000"/>
          <w:spacing w:val="0"/>
          <w:w w:val="100"/>
          <w:position w:val="0"/>
          <w:sz w:val="18"/>
          <w:szCs w:val="18"/>
        </w:rPr>
        <w:t>30S</w:t>
      </w:r>
      <w:r>
        <w:rPr>
          <w:color w:val="000000"/>
          <w:spacing w:val="0"/>
          <w:w w:val="100"/>
          <w:position w:val="0"/>
        </w:rPr>
        <w:t>监控中心统一设定和集中控制空调开放权限，最大程度降低空调使用率，有效控制用电量和碳排放量，辅以有关职能 部门的不定期抽查，严格贯彻落实公司相关规定，加强员工的节约意识和环保意识。公司积极倡导绿色办公理念，通过完善 协同办公平台管理系统、</w:t>
      </w:r>
      <w:r>
        <w:rPr>
          <w:color w:val="000000"/>
          <w:spacing w:val="0"/>
          <w:w w:val="100"/>
          <w:position w:val="0"/>
          <w:sz w:val="18"/>
          <w:szCs w:val="18"/>
        </w:rPr>
        <w:t>MIS</w:t>
      </w:r>
      <w:r>
        <w:rPr>
          <w:color w:val="000000"/>
          <w:spacing w:val="0"/>
          <w:w w:val="100"/>
          <w:position w:val="0"/>
        </w:rPr>
        <w:t>合同管理系统及</w:t>
      </w:r>
      <w:r>
        <w:rPr>
          <w:color w:val="000000"/>
          <w:spacing w:val="0"/>
          <w:w w:val="100"/>
          <w:position w:val="0"/>
          <w:sz w:val="18"/>
          <w:szCs w:val="18"/>
        </w:rPr>
        <w:t>OA</w:t>
      </w:r>
      <w:r>
        <w:rPr>
          <w:color w:val="000000"/>
          <w:spacing w:val="0"/>
          <w:w w:val="100"/>
          <w:position w:val="0"/>
        </w:rPr>
        <w:t>办公系统，继续大力推动实现“无纸化办公”，减少纸张及墨盒消耗。在节 约用电方面，公司每天安排员工值班负责关灯关门，确保办公区域安全同时杜绝浪费。公司制定行政用车管理办法，加强对 油料使用和车辆维修管理，减少尾气排放；同时由专人管理合理调度，最大程度提高公车有效利用率，实现节能减排。公司 员工积极响应地方政府号召，绿色出行，多乘地铁、公交等公共交通通勤。</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w:t>
        <w:tab/>
        <w:t>社会责任情况</w:t>
      </w:r>
      <w:bookmarkEnd w:id="457"/>
      <w:bookmarkEnd w:id="458"/>
      <w:bookmarkEnd w:id="460"/>
    </w:p>
    <w:p>
      <w:pPr>
        <w:pStyle w:val="Style18"/>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具体内容详情参见巨潮资讯网(</w:t>
      </w:r>
      <w:r>
        <w:rPr>
          <w:rFonts w:ascii="Times New Roman" w:eastAsia="Times New Roman" w:hAnsi="Times New Roman" w:cs="Times New Roman"/>
          <w:color w:val="000000"/>
          <w:spacing w:val="0"/>
          <w:w w:val="100"/>
          <w:position w:val="0"/>
          <w:sz w:val="18"/>
          <w:szCs w:val="18"/>
        </w:rPr>
        <w:t>www. cninfo. 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年社会责任报告。</w:t>
      </w:r>
    </w:p>
    <w:p>
      <w:pPr>
        <w:pStyle w:val="Style24"/>
        <w:keepNext/>
        <w:keepLines/>
        <w:widowControl w:val="0"/>
        <w:shd w:val="clear" w:color="auto" w:fill="auto"/>
        <w:bidi w:val="0"/>
        <w:spacing w:before="0" w:after="2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 巩固拓展脱贫攻坚成果、乡村振兴的情况</w:t>
      </w:r>
      <w:bookmarkEnd w:id="461"/>
      <w:bookmarkEnd w:id="462"/>
      <w:bookmarkEnd w:id="464"/>
    </w:p>
    <w:p>
      <w:pPr>
        <w:pStyle w:val="Style18"/>
        <w:keepNext w:val="0"/>
        <w:keepLines w:val="0"/>
        <w:widowControl w:val="0"/>
        <w:shd w:val="clear" w:color="auto" w:fill="auto"/>
        <w:tabs>
          <w:tab w:pos="839" w:val="left"/>
        </w:tabs>
        <w:bidi w:val="0"/>
        <w:spacing w:before="0" w:after="120" w:line="320" w:lineRule="exact"/>
        <w:ind w:left="0" w:right="0" w:firstLine="500"/>
        <w:jc w:val="both"/>
      </w:pPr>
      <w:bookmarkStart w:id="465" w:name="bookmark465"/>
      <w:r>
        <w:rPr>
          <w:b/>
          <w:bCs/>
          <w:color w:val="000000"/>
          <w:spacing w:val="0"/>
          <w:w w:val="100"/>
          <w:position w:val="0"/>
        </w:rPr>
        <w:t>1</w:t>
      </w:r>
      <w:bookmarkEnd w:id="465"/>
      <w:r>
        <w:rPr>
          <w:b/>
          <w:bCs/>
          <w:color w:val="000000"/>
          <w:spacing w:val="0"/>
          <w:w w:val="100"/>
          <w:position w:val="0"/>
        </w:rPr>
        <w:t>、</w:t>
        <w:tab/>
        <w:t>巩固拓展脱贫攻坚成果</w:t>
      </w:r>
    </w:p>
    <w:p>
      <w:pPr>
        <w:pStyle w:val="Style18"/>
        <w:keepNext w:val="0"/>
        <w:keepLines w:val="0"/>
        <w:widowControl w:val="0"/>
        <w:shd w:val="clear" w:color="auto" w:fill="auto"/>
        <w:bidi w:val="0"/>
        <w:spacing w:before="0" w:after="120" w:line="319" w:lineRule="exact"/>
        <w:ind w:left="0" w:right="0" w:firstLine="500"/>
        <w:jc w:val="both"/>
      </w:pPr>
      <w:r>
        <w:rPr>
          <w:color w:val="000000"/>
          <w:spacing w:val="0"/>
          <w:w w:val="100"/>
          <w:position w:val="0"/>
        </w:rPr>
        <w:t>公司党委将十九大精神转化为具体行动，通过产业帮扶、公益捐赠、文化交流、提升公共服务水平等方式，进一步增 强帮扶贫困村提升内生发展动力，助力受帮扶贫困村和贫困人口按计划脱贫出列并实现稳定脱贫。公司积极对接河北易县“塘 湖镇北界安村”和“西山北乡长峪村”，通过购买当地农户们优质农副产品等方式，帮助贫困农户实现脱贫致富。</w:t>
      </w:r>
    </w:p>
    <w:p>
      <w:pPr>
        <w:pStyle w:val="Style18"/>
        <w:keepNext w:val="0"/>
        <w:keepLines w:val="0"/>
        <w:widowControl w:val="0"/>
        <w:shd w:val="clear" w:color="auto" w:fill="auto"/>
        <w:tabs>
          <w:tab w:pos="849" w:val="left"/>
        </w:tabs>
        <w:bidi w:val="0"/>
        <w:spacing w:before="0" w:after="120" w:line="320" w:lineRule="exact"/>
        <w:ind w:left="0" w:right="0" w:firstLine="500"/>
        <w:jc w:val="both"/>
      </w:pPr>
      <w:bookmarkStart w:id="466" w:name="bookmark466"/>
      <w:r>
        <w:rPr>
          <w:b/>
          <w:bCs/>
          <w:color w:val="000000"/>
          <w:spacing w:val="0"/>
          <w:w w:val="100"/>
          <w:position w:val="0"/>
        </w:rPr>
        <w:t>2</w:t>
      </w:r>
      <w:bookmarkEnd w:id="466"/>
      <w:r>
        <w:rPr>
          <w:b/>
          <w:bCs/>
          <w:color w:val="000000"/>
          <w:spacing w:val="0"/>
          <w:w w:val="100"/>
          <w:position w:val="0"/>
        </w:rPr>
        <w:t>、</w:t>
        <w:tab/>
        <w:t>科技助力乡村振兴</w:t>
      </w:r>
    </w:p>
    <w:p>
      <w:pPr>
        <w:pStyle w:val="Style18"/>
        <w:keepNext w:val="0"/>
        <w:keepLines w:val="0"/>
        <w:widowControl w:val="0"/>
        <w:shd w:val="clear" w:color="auto" w:fill="auto"/>
        <w:bidi w:val="0"/>
        <w:spacing w:before="0" w:after="120" w:line="321" w:lineRule="exact"/>
        <w:ind w:left="0" w:right="0" w:firstLine="500"/>
        <w:jc w:val="both"/>
        <w:sectPr>
          <w:footnotePr>
            <w:pos w:val="pageBottom"/>
            <w:numFmt w:val="decimal"/>
            <w:numRestart w:val="continuous"/>
          </w:footnotePr>
          <w:pgSz w:w="11900" w:h="16840"/>
          <w:pgMar w:top="1983" w:right="1032" w:bottom="1781" w:left="1104" w:header="0" w:footer="3" w:gutter="0"/>
          <w:cols w:space="720"/>
          <w:noEndnote/>
          <w:rtlGutter w:val="0"/>
          <w:docGrid w:linePitch="360"/>
        </w:sectPr>
      </w:pPr>
      <w:r>
        <w:rPr>
          <w:color w:val="000000"/>
          <w:spacing w:val="0"/>
          <w:w w:val="100"/>
          <w:position w:val="0"/>
        </w:rPr>
        <w:t>东华云携手合作伙伴通过多年持续积累并以新一代信息技术推动数字化乡村管理与科学种植；不断助力构建以知识创 新、技术创新、数据驱动为一体的农业产业链，助力农业农村数字化转型升级，打造数字乡村，持续助力乡村振兴。报告期 内，东华云先后交付山东莘县乡村振兴、河南光山县乡村振兴、甘肃定西乡村振兴、广西蒙山乡村振兴等数十个相关案例， 为国内该领域的重要推动者，东华乡村振兴团队多渠道战略伙伴携手打造乡村振兴创新解决方案，通过城乡产业协同与新型 销售渠道建设等为农民增产增收；通过物联网与人工智能等为农业提供智慧化科学种植，推动农村资产全流程交易等服务打 造了县域服务农民生产生活综合平台，助力乡村振兴可持续发展。</w:t>
      </w:r>
    </w:p>
    <w:p>
      <w:pPr>
        <w:pStyle w:val="Style8"/>
        <w:keepNext/>
        <w:keepLines/>
        <w:widowControl w:val="0"/>
        <w:shd w:val="clear" w:color="auto" w:fill="auto"/>
        <w:bidi w:val="0"/>
        <w:spacing w:before="560" w:after="580" w:line="240" w:lineRule="auto"/>
        <w:ind w:left="0" w:right="0" w:firstLine="0"/>
        <w:jc w:val="center"/>
      </w:pPr>
      <w:bookmarkStart w:id="467" w:name="bookmark467"/>
      <w:bookmarkStart w:id="468" w:name="bookmark468"/>
      <w:bookmarkStart w:id="469" w:name="bookmark469"/>
      <w:r>
        <w:rPr>
          <w:color w:val="000000"/>
          <w:spacing w:val="0"/>
          <w:w w:val="100"/>
          <w:position w:val="0"/>
        </w:rPr>
        <w:t>第六节重要事项</w:t>
      </w:r>
      <w:bookmarkEnd w:id="467"/>
      <w:bookmarkEnd w:id="468"/>
      <w:bookmarkEnd w:id="469"/>
    </w:p>
    <w:p>
      <w:pPr>
        <w:pStyle w:val="Style24"/>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bookmarkStart w:id="474" w:name="bookmark474"/>
      <w:r>
        <w:rPr>
          <w:color w:val="000000"/>
          <w:spacing w:val="0"/>
          <w:w w:val="100"/>
          <w:position w:val="0"/>
        </w:rPr>
        <w:t>一</w:t>
      </w:r>
      <w:bookmarkEnd w:id="473"/>
      <w:r>
        <w:rPr>
          <w:color w:val="000000"/>
          <w:spacing w:val="0"/>
          <w:w w:val="100"/>
          <w:position w:val="0"/>
        </w:rPr>
        <w:t>、承诺事项履行情况</w:t>
      </w:r>
      <w:bookmarkEnd w:id="471"/>
      <w:bookmarkEnd w:id="472"/>
      <w:bookmarkEnd w:id="474"/>
      <w:bookmarkEnd w:id="470"/>
    </w:p>
    <w:p>
      <w:pPr>
        <w:pStyle w:val="Style29"/>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、公司实际控制人、股东、关联方、收购人以及公司等承诺相关方在报告期内履行完毕及截至报告期末尚未履行完毕的承诺事项</w:t>
      </w:r>
      <w:bookmarkEnd w:id="475"/>
      <w:bookmarkEnd w:id="476"/>
      <w:bookmarkEnd w:id="478"/>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08"/>
        <w:gridCol w:w="2448"/>
        <w:gridCol w:w="2170"/>
        <w:gridCol w:w="3312"/>
        <w:gridCol w:w="1570"/>
        <w:gridCol w:w="850"/>
        <w:gridCol w:w="869"/>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5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薛向东、北京东华诚信电脑科 技发展有限公司、北京东华诚 信投资管理中心（有限合伙）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关于同业竞争、关联交易、 资金占用方面的承诺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不竞争承诺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履行中</w:t>
            </w:r>
          </w:p>
        </w:tc>
      </w:tr>
      <w:tr>
        <w:trPr>
          <w:trHeight w:val="105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薛向东、北京东华诚信电脑科 技发展有限公司、北京东华诚 信投资管理中心（有限合伙）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关于同业竞争、关联交易、 资金占用方面的承诺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履行中</w:t>
            </w:r>
          </w:p>
        </w:tc>
      </w:tr>
      <w:tr>
        <w:trPr>
          <w:trHeight w:val="391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关于公司填补回报措施能 够得到切实履行的承诺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、承诺依照相关法律、法规及《公司章程》 的有关规定行使股东权利，承诺不越权干 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承诺切实履行公司制定的有关填补回报的 相关措施以及本公司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本人对此作出的任 何有关填补回报措施的承诺，若违反上述 承诺或拒不履行上述承诺，本公司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本人同 意中国证监会、深圳证券交易所等证券监 管机构按照其制定或发布的有关规定、规 则对本公司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本人做出相关处罚或采取相 关监管措施；若违反上述承诺给公司或者 投资者造成损失的，本公司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本人愿意依法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08"/>
        <w:gridCol w:w="2448"/>
        <w:gridCol w:w="2170"/>
        <w:gridCol w:w="3312"/>
        <w:gridCol w:w="1570"/>
        <w:gridCol w:w="850"/>
        <w:gridCol w:w="86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承担对公司或者投资者的补偿责任。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1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关于公司填补回报措施能 够得到切实履行的承诺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 或者个人输送利益，也不采用其他方式损 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、承诺对本人的职务消费行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、承诺不动用公司资产从事 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承诺由董事会或薪酬与考核委员会制定的 薪酬制度与公司填补回报措施的执行情况 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、若公司后续推出公司股权激励 政策，承诺拟公布的公司股权激励的行权 条件与公司填补回报措施的执行情况相挂 钩。本人承诺切实履行公司制定的有关填 补回报措施以及本人对此作出的任何有关 填补回报措施的承诺，若违反上述承诺或 拒不履行上述承诺，本人同意中国证监会、 深圳证券交易等证券监管机构按照其制定 或发布的有关规定、规则对本人做出相关 处罚或采取相关监管措施；若违反上述承 诺给公司或者投资者造成损失的，本人愿 意依法承担对公司或者投资者的补偿责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履行中</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19" w:right="1412" w:bottom="1267" w:left="1402" w:header="0" w:footer="3" w:gutter="0"/>
          <w:cols w:space="720"/>
          <w:noEndnote/>
          <w:rtlGutter w:val="0"/>
          <w:docGrid w:linePitch="360"/>
        </w:sectPr>
      </w:pPr>
    </w:p>
    <w:p>
      <w:pPr>
        <w:pStyle w:val="Style29"/>
        <w:keepNext/>
        <w:keepLines/>
        <w:widowControl w:val="0"/>
        <w:shd w:val="clear" w:color="auto" w:fill="auto"/>
        <w:bidi w:val="0"/>
        <w:spacing w:before="0" w:after="260" w:line="331" w:lineRule="exact"/>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、公司资产或项目存在盈利预测，且报告期仍处在盈利预测期间，公司就资产或项目达到原盈利预测及 其原因做出说明</w:t>
      </w:r>
      <w:bookmarkEnd w:id="479"/>
      <w:bookmarkEnd w:id="480"/>
      <w:bookmarkEnd w:id="482"/>
    </w:p>
    <w:p>
      <w:pPr>
        <w:pStyle w:val="Style18"/>
        <w:keepNext w:val="0"/>
        <w:keepLines w:val="0"/>
        <w:widowControl w:val="0"/>
        <w:shd w:val="clear" w:color="auto" w:fill="auto"/>
        <w:bidi w:val="0"/>
        <w:spacing w:before="0" w:after="380" w:line="33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二</w:t>
      </w:r>
      <w:bookmarkEnd w:id="485"/>
      <w:r>
        <w:rPr>
          <w:color w:val="000000"/>
          <w:spacing w:val="0"/>
          <w:w w:val="100"/>
          <w:position w:val="0"/>
        </w:rPr>
        <w:t>、</w:t>
        <w:tab/>
        <w:t>控股股东及其他关联方对上市公司的非经营性占用资金情况</w:t>
      </w:r>
      <w:bookmarkEnd w:id="483"/>
      <w:bookmarkEnd w:id="484"/>
      <w:bookmarkEnd w:id="486"/>
    </w:p>
    <w:p>
      <w:pPr>
        <w:pStyle w:val="Style18"/>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三</w:t>
      </w:r>
      <w:bookmarkEnd w:id="489"/>
      <w:r>
        <w:rPr>
          <w:color w:val="000000"/>
          <w:spacing w:val="0"/>
          <w:w w:val="100"/>
          <w:position w:val="0"/>
        </w:rPr>
        <w:t>、</w:t>
        <w:tab/>
        <w:t>违规对外担保情况</w:t>
      </w:r>
      <w:bookmarkEnd w:id="487"/>
      <w:bookmarkEnd w:id="488"/>
      <w:bookmarkEnd w:id="490"/>
    </w:p>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四</w:t>
      </w:r>
      <w:bookmarkEnd w:id="49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91"/>
      <w:bookmarkEnd w:id="492"/>
      <w:bookmarkEnd w:id="494"/>
    </w:p>
    <w:p>
      <w:pPr>
        <w:pStyle w:val="Style18"/>
        <w:keepNext w:val="0"/>
        <w:keepLines w:val="0"/>
        <w:widowControl w:val="0"/>
        <w:shd w:val="clear" w:color="auto" w:fill="auto"/>
        <w:bidi w:val="0"/>
        <w:spacing w:before="0" w:after="380" w:line="33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五</w:t>
      </w:r>
      <w:bookmarkEnd w:id="49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95"/>
      <w:bookmarkEnd w:id="496"/>
      <w:bookmarkEnd w:id="498"/>
    </w:p>
    <w:p>
      <w:pPr>
        <w:pStyle w:val="Style18"/>
        <w:keepNext w:val="0"/>
        <w:keepLines w:val="0"/>
        <w:widowControl w:val="0"/>
        <w:shd w:val="clear" w:color="auto" w:fill="auto"/>
        <w:bidi w:val="0"/>
        <w:spacing w:before="0" w:after="260" w:line="389"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六</w:t>
      </w:r>
      <w:bookmarkEnd w:id="501"/>
      <w:r>
        <w:rPr>
          <w:color w:val="000000"/>
          <w:spacing w:val="0"/>
          <w:w w:val="100"/>
          <w:position w:val="0"/>
        </w:rPr>
        <w:t>、</w:t>
        <w:tab/>
        <w:t>与上年度财务报告相比，会计政策、会计估计变更或重大会计差错更正的情况说明</w:t>
      </w:r>
      <w:bookmarkEnd w:id="499"/>
      <w:bookmarkEnd w:id="500"/>
      <w:bookmarkEnd w:id="502"/>
    </w:p>
    <w:p>
      <w:pPr>
        <w:pStyle w:val="Style18"/>
        <w:keepNext w:val="0"/>
        <w:keepLines w:val="0"/>
        <w:widowControl w:val="0"/>
        <w:numPr>
          <w:ilvl w:val="0"/>
          <w:numId w:val="19"/>
        </w:numPr>
        <w:shd w:val="clear" w:color="auto" w:fill="auto"/>
        <w:tabs>
          <w:tab w:pos="286" w:val="left"/>
        </w:tabs>
        <w:bidi w:val="0"/>
        <w:spacing w:before="0" w:after="0" w:line="389" w:lineRule="auto"/>
        <w:ind w:left="0" w:right="0" w:firstLine="0"/>
        <w:jc w:val="both"/>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报告期公司会计政策调整情况详见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七</w:t>
      </w:r>
      <w:bookmarkEnd w:id="506"/>
      <w:r>
        <w:rPr>
          <w:color w:val="000000"/>
          <w:spacing w:val="0"/>
          <w:w w:val="100"/>
          <w:position w:val="0"/>
        </w:rPr>
        <w:t>、</w:t>
        <w:tab/>
        <w:t>与上年度财务报告相比，合并报表范围发生变化的情况说明</w:t>
      </w:r>
      <w:bookmarkEnd w:id="504"/>
      <w:bookmarkEnd w:id="505"/>
      <w:bookmarkEnd w:id="507"/>
    </w:p>
    <w:p>
      <w:pPr>
        <w:pStyle w:val="Style18"/>
        <w:keepNext w:val="0"/>
        <w:keepLines w:val="0"/>
        <w:widowControl w:val="0"/>
        <w:numPr>
          <w:ilvl w:val="0"/>
          <w:numId w:val="19"/>
        </w:numPr>
        <w:shd w:val="clear" w:color="auto" w:fill="auto"/>
        <w:tabs>
          <w:tab w:pos="286" w:val="left"/>
        </w:tabs>
        <w:bidi w:val="0"/>
        <w:spacing w:before="0" w:after="0" w:line="389" w:lineRule="auto"/>
        <w:ind w:left="0" w:right="0" w:firstLine="0"/>
        <w:jc w:val="both"/>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36" w:lineRule="exact"/>
        <w:ind w:left="0" w:right="0" w:firstLine="480"/>
        <w:jc w:val="both"/>
      </w:pPr>
      <w:r>
        <w:rPr>
          <w:color w:val="000000"/>
          <w:spacing w:val="0"/>
          <w:w w:val="100"/>
          <w:position w:val="0"/>
        </w:rPr>
        <w:t>报告期内纳入合并财务报表范围的子公司共</w:t>
      </w:r>
      <w:r>
        <w:rPr>
          <w:color w:val="000000"/>
          <w:spacing w:val="0"/>
          <w:w w:val="100"/>
          <w:position w:val="0"/>
          <w:sz w:val="18"/>
          <w:szCs w:val="18"/>
        </w:rPr>
        <w:t>64</w:t>
      </w:r>
      <w:r>
        <w:rPr>
          <w:color w:val="000000"/>
          <w:spacing w:val="0"/>
          <w:w w:val="100"/>
          <w:position w:val="0"/>
        </w:rPr>
        <w:t>家，新增</w:t>
      </w:r>
      <w:r>
        <w:rPr>
          <w:color w:val="000000"/>
          <w:spacing w:val="0"/>
          <w:w w:val="100"/>
          <w:position w:val="0"/>
          <w:sz w:val="18"/>
          <w:szCs w:val="18"/>
        </w:rPr>
        <w:t>8</w:t>
      </w:r>
      <w:r>
        <w:rPr>
          <w:color w:val="000000"/>
          <w:spacing w:val="0"/>
          <w:w w:val="100"/>
          <w:position w:val="0"/>
        </w:rPr>
        <w:t>家子公司，减少</w:t>
      </w:r>
      <w:r>
        <w:rPr>
          <w:color w:val="000000"/>
          <w:spacing w:val="0"/>
          <w:w w:val="100"/>
          <w:position w:val="0"/>
          <w:sz w:val="18"/>
          <w:szCs w:val="18"/>
        </w:rPr>
        <w:t>4</w:t>
      </w:r>
      <w:r>
        <w:rPr>
          <w:color w:val="000000"/>
          <w:spacing w:val="0"/>
          <w:w w:val="100"/>
          <w:position w:val="0"/>
        </w:rPr>
        <w:t>家子公司，由子公司转为孙公司</w:t>
      </w:r>
      <w:r>
        <w:rPr>
          <w:color w:val="000000"/>
          <w:spacing w:val="0"/>
          <w:w w:val="100"/>
          <w:position w:val="0"/>
          <w:sz w:val="18"/>
          <w:szCs w:val="18"/>
        </w:rPr>
        <w:t>1</w:t>
      </w:r>
      <w:r>
        <w:rPr>
          <w:color w:val="000000"/>
          <w:spacing w:val="0"/>
          <w:w w:val="100"/>
          <w:position w:val="0"/>
        </w:rPr>
        <w:t>家。合并范 围变更主体的具体信息详见“附注七、合并范围的变更”。</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八</w:t>
      </w:r>
      <w:bookmarkEnd w:id="511"/>
      <w:r>
        <w:rPr>
          <w:color w:val="000000"/>
          <w:spacing w:val="0"/>
          <w:w w:val="100"/>
          <w:position w:val="0"/>
        </w:rPr>
        <w:t>、</w:t>
        <w:tab/>
        <w:t>聘任、解聘会计师事务所情况</w:t>
      </w:r>
      <w:bookmarkEnd w:id="509"/>
      <w:bookmarkEnd w:id="510"/>
      <w:bookmarkEnd w:id="51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大华会计师事务所（特殊普通合伙）</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叶立萍、邢博晖</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九</w:t>
      </w:r>
      <w:bookmarkEnd w:id="515"/>
      <w:r>
        <w:rPr>
          <w:color w:val="000000"/>
          <w:spacing w:val="0"/>
          <w:w w:val="100"/>
          <w:position w:val="0"/>
        </w:rPr>
        <w:t>、年度报告披露后面临退市情况</w:t>
      </w:r>
      <w:bookmarkEnd w:id="513"/>
      <w:bookmarkEnd w:id="514"/>
      <w:bookmarkEnd w:id="51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17" w:name="bookmark517"/>
      <w:bookmarkStart w:id="518" w:name="bookmark518"/>
      <w:bookmarkStart w:id="519" w:name="bookmark519"/>
      <w:r>
        <w:rPr>
          <w:color w:val="000000"/>
          <w:spacing w:val="0"/>
          <w:w w:val="100"/>
          <w:position w:val="0"/>
        </w:rPr>
        <w:t>十、破产重整相关事项</w:t>
      </w:r>
      <w:bookmarkEnd w:id="517"/>
      <w:bookmarkEnd w:id="518"/>
      <w:bookmarkEnd w:id="51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r>
        <w:rPr>
          <w:color w:val="000000"/>
          <w:spacing w:val="0"/>
          <w:w w:val="100"/>
          <w:position w:val="0"/>
        </w:rPr>
        <w:t>十一、重大诉讼、仲裁事项</w:t>
      </w:r>
      <w:bookmarkEnd w:id="520"/>
      <w:bookmarkEnd w:id="521"/>
      <w:bookmarkEnd w:id="522"/>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992"/>
        <w:gridCol w:w="1421"/>
        <w:gridCol w:w="850"/>
        <w:gridCol w:w="1277"/>
        <w:gridCol w:w="1555"/>
        <w:gridCol w:w="1138"/>
        <w:gridCol w:w="566"/>
        <w:gridCol w:w="787"/>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涉案金额（万元）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是否形成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未达到重大诉讼的汇总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对公司无重大影响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r>
        <w:rPr>
          <w:color w:val="000000"/>
          <w:spacing w:val="0"/>
          <w:w w:val="100"/>
          <w:position w:val="0"/>
        </w:rPr>
        <w:t>十二、处罚及整改情况</w:t>
      </w:r>
      <w:bookmarkEnd w:id="523"/>
      <w:bookmarkEnd w:id="524"/>
      <w:bookmarkEnd w:id="525"/>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950"/>
        <w:gridCol w:w="475"/>
        <w:gridCol w:w="3259"/>
        <w:gridCol w:w="1666"/>
        <w:gridCol w:w="1200"/>
        <w:gridCol w:w="821"/>
        <w:gridCol w:w="1219"/>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10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公司及相 关人员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违反了《上市公司信息披露管理办法》（证 监会令第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号）第二条规定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中国证监会采取行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政监管措施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被出具警示函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2021-120</w:t>
            </w: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r>
        <w:rPr>
          <w:color w:val="000000"/>
          <w:spacing w:val="0"/>
          <w:w w:val="100"/>
          <w:position w:val="0"/>
        </w:rPr>
        <w:t>十三、公司及其控股股东、实际控制人的诚信状况</w:t>
      </w:r>
      <w:bookmarkEnd w:id="526"/>
      <w:bookmarkEnd w:id="527"/>
      <w:bookmarkEnd w:id="528"/>
    </w:p>
    <w:p>
      <w:pPr>
        <w:pStyle w:val="Style18"/>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93" w:right="1132" w:bottom="1475" w:left="10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rPr>
        <w:t>十四、重大关联交易</w:t>
      </w:r>
      <w:bookmarkEnd w:id="529"/>
      <w:bookmarkEnd w:id="530"/>
      <w:bookmarkEnd w:id="531"/>
    </w:p>
    <w:p>
      <w:pPr>
        <w:pStyle w:val="Style29"/>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、与日常经营相关的关联交易</w:t>
      </w:r>
      <w:bookmarkEnd w:id="532"/>
      <w:bookmarkEnd w:id="533"/>
      <w:bookmarkEnd w:id="535"/>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10"/>
        <w:gridCol w:w="1258"/>
        <w:gridCol w:w="706"/>
        <w:gridCol w:w="950"/>
        <w:gridCol w:w="792"/>
        <w:gridCol w:w="768"/>
        <w:gridCol w:w="1080"/>
        <w:gridCol w:w="931"/>
        <w:gridCol w:w="1037"/>
        <w:gridCol w:w="893"/>
        <w:gridCol w:w="845"/>
        <w:gridCol w:w="854"/>
        <w:gridCol w:w="912"/>
        <w:gridCol w:w="1090"/>
      </w:tblGrid>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占同类交</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易金额的</w:t>
            </w:r>
          </w:p>
          <w:p>
            <w:pPr>
              <w:pStyle w:val="Style21"/>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获批的交易</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腾讯云计算（北京）有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8,990.67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奇秦科技（北京）股份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本公司的联营 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新联合众（北京）科技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公司实际控制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人配偶控制的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7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腾讯云计算（长沙）有 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bl>
    <w:p>
      <w:pPr>
        <w:spacing w:lineRule="exact" w:line="1"/>
        <w:rPr>
          <w:sz w:val="2"/>
          <w:szCs w:val="2"/>
        </w:rPr>
      </w:pPr>
      <w:r>
        <w:br w:type="page"/>
      </w:r>
    </w:p>
    <w:tbl>
      <w:tblPr>
        <w:tblOverlap w:val="never"/>
        <w:jc w:val="center"/>
        <w:tblLayout w:type="fixed"/>
      </w:tblPr>
      <w:tblGrid>
        <w:gridCol w:w="1910"/>
        <w:gridCol w:w="1258"/>
        <w:gridCol w:w="706"/>
        <w:gridCol w:w="950"/>
        <w:gridCol w:w="792"/>
        <w:gridCol w:w="768"/>
        <w:gridCol w:w="1080"/>
        <w:gridCol w:w="931"/>
        <w:gridCol w:w="1037"/>
        <w:gridCol w:w="893"/>
        <w:gridCol w:w="845"/>
        <w:gridCol w:w="854"/>
        <w:gridCol w:w="912"/>
        <w:gridCol w:w="1090"/>
      </w:tblGrid>
      <w:tr>
        <w:trPr>
          <w:trHeight w:val="17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腾讯云计算（广西）有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合肥卓讯云网科技有限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本公司的联营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企业之子公司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购买商品、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北京卓讯科信技术有限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本公司的联营 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北京中关村银行股份有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实际控制人担</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北京农村商业银行股份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离任不满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月的独董担任 独董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销售商品、 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腾讯云计算（北京）有 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本公司参股股 东的关联方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销售商品、 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47,888.05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bl>
    <w:p>
      <w:pPr>
        <w:spacing w:lineRule="exact" w:line="1"/>
        <w:rPr>
          <w:sz w:val="2"/>
          <w:szCs w:val="2"/>
        </w:rPr>
      </w:pPr>
      <w:r>
        <w:br w:type="page"/>
      </w:r>
    </w:p>
    <w:tbl>
      <w:tblPr>
        <w:tblOverlap w:val="never"/>
        <w:jc w:val="center"/>
        <w:tblLayout w:type="fixed"/>
      </w:tblPr>
      <w:tblGrid>
        <w:gridCol w:w="1910"/>
        <w:gridCol w:w="1258"/>
        <w:gridCol w:w="706"/>
        <w:gridCol w:w="950"/>
        <w:gridCol w:w="792"/>
        <w:gridCol w:w="768"/>
        <w:gridCol w:w="1080"/>
        <w:gridCol w:w="931"/>
        <w:gridCol w:w="1037"/>
        <w:gridCol w:w="893"/>
        <w:gridCol w:w="845"/>
        <w:gridCol w:w="854"/>
        <w:gridCol w:w="912"/>
        <w:gridCol w:w="1090"/>
      </w:tblGrid>
      <w:tr>
        <w:trPr>
          <w:trHeight w:val="17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腾讯公益慈善基金会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销售商品、 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腾讯科技（深圳）有限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销售商品、 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河北雄安新区腾讯计算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深圳市腾讯计算机系统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6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腾讯大地通途（北京）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巨潮资讯网 《关于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 联交易预计 的公告》</w:t>
            </w:r>
          </w:p>
        </w:tc>
      </w:tr>
      <w:tr>
        <w:trPr>
          <w:trHeight w:val="10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广州腾讯科技有限公司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本公司参股股 东的关联方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合同结算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年度日常关</w:t>
            </w:r>
          </w:p>
        </w:tc>
      </w:tr>
    </w:tbl>
    <w:tbl>
      <w:tblPr>
        <w:tblOverlap w:val="never"/>
        <w:jc w:val="center"/>
        <w:tblLayout w:type="fixed"/>
      </w:tblPr>
      <w:tblGrid>
        <w:gridCol w:w="1910"/>
        <w:gridCol w:w="1258"/>
        <w:gridCol w:w="706"/>
        <w:gridCol w:w="950"/>
        <w:gridCol w:w="792"/>
        <w:gridCol w:w="768"/>
        <w:gridCol w:w="1080"/>
        <w:gridCol w:w="931"/>
        <w:gridCol w:w="1037"/>
        <w:gridCol w:w="893"/>
        <w:gridCol w:w="845"/>
        <w:gridCol w:w="854"/>
        <w:gridCol w:w="912"/>
        <w:gridCol w:w="1090"/>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联交易预计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41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62,486.21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62,486.21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7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按类别对本期将发生的日常关联交易进行总金额预计的，在 报告期内的实际履行情况（如有）</w:t>
            </w:r>
          </w:p>
        </w:tc>
        <w:tc>
          <w:tcPr>
            <w:gridSpan w:val="10"/>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报告期内，日常关联交易的预计金额内履行。</w:t>
            </w:r>
          </w:p>
        </w:tc>
      </w:tr>
      <w:tr>
        <w:trPr>
          <w:trHeight w:val="422"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资产或股权收购、出售发生的关联交易</w:t>
      </w:r>
      <w:bookmarkEnd w:id="536"/>
      <w:bookmarkEnd w:id="537"/>
      <w:bookmarkEnd w:id="539"/>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共同对外投资的关联交易</w:t>
      </w:r>
      <w:bookmarkEnd w:id="540"/>
      <w:bookmarkEnd w:id="541"/>
      <w:bookmarkEnd w:id="543"/>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关联债权债务往来</w:t>
      </w:r>
      <w:bookmarkEnd w:id="544"/>
      <w:bookmarkEnd w:id="545"/>
      <w:bookmarkEnd w:id="547"/>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5</w:t>
      </w:r>
      <w:bookmarkEnd w:id="550"/>
      <w:r>
        <w:rPr>
          <w:color w:val="000000"/>
          <w:spacing w:val="0"/>
          <w:w w:val="100"/>
          <w:position w:val="0"/>
        </w:rPr>
        <w:t>、</w:t>
        <w:tab/>
        <w:t>与存在关联关系的财务公司的往来情况</w:t>
      </w:r>
      <w:bookmarkEnd w:id="548"/>
      <w:bookmarkEnd w:id="549"/>
      <w:bookmarkEnd w:id="551"/>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107" w:right="1412" w:bottom="1221" w:left="1402" w:header="0" w:footer="3" w:gutter="0"/>
          <w:cols w:space="720"/>
          <w:noEndnote/>
          <w:rtlGutter w:val="0"/>
          <w:docGrid w:linePitch="360"/>
        </w:sectPr>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6</w:t>
      </w:r>
      <w:bookmarkEnd w:id="554"/>
      <w:r>
        <w:rPr>
          <w:color w:val="000000"/>
          <w:spacing w:val="0"/>
          <w:w w:val="100"/>
          <w:position w:val="0"/>
        </w:rPr>
        <w:t>、</w:t>
        <w:tab/>
        <w:t>公司控股的财务公司与关联方的往来情况</w:t>
      </w:r>
      <w:bookmarkEnd w:id="552"/>
      <w:bookmarkEnd w:id="553"/>
      <w:bookmarkEnd w:id="555"/>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7</w:t>
      </w:r>
      <w:bookmarkEnd w:id="558"/>
      <w:r>
        <w:rPr>
          <w:color w:val="000000"/>
          <w:spacing w:val="0"/>
          <w:w w:val="100"/>
          <w:position w:val="0"/>
        </w:rPr>
        <w:t>、</w:t>
        <w:tab/>
        <w:t>其他重大关联交易</w:t>
      </w:r>
      <w:bookmarkEnd w:id="556"/>
      <w:bookmarkEnd w:id="557"/>
      <w:bookmarkEnd w:id="559"/>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见下表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522"/>
        <w:gridCol w:w="1891"/>
        <w:gridCol w:w="3173"/>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《关于控股子公司股权转让暨关联交易的公告》（公告编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年度日常关联交易预计的公告》（公告编号：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《关于全资子公司受让财产份额暨关联交易的公告》（公 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《关于控股子公司股权转让暨关联交易的公告》（公告编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r>
        <w:rPr>
          <w:color w:val="000000"/>
          <w:spacing w:val="0"/>
          <w:w w:val="100"/>
          <w:position w:val="0"/>
        </w:rPr>
        <w:t>十五、重大合同及其履行情况</w:t>
      </w:r>
      <w:bookmarkEnd w:id="560"/>
      <w:bookmarkEnd w:id="561"/>
      <w:bookmarkEnd w:id="562"/>
    </w:p>
    <w:p>
      <w:pPr>
        <w:pStyle w:val="Style29"/>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、托管、承包、租赁事项情况</w:t>
      </w:r>
      <w:bookmarkEnd w:id="563"/>
      <w:bookmarkEnd w:id="564"/>
      <w:bookmarkEnd w:id="566"/>
    </w:p>
    <w:p>
      <w:pPr>
        <w:pStyle w:val="Style40"/>
        <w:keepNext/>
        <w:keepLines/>
        <w:widowControl w:val="0"/>
        <w:shd w:val="clear" w:color="auto" w:fill="auto"/>
        <w:tabs>
          <w:tab w:pos="493"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7"/>
      <w:bookmarkEnd w:id="568"/>
      <w:bookmarkEnd w:id="570"/>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1"/>
      <w:bookmarkEnd w:id="572"/>
      <w:bookmarkEnd w:id="574"/>
    </w:p>
    <w:p>
      <w:pPr>
        <w:pStyle w:val="Style18"/>
        <w:keepNext w:val="0"/>
        <w:keepLines w:val="0"/>
        <w:widowControl w:val="0"/>
        <w:numPr>
          <w:ilvl w:val="0"/>
          <w:numId w:val="7"/>
        </w:numPr>
        <w:shd w:val="clear" w:color="auto" w:fill="auto"/>
        <w:tabs>
          <w:tab w:pos="320" w:val="left"/>
        </w:tabs>
        <w:bidi w:val="0"/>
        <w:spacing w:before="0" w:after="160" w:line="240"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6"/>
      <w:bookmarkEnd w:id="577"/>
      <w:bookmarkEnd w:id="579"/>
    </w:p>
    <w:p>
      <w:pPr>
        <w:pStyle w:val="Style18"/>
        <w:keepNext w:val="0"/>
        <w:keepLines w:val="0"/>
        <w:widowControl w:val="0"/>
        <w:numPr>
          <w:ilvl w:val="0"/>
          <w:numId w:val="7"/>
        </w:numPr>
        <w:shd w:val="clear" w:color="auto" w:fill="auto"/>
        <w:tabs>
          <w:tab w:pos="320" w:val="left"/>
        </w:tabs>
        <w:bidi w:val="0"/>
        <w:spacing w:before="0" w:after="160" w:line="240" w:lineRule="auto"/>
        <w:ind w:left="0" w:right="0" w:firstLine="0"/>
        <w:jc w:val="left"/>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74" w:right="1195" w:bottom="1474" w:left="1104" w:header="0" w:footer="3" w:gutter="0"/>
          <w:cols w:space="720"/>
          <w:noEndnote/>
          <w:rtlGutter w:val="0"/>
          <w:docGrid w:linePitch="360"/>
        </w:sectPr>
      </w:pPr>
      <w:r>
        <w:rPr>
          <w:color w:val="000000"/>
          <w:spacing w:val="0"/>
          <w:w w:val="100"/>
          <w:position w:val="0"/>
        </w:rPr>
        <w:t>公司报告期不存在租赁情况。</w:t>
      </w:r>
    </w:p>
    <w:p>
      <w:pPr>
        <w:pStyle w:val="Style29"/>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、重大担保</w:t>
      </w:r>
      <w:bookmarkEnd w:id="581"/>
      <w:bookmarkEnd w:id="582"/>
      <w:bookmarkEnd w:id="58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085" w:right="0" w:firstLine="0"/>
        <w:jc w:val="left"/>
      </w:pPr>
      <w:r>
        <w:rPr>
          <w:color w:val="000000"/>
          <w:spacing w:val="0"/>
          <w:w w:val="100"/>
          <w:position w:val="0"/>
        </w:rPr>
        <w:t>单位：万元</w:t>
      </w:r>
    </w:p>
    <w:tbl>
      <w:tblPr>
        <w:tblOverlap w:val="never"/>
        <w:jc w:val="center"/>
        <w:tblLayout w:type="fixed"/>
      </w:tblPr>
      <w:tblGrid>
        <w:gridCol w:w="2717"/>
        <w:gridCol w:w="2294"/>
        <w:gridCol w:w="830"/>
        <w:gridCol w:w="2309"/>
        <w:gridCol w:w="1253"/>
        <w:gridCol w:w="1238"/>
        <w:gridCol w:w="1718"/>
        <w:gridCol w:w="744"/>
        <w:gridCol w:w="931"/>
      </w:tblGrid>
      <w:tr>
        <w:trPr>
          <w:trHeight w:val="418"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担保额度相关公告披露日期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3"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担保额度相关公告披露日期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北京神州新桥科技有限公司、北京 东华合创科技有限公司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717"/>
        <w:gridCol w:w="2294"/>
        <w:gridCol w:w="830"/>
        <w:gridCol w:w="2309"/>
        <w:gridCol w:w="1253"/>
        <w:gridCol w:w="1238"/>
        <w:gridCol w:w="1718"/>
        <w:gridCol w:w="744"/>
        <w:gridCol w:w="931"/>
      </w:tblGrid>
      <w:tr>
        <w:trPr>
          <w:trHeight w:val="7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北京神州新桥科技有限公司、北京 东华合创科技有限公司、北京联银 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北京神州新桥科技有限公司、北京 东华合创科技有限公司、东华医为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报告期内对子公司担保实际发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59,166.93</w:t>
            </w:r>
          </w:p>
        </w:tc>
      </w:tr>
      <w:tr>
        <w:trPr>
          <w:trHeight w:val="744"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61,648.76</w:t>
            </w:r>
          </w:p>
        </w:tc>
      </w:tr>
    </w:tbl>
    <w:p>
      <w:pPr>
        <w:spacing w:lineRule="exact" w:line="1"/>
        <w:rPr>
          <w:sz w:val="2"/>
          <w:szCs w:val="2"/>
        </w:rPr>
      </w:pPr>
      <w:r>
        <w:br w:type="page"/>
      </w:r>
    </w:p>
    <w:tbl>
      <w:tblPr>
        <w:tblOverlap w:val="never"/>
        <w:jc w:val="center"/>
        <w:tblLayout w:type="fixed"/>
      </w:tblPr>
      <w:tblGrid>
        <w:gridCol w:w="2717"/>
        <w:gridCol w:w="2294"/>
        <w:gridCol w:w="830"/>
        <w:gridCol w:w="2309"/>
        <w:gridCol w:w="1253"/>
        <w:gridCol w:w="1238"/>
        <w:gridCol w:w="634"/>
        <w:gridCol w:w="1829"/>
        <w:gridCol w:w="931"/>
      </w:tblGrid>
      <w:tr>
        <w:trPr>
          <w:trHeight w:val="446"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担保额度相关公告披露日期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r>
        <w:trPr>
          <w:trHeight w:val="41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3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报告期内担保实际发生额合计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59,166.93</w:t>
            </w:r>
          </w:p>
        </w:tc>
      </w:tr>
      <w:tr>
        <w:trPr>
          <w:trHeight w:val="734"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61,648.76</w:t>
            </w:r>
          </w:p>
        </w:tc>
      </w:tr>
      <w:tr>
        <w:trPr>
          <w:trHeight w:val="40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1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6,053.94</w:t>
            </w:r>
          </w:p>
        </w:tc>
      </w:tr>
      <w:tr>
        <w:trPr>
          <w:trHeight w:val="40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6,053.94</w:t>
            </w:r>
          </w:p>
        </w:tc>
      </w:tr>
      <w:tr>
        <w:trPr>
          <w:trHeight w:val="41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对未到期担保合同，报告期内已发生担保责任或有证据表明有可能承担连带清偿责任的情况说明（如有）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22"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、委托他人进行现金资产管理情况</w:t>
      </w:r>
      <w:bookmarkEnd w:id="585"/>
      <w:bookmarkEnd w:id="586"/>
      <w:bookmarkEnd w:id="588"/>
    </w:p>
    <w:p>
      <w:pPr>
        <w:pStyle w:val="Style40"/>
        <w:keepNext/>
        <w:keepLines/>
        <w:widowControl w:val="0"/>
        <w:shd w:val="clear" w:color="auto" w:fill="auto"/>
        <w:tabs>
          <w:tab w:pos="488"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89"/>
      <w:bookmarkEnd w:id="590"/>
      <w:bookmarkEnd w:id="592"/>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88" w:val="left"/>
        </w:tabs>
        <w:bidi w:val="0"/>
        <w:spacing w:before="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93"/>
      <w:bookmarkEnd w:id="594"/>
      <w:bookmarkEnd w:id="596"/>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121" w:right="1402" w:bottom="1251" w:left="1402" w:header="0" w:footer="3" w:gutter="0"/>
          <w:cols w:space="720"/>
          <w:noEndnote/>
          <w:rtlGutter w:val="0"/>
          <w:docGrid w:linePitch="360"/>
        </w:sectPr>
      </w:pPr>
      <w:r>
        <w:rPr>
          <w:color w:val="000000"/>
          <w:spacing w:val="0"/>
          <w:w w:val="100"/>
          <w:position w:val="0"/>
        </w:rPr>
        <w:t>公司报告期不存在委托贷款。</w:t>
      </w:r>
    </w:p>
    <w:p>
      <w:pPr>
        <w:pStyle w:val="Style29"/>
        <w:keepNext/>
        <w:keepLines/>
        <w:widowControl w:val="0"/>
        <w:shd w:val="clear" w:color="auto" w:fill="auto"/>
        <w:bidi w:val="0"/>
        <w:spacing w:before="80" w:after="28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4</w:t>
      </w:r>
      <w:bookmarkEnd w:id="599"/>
      <w:r>
        <w:rPr>
          <w:color w:val="000000"/>
          <w:spacing w:val="0"/>
          <w:w w:val="100"/>
          <w:position w:val="0"/>
        </w:rPr>
        <w:t>、其他重大合同</w:t>
      </w:r>
      <w:bookmarkEnd w:id="597"/>
      <w:bookmarkEnd w:id="598"/>
      <w:bookmarkEnd w:id="600"/>
    </w:p>
    <w:p>
      <w:pPr>
        <w:pStyle w:val="Style1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280" w:line="240" w:lineRule="auto"/>
        <w:ind w:left="0" w:right="0" w:firstLine="0"/>
        <w:jc w:val="both"/>
      </w:pPr>
      <w:bookmarkStart w:id="601" w:name="bookmark601"/>
      <w:bookmarkStart w:id="602" w:name="bookmark602"/>
      <w:bookmarkStart w:id="603" w:name="bookmark603"/>
      <w:r>
        <w:rPr>
          <w:color w:val="000000"/>
          <w:spacing w:val="0"/>
          <w:w w:val="100"/>
          <w:position w:val="0"/>
        </w:rPr>
        <w:t>十六、其他重大事项的说明</w:t>
      </w:r>
      <w:bookmarkEnd w:id="601"/>
      <w:bookmarkEnd w:id="602"/>
      <w:bookmarkEnd w:id="603"/>
    </w:p>
    <w:p>
      <w:pPr>
        <w:pStyle w:val="Style1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25" w:val="left"/>
        </w:tabs>
        <w:bidi w:val="0"/>
        <w:spacing w:before="0" w:after="0" w:line="318" w:lineRule="exact"/>
        <w:ind w:left="0" w:right="0" w:firstLine="0"/>
        <w:jc w:val="both"/>
      </w:pPr>
      <w:bookmarkStart w:id="604" w:name="bookmark604"/>
      <w:r>
        <w:rPr>
          <w:color w:val="000000"/>
          <w:spacing w:val="0"/>
          <w:w w:val="100"/>
          <w:position w:val="0"/>
          <w:sz w:val="18"/>
          <w:szCs w:val="18"/>
        </w:rPr>
        <w:t>1</w:t>
      </w:r>
      <w:bookmarkEnd w:id="604"/>
      <w:r>
        <w:rPr>
          <w:color w:val="000000"/>
          <w:spacing w:val="0"/>
          <w:w w:val="100"/>
          <w:position w:val="0"/>
        </w:rPr>
        <w:t>、</w:t>
        <w:tab/>
        <w:t>会计政策变更</w:t>
      </w:r>
    </w:p>
    <w:p>
      <w:pPr>
        <w:pStyle w:val="Style18"/>
        <w:keepNext w:val="0"/>
        <w:keepLines w:val="0"/>
        <w:widowControl w:val="0"/>
        <w:shd w:val="clear" w:color="auto" w:fill="auto"/>
        <w:bidi w:val="0"/>
        <w:spacing w:before="0" w:after="0" w:line="334" w:lineRule="exact"/>
        <w:ind w:left="0" w:right="0" w:firstLine="38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日在指定信息披露媒体巨潮资讯网</w:t>
      </w:r>
      <w:r>
        <w:rPr>
          <w:color w:val="000000"/>
          <w:spacing w:val="0"/>
          <w:w w:val="100"/>
          <w:position w:val="0"/>
          <w:sz w:val="18"/>
          <w:szCs w:val="18"/>
        </w:rPr>
        <w:t>（www. cninfo. com. cn）</w:t>
      </w:r>
      <w:r>
        <w:rPr>
          <w:color w:val="000000"/>
          <w:spacing w:val="0"/>
          <w:w w:val="100"/>
          <w:position w:val="0"/>
        </w:rPr>
        <w:t>披露的《关于会计政策变更 的公告》（公告编号：</w:t>
      </w:r>
      <w:r>
        <w:rPr>
          <w:color w:val="000000"/>
          <w:spacing w:val="0"/>
          <w:w w:val="100"/>
          <w:position w:val="0"/>
          <w:sz w:val="18"/>
          <w:szCs w:val="18"/>
        </w:rPr>
        <w:t>2021-013）</w:t>
      </w:r>
      <w:r>
        <w:rPr>
          <w:color w:val="000000"/>
          <w:spacing w:val="0"/>
          <w:w w:val="100"/>
          <w:position w:val="0"/>
        </w:rPr>
        <w:t>。</w:t>
      </w:r>
    </w:p>
    <w:p>
      <w:pPr>
        <w:pStyle w:val="Style18"/>
        <w:keepNext w:val="0"/>
        <w:keepLines w:val="0"/>
        <w:widowControl w:val="0"/>
        <w:shd w:val="clear" w:color="auto" w:fill="auto"/>
        <w:tabs>
          <w:tab w:pos="334" w:val="left"/>
        </w:tabs>
        <w:bidi w:val="0"/>
        <w:spacing w:before="0" w:after="0" w:line="334" w:lineRule="exact"/>
        <w:ind w:left="0" w:right="0" w:firstLine="0"/>
        <w:jc w:val="left"/>
      </w:pPr>
      <w:bookmarkStart w:id="605" w:name="bookmark605"/>
      <w:r>
        <w:rPr>
          <w:color w:val="000000"/>
          <w:spacing w:val="0"/>
          <w:w w:val="100"/>
          <w:position w:val="0"/>
          <w:sz w:val="18"/>
          <w:szCs w:val="18"/>
        </w:rPr>
        <w:t>2</w:t>
      </w:r>
      <w:bookmarkEnd w:id="605"/>
      <w:r>
        <w:rPr>
          <w:color w:val="000000"/>
          <w:spacing w:val="0"/>
          <w:w w:val="100"/>
          <w:position w:val="0"/>
        </w:rPr>
        <w:t>、</w:t>
        <w:tab/>
        <w:t>关于实施</w:t>
      </w:r>
      <w:r>
        <w:rPr>
          <w:color w:val="000000"/>
          <w:spacing w:val="0"/>
          <w:w w:val="100"/>
          <w:position w:val="0"/>
          <w:sz w:val="18"/>
          <w:szCs w:val="18"/>
        </w:rPr>
        <w:t>2020</w:t>
      </w:r>
      <w:r>
        <w:rPr>
          <w:color w:val="000000"/>
          <w:spacing w:val="0"/>
          <w:w w:val="100"/>
          <w:position w:val="0"/>
        </w:rPr>
        <w:t>年度非公开股票发行事项</w:t>
      </w:r>
    </w:p>
    <w:p>
      <w:pPr>
        <w:pStyle w:val="Style18"/>
        <w:keepNext w:val="0"/>
        <w:keepLines w:val="0"/>
        <w:widowControl w:val="0"/>
        <w:shd w:val="clear" w:color="auto" w:fill="auto"/>
        <w:bidi w:val="0"/>
        <w:spacing w:before="0" w:after="380" w:line="334" w:lineRule="exact"/>
        <w:ind w:left="0" w:right="0" w:firstLine="38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日在指定信息披露媒体巨潮资讯网</w:t>
      </w:r>
      <w:r>
        <w:rPr>
          <w:color w:val="000000"/>
          <w:spacing w:val="0"/>
          <w:w w:val="100"/>
          <w:position w:val="0"/>
          <w:sz w:val="18"/>
          <w:szCs w:val="18"/>
        </w:rPr>
        <w:t>（www.cninfo.com</w:t>
      </w:r>
      <w:r>
        <w:rPr>
          <w:color w:val="000000"/>
          <w:spacing w:val="0"/>
          <w:w w:val="100"/>
          <w:position w:val="0"/>
          <w:sz w:val="18"/>
          <w:szCs w:val="18"/>
        </w:rPr>
        <w:t>. cn）</w:t>
      </w:r>
      <w:r>
        <w:rPr>
          <w:color w:val="000000"/>
          <w:spacing w:val="0"/>
          <w:w w:val="100"/>
          <w:position w:val="0"/>
        </w:rPr>
        <w:t>披露的《非公开发行</w:t>
      </w:r>
      <w:r>
        <w:rPr>
          <w:color w:val="000000"/>
          <w:spacing w:val="0"/>
          <w:w w:val="100"/>
          <w:position w:val="0"/>
          <w:sz w:val="18"/>
          <w:szCs w:val="18"/>
        </w:rPr>
        <w:t>A</w:t>
      </w:r>
      <w:r>
        <w:rPr>
          <w:color w:val="000000"/>
          <w:spacing w:val="0"/>
          <w:w w:val="100"/>
          <w:position w:val="0"/>
        </w:rPr>
        <w:t>股股 票发行情况报告书暨上市公告书》。</w:t>
      </w:r>
    </w:p>
    <w:p>
      <w:pPr>
        <w:pStyle w:val="Style24"/>
        <w:keepNext/>
        <w:keepLines/>
        <w:widowControl w:val="0"/>
        <w:shd w:val="clear" w:color="auto" w:fill="auto"/>
        <w:bidi w:val="0"/>
        <w:spacing w:before="0" w:after="280" w:line="240" w:lineRule="auto"/>
        <w:ind w:left="0" w:right="0" w:firstLine="0"/>
        <w:jc w:val="both"/>
      </w:pPr>
      <w:bookmarkStart w:id="606" w:name="bookmark606"/>
      <w:bookmarkStart w:id="607" w:name="bookmark607"/>
      <w:bookmarkStart w:id="608" w:name="bookmark608"/>
      <w:r>
        <w:rPr>
          <w:color w:val="000000"/>
          <w:spacing w:val="0"/>
          <w:w w:val="100"/>
          <w:position w:val="0"/>
        </w:rPr>
        <w:t>十七、公司子公司重大事项</w:t>
      </w:r>
      <w:bookmarkEnd w:id="606"/>
      <w:bookmarkEnd w:id="607"/>
      <w:bookmarkEnd w:id="608"/>
    </w:p>
    <w:p>
      <w:pPr>
        <w:pStyle w:val="Style18"/>
        <w:keepNext w:val="0"/>
        <w:keepLines w:val="0"/>
        <w:widowControl w:val="0"/>
        <w:shd w:val="clear" w:color="auto" w:fill="auto"/>
        <w:bidi w:val="0"/>
        <w:spacing w:before="0" w:after="16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714" w:val="left"/>
        </w:tabs>
        <w:bidi w:val="0"/>
        <w:spacing w:before="0" w:after="160" w:line="318" w:lineRule="exact"/>
        <w:ind w:left="0" w:right="0" w:firstLine="380"/>
        <w:jc w:val="both"/>
      </w:pPr>
      <w:bookmarkStart w:id="609" w:name="bookmark609"/>
      <w:r>
        <w:rPr>
          <w:rFonts w:ascii="Times New Roman" w:eastAsia="Times New Roman" w:hAnsi="Times New Roman" w:cs="Times New Roman"/>
          <w:b/>
          <w:bCs/>
          <w:color w:val="000000"/>
          <w:spacing w:val="0"/>
          <w:w w:val="100"/>
          <w:position w:val="0"/>
          <w:sz w:val="18"/>
          <w:szCs w:val="18"/>
        </w:rPr>
        <w:t>1</w:t>
      </w:r>
      <w:bookmarkEnd w:id="609"/>
      <w:r>
        <w:rPr>
          <w:b/>
          <w:bCs/>
          <w:color w:val="000000"/>
          <w:spacing w:val="0"/>
          <w:w w:val="100"/>
          <w:position w:val="0"/>
        </w:rPr>
        <w:t>、</w:t>
        <w:tab/>
        <w:t>东华医为增资</w:t>
      </w:r>
    </w:p>
    <w:p>
      <w:pPr>
        <w:pStyle w:val="Style18"/>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经公司第七届董事会第二十五次会议审议通过，公司及全资子公司合创科技根据各自出资比例以自有资金对东华医为增 资人民币</w:t>
      </w:r>
      <w:r>
        <w:rPr>
          <w:color w:val="000000"/>
          <w:spacing w:val="0"/>
          <w:w w:val="100"/>
          <w:position w:val="0"/>
          <w:sz w:val="18"/>
          <w:szCs w:val="18"/>
        </w:rPr>
        <w:t>7,000</w:t>
      </w:r>
      <w:r>
        <w:rPr>
          <w:color w:val="000000"/>
          <w:spacing w:val="0"/>
          <w:w w:val="100"/>
          <w:position w:val="0"/>
        </w:rPr>
        <w:t>万元。本次增资完成后，东华医为注册资本由人民币</w:t>
      </w:r>
      <w:r>
        <w:rPr>
          <w:color w:val="000000"/>
          <w:spacing w:val="0"/>
          <w:w w:val="100"/>
          <w:position w:val="0"/>
          <w:sz w:val="18"/>
          <w:szCs w:val="18"/>
        </w:rPr>
        <w:t>13,000</w:t>
      </w:r>
      <w:r>
        <w:rPr>
          <w:color w:val="000000"/>
          <w:spacing w:val="0"/>
          <w:w w:val="100"/>
          <w:position w:val="0"/>
        </w:rPr>
        <w:t>万元增至人民币</w:t>
      </w:r>
      <w:r>
        <w:rPr>
          <w:color w:val="000000"/>
          <w:spacing w:val="0"/>
          <w:w w:val="100"/>
          <w:position w:val="0"/>
          <w:sz w:val="18"/>
          <w:szCs w:val="18"/>
        </w:rPr>
        <w:t>20, 000</w:t>
      </w:r>
      <w:r>
        <w:rPr>
          <w:color w:val="000000"/>
          <w:spacing w:val="0"/>
          <w:w w:val="100"/>
          <w:position w:val="0"/>
        </w:rPr>
        <w:t>万元。相关内容详见公司 披露于巨潮资讯网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的相关公告。</w:t>
      </w:r>
    </w:p>
    <w:p>
      <w:pPr>
        <w:pStyle w:val="Style18"/>
        <w:keepNext w:val="0"/>
        <w:keepLines w:val="0"/>
        <w:widowControl w:val="0"/>
        <w:shd w:val="clear" w:color="auto" w:fill="auto"/>
        <w:tabs>
          <w:tab w:pos="729" w:val="left"/>
        </w:tabs>
        <w:bidi w:val="0"/>
        <w:spacing w:before="0" w:after="160" w:line="318" w:lineRule="exact"/>
        <w:ind w:left="0" w:right="0" w:firstLine="380"/>
        <w:jc w:val="both"/>
      </w:pPr>
      <w:bookmarkStart w:id="610" w:name="bookmark610"/>
      <w:r>
        <w:rPr>
          <w:rFonts w:ascii="Times New Roman" w:eastAsia="Times New Roman" w:hAnsi="Times New Roman" w:cs="Times New Roman"/>
          <w:b/>
          <w:bCs/>
          <w:color w:val="000000"/>
          <w:spacing w:val="0"/>
          <w:w w:val="100"/>
          <w:position w:val="0"/>
          <w:sz w:val="18"/>
          <w:szCs w:val="18"/>
        </w:rPr>
        <w:t>2</w:t>
      </w:r>
      <w:bookmarkEnd w:id="610"/>
      <w:r>
        <w:rPr>
          <w:b/>
          <w:bCs/>
          <w:color w:val="000000"/>
          <w:spacing w:val="0"/>
          <w:w w:val="100"/>
          <w:position w:val="0"/>
        </w:rPr>
        <w:t>、</w:t>
        <w:tab/>
        <w:t>东华博泰股权转让及增资扩股引入战略投资者</w:t>
      </w:r>
    </w:p>
    <w:p>
      <w:pPr>
        <w:pStyle w:val="Style18"/>
        <w:keepNext w:val="0"/>
        <w:keepLines w:val="0"/>
        <w:widowControl w:val="0"/>
        <w:shd w:val="clear" w:color="auto" w:fill="auto"/>
        <w:tabs>
          <w:tab w:pos="815" w:val="left"/>
        </w:tabs>
        <w:bidi w:val="0"/>
        <w:spacing w:before="0" w:after="0" w:line="318" w:lineRule="exact"/>
        <w:ind w:left="0" w:right="0" w:firstLine="380"/>
        <w:jc w:val="both"/>
      </w:pPr>
      <w:bookmarkStart w:id="611" w:name="bookmark611"/>
      <w:r>
        <w:rPr>
          <w:color w:val="000000"/>
          <w:spacing w:val="0"/>
          <w:w w:val="100"/>
          <w:position w:val="0"/>
          <w:sz w:val="18"/>
          <w:szCs w:val="18"/>
        </w:rPr>
        <w:t>（</w:t>
      </w:r>
      <w:bookmarkEnd w:id="611"/>
      <w:r>
        <w:rPr>
          <w:color w:val="000000"/>
          <w:spacing w:val="0"/>
          <w:w w:val="100"/>
          <w:position w:val="0"/>
          <w:sz w:val="18"/>
          <w:szCs w:val="18"/>
        </w:rPr>
        <w:t>1）</w:t>
        <w:tab/>
      </w:r>
      <w:r>
        <w:rPr>
          <w:color w:val="000000"/>
          <w:spacing w:val="0"/>
          <w:w w:val="100"/>
          <w:position w:val="0"/>
        </w:rPr>
        <w:t>股权转让</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经公司第七届董事会第三十一次会议审议通过，公司将所持东华博泰部分股权分别转让予儋州星控信联企业管理合伙企 业（有限合伙）、儋州星控综联企业管理合伙企业（有限合伙）、儋州星控融联企业管理合伙企业（有限合伙）、胡杨以及 周志荣；胡静涛将其所持东华博泰</w:t>
      </w:r>
      <w:r>
        <w:rPr>
          <w:color w:val="000000"/>
          <w:spacing w:val="0"/>
          <w:w w:val="100"/>
          <w:position w:val="0"/>
          <w:sz w:val="18"/>
          <w:szCs w:val="18"/>
        </w:rPr>
        <w:t xml:space="preserve">20. </w:t>
      </w:r>
      <w:r>
        <w:rPr>
          <w:color w:val="000000"/>
          <w:spacing w:val="0"/>
          <w:w w:val="100"/>
          <w:position w:val="0"/>
          <w:sz w:val="18"/>
          <w:szCs w:val="18"/>
        </w:rPr>
        <w:t>09%</w:t>
      </w:r>
      <w:r>
        <w:rPr>
          <w:color w:val="000000"/>
          <w:spacing w:val="0"/>
          <w:w w:val="100"/>
          <w:position w:val="0"/>
        </w:rPr>
        <w:t>股权转让予徐德力。本次转让交易完成后，公司持有东华博泰</w:t>
      </w:r>
      <w:r>
        <w:rPr>
          <w:color w:val="000000"/>
          <w:spacing w:val="0"/>
          <w:w w:val="100"/>
          <w:position w:val="0"/>
          <w:sz w:val="18"/>
          <w:szCs w:val="18"/>
        </w:rPr>
        <w:t xml:space="preserve">44. </w:t>
      </w:r>
      <w:r>
        <w:rPr>
          <w:color w:val="000000"/>
          <w:spacing w:val="0"/>
          <w:w w:val="100"/>
          <w:position w:val="0"/>
          <w:sz w:val="18"/>
          <w:szCs w:val="18"/>
        </w:rPr>
        <w:t>91%</w:t>
      </w:r>
      <w:r>
        <w:rPr>
          <w:color w:val="000000"/>
          <w:spacing w:val="0"/>
          <w:w w:val="100"/>
          <w:position w:val="0"/>
        </w:rPr>
        <w:t>的股权，本次 交易不会导致公司的合并报表范围发生变化。相关内容详见公司披露于巨潮资讯网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的相关公告。</w:t>
      </w:r>
    </w:p>
    <w:p>
      <w:pPr>
        <w:pStyle w:val="Style18"/>
        <w:keepNext w:val="0"/>
        <w:keepLines w:val="0"/>
        <w:widowControl w:val="0"/>
        <w:shd w:val="clear" w:color="auto" w:fill="auto"/>
        <w:tabs>
          <w:tab w:pos="815" w:val="left"/>
        </w:tabs>
        <w:bidi w:val="0"/>
        <w:spacing w:before="0" w:after="0" w:line="318" w:lineRule="exact"/>
        <w:ind w:left="0" w:right="0" w:firstLine="380"/>
        <w:jc w:val="both"/>
      </w:pPr>
      <w:bookmarkStart w:id="612" w:name="bookmark612"/>
      <w:r>
        <w:rPr>
          <w:color w:val="000000"/>
          <w:spacing w:val="0"/>
          <w:w w:val="100"/>
          <w:position w:val="0"/>
          <w:sz w:val="18"/>
          <w:szCs w:val="18"/>
        </w:rPr>
        <w:t>（</w:t>
      </w:r>
      <w:bookmarkEnd w:id="612"/>
      <w:r>
        <w:rPr>
          <w:color w:val="000000"/>
          <w:spacing w:val="0"/>
          <w:w w:val="100"/>
          <w:position w:val="0"/>
          <w:sz w:val="18"/>
          <w:szCs w:val="18"/>
        </w:rPr>
        <w:t>2）</w:t>
        <w:tab/>
      </w:r>
      <w:r>
        <w:rPr>
          <w:color w:val="000000"/>
          <w:spacing w:val="0"/>
          <w:w w:val="100"/>
          <w:position w:val="0"/>
        </w:rPr>
        <w:t>增资扩股引入战略投资者</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经公司第七届董事会第三十六次会议审议通过，东华博泰与厦门招商盈趣智能物联基金合伙企业（有限合伙）深圳市致 远三号企业管理合伙企业（有限合伙）签署《增资协议》、《股东协议》及其附件和相关补充协议，投资人同意按照协议的 约定以共计人民币</w:t>
      </w:r>
      <w:r>
        <w:rPr>
          <w:color w:val="000000"/>
          <w:spacing w:val="0"/>
          <w:w w:val="100"/>
          <w:position w:val="0"/>
          <w:sz w:val="18"/>
          <w:szCs w:val="18"/>
        </w:rPr>
        <w:t>5, 250</w:t>
      </w:r>
      <w:r>
        <w:rPr>
          <w:color w:val="000000"/>
          <w:spacing w:val="0"/>
          <w:w w:val="100"/>
          <w:position w:val="0"/>
        </w:rPr>
        <w:t>万元认购东华博泰新增注册资本，取得投资后东华博泰基于完全摊薄基础共计</w:t>
      </w:r>
      <w:r>
        <w:rPr>
          <w:color w:val="000000"/>
          <w:spacing w:val="0"/>
          <w:w w:val="100"/>
          <w:position w:val="0"/>
          <w:sz w:val="18"/>
          <w:szCs w:val="18"/>
        </w:rPr>
        <w:t xml:space="preserve">6. </w:t>
      </w:r>
      <w:r>
        <w:rPr>
          <w:color w:val="000000"/>
          <w:spacing w:val="0"/>
          <w:w w:val="100"/>
          <w:position w:val="0"/>
          <w:sz w:val="18"/>
          <w:szCs w:val="18"/>
        </w:rPr>
        <w:t>7961%</w:t>
      </w:r>
      <w:r>
        <w:rPr>
          <w:color w:val="000000"/>
          <w:spacing w:val="0"/>
          <w:w w:val="100"/>
          <w:position w:val="0"/>
        </w:rPr>
        <w:t>的股权。在本 次增资扩股完成后，东华博泰注册资本由人民币</w:t>
      </w:r>
      <w:r>
        <w:rPr>
          <w:color w:val="000000"/>
          <w:spacing w:val="0"/>
          <w:w w:val="100"/>
          <w:position w:val="0"/>
          <w:sz w:val="18"/>
          <w:szCs w:val="18"/>
        </w:rPr>
        <w:t>15,000</w:t>
      </w:r>
      <w:r>
        <w:rPr>
          <w:color w:val="000000"/>
          <w:spacing w:val="0"/>
          <w:w w:val="100"/>
          <w:position w:val="0"/>
        </w:rPr>
        <w:t>万元增加至人民币</w:t>
      </w:r>
      <w:r>
        <w:rPr>
          <w:color w:val="000000"/>
          <w:spacing w:val="0"/>
          <w:w w:val="100"/>
          <w:position w:val="0"/>
          <w:sz w:val="18"/>
          <w:szCs w:val="18"/>
        </w:rPr>
        <w:t>16,093.75</w:t>
      </w:r>
      <w:r>
        <w:rPr>
          <w:color w:val="000000"/>
          <w:spacing w:val="0"/>
          <w:w w:val="100"/>
          <w:position w:val="0"/>
        </w:rPr>
        <w:t>万元。相关内容详见公司披露于巨潮资 讯网</w:t>
      </w:r>
      <w:r>
        <w:rPr>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rPr>
        <w:t>的相关公告。</w:t>
      </w:r>
    </w:p>
    <w:p>
      <w:pPr>
        <w:pStyle w:val="Style18"/>
        <w:keepNext w:val="0"/>
        <w:keepLines w:val="0"/>
        <w:widowControl w:val="0"/>
        <w:shd w:val="clear" w:color="auto" w:fill="auto"/>
        <w:bidi w:val="0"/>
        <w:spacing w:before="0" w:after="160" w:line="318" w:lineRule="exact"/>
        <w:ind w:left="0" w:right="0" w:firstLine="380"/>
        <w:jc w:val="both"/>
      </w:pPr>
      <w:r>
        <w:rPr>
          <w:color w:val="000000"/>
          <w:spacing w:val="0"/>
          <w:w w:val="100"/>
          <w:position w:val="0"/>
        </w:rPr>
        <w:t>经公司第七届董事会第三十八次会议审议通过，东华博泰与北京微智数科投资中心（有限合伙）签署《增资协议》、《股 东协议》及《增资协议之补充协议》。各方确认，本轮增资前东华博泰的估值为人民币</w:t>
      </w:r>
      <w:r>
        <w:rPr>
          <w:color w:val="000000"/>
          <w:spacing w:val="0"/>
          <w:w w:val="100"/>
          <w:position w:val="0"/>
          <w:sz w:val="18"/>
          <w:szCs w:val="18"/>
        </w:rPr>
        <w:t>77,250</w:t>
      </w:r>
      <w:r>
        <w:rPr>
          <w:color w:val="000000"/>
          <w:spacing w:val="0"/>
          <w:w w:val="100"/>
          <w:position w:val="0"/>
        </w:rPr>
        <w:t>万元。北京微智数科投资中心 （有限合伙）同意按照协议的约定以共计人民币</w:t>
      </w:r>
      <w:r>
        <w:rPr>
          <w:color w:val="000000"/>
          <w:spacing w:val="0"/>
          <w:w w:val="100"/>
          <w:position w:val="0"/>
          <w:sz w:val="18"/>
          <w:szCs w:val="18"/>
        </w:rPr>
        <w:t>3, 000</w:t>
      </w:r>
      <w:r>
        <w:rPr>
          <w:color w:val="000000"/>
          <w:spacing w:val="0"/>
          <w:w w:val="100"/>
          <w:position w:val="0"/>
        </w:rPr>
        <w:t>万元认购东华博泰新增注册资本</w:t>
      </w:r>
      <w:r>
        <w:rPr>
          <w:color w:val="000000"/>
          <w:spacing w:val="0"/>
          <w:w w:val="100"/>
          <w:position w:val="0"/>
          <w:sz w:val="18"/>
          <w:szCs w:val="18"/>
        </w:rPr>
        <w:t>625</w:t>
      </w:r>
      <w:r>
        <w:rPr>
          <w:color w:val="000000"/>
          <w:spacing w:val="0"/>
          <w:w w:val="100"/>
          <w:position w:val="0"/>
        </w:rPr>
        <w:t>万元，取得投资后东华博泰基于完 全摊薄基础共计</w:t>
      </w:r>
      <w:r>
        <w:rPr>
          <w:color w:val="000000"/>
          <w:spacing w:val="0"/>
          <w:w w:val="100"/>
          <w:position w:val="0"/>
          <w:sz w:val="18"/>
          <w:szCs w:val="18"/>
        </w:rPr>
        <w:t xml:space="preserve">3. </w:t>
      </w:r>
      <w:r>
        <w:rPr>
          <w:color w:val="000000"/>
          <w:spacing w:val="0"/>
          <w:w w:val="100"/>
          <w:position w:val="0"/>
          <w:sz w:val="18"/>
          <w:szCs w:val="18"/>
        </w:rPr>
        <w:t>7383%</w:t>
      </w:r>
      <w:r>
        <w:rPr>
          <w:color w:val="000000"/>
          <w:spacing w:val="0"/>
          <w:w w:val="100"/>
          <w:position w:val="0"/>
        </w:rPr>
        <w:t>的股权。在本次增资扩股完成后，东华博泰注册资本由人民币</w:t>
      </w:r>
      <w:r>
        <w:rPr>
          <w:color w:val="000000"/>
          <w:spacing w:val="0"/>
          <w:w w:val="100"/>
          <w:position w:val="0"/>
          <w:sz w:val="18"/>
          <w:szCs w:val="18"/>
        </w:rPr>
        <w:t xml:space="preserve">16, </w:t>
      </w:r>
      <w:r>
        <w:rPr>
          <w:color w:val="000000"/>
          <w:spacing w:val="0"/>
          <w:w w:val="100"/>
          <w:position w:val="0"/>
          <w:sz w:val="18"/>
          <w:szCs w:val="18"/>
        </w:rPr>
        <w:t xml:space="preserve">093. </w:t>
      </w:r>
      <w:r>
        <w:rPr>
          <w:color w:val="000000"/>
          <w:spacing w:val="0"/>
          <w:w w:val="100"/>
          <w:position w:val="0"/>
          <w:sz w:val="18"/>
          <w:szCs w:val="18"/>
        </w:rPr>
        <w:t>75</w:t>
      </w:r>
      <w:r>
        <w:rPr>
          <w:color w:val="000000"/>
          <w:spacing w:val="0"/>
          <w:w w:val="100"/>
          <w:position w:val="0"/>
        </w:rPr>
        <w:t>万元增加至人民币</w:t>
      </w:r>
      <w:r>
        <w:rPr>
          <w:color w:val="000000"/>
          <w:spacing w:val="0"/>
          <w:w w:val="100"/>
          <w:position w:val="0"/>
          <w:sz w:val="18"/>
          <w:szCs w:val="18"/>
        </w:rPr>
        <w:t xml:space="preserve">16, </w:t>
      </w:r>
      <w:r>
        <w:rPr>
          <w:color w:val="000000"/>
          <w:spacing w:val="0"/>
          <w:w w:val="100"/>
          <w:position w:val="0"/>
          <w:sz w:val="18"/>
          <w:szCs w:val="18"/>
        </w:rPr>
        <w:t xml:space="preserve">718. </w:t>
      </w:r>
      <w:r>
        <w:rPr>
          <w:color w:val="000000"/>
          <w:spacing w:val="0"/>
          <w:w w:val="100"/>
          <w:position w:val="0"/>
          <w:sz w:val="18"/>
          <w:szCs w:val="18"/>
        </w:rPr>
        <w:t xml:space="preserve">75 </w:t>
      </w:r>
      <w:r>
        <w:rPr>
          <w:color w:val="000000"/>
          <w:spacing w:val="0"/>
          <w:w w:val="100"/>
          <w:position w:val="0"/>
        </w:rPr>
        <w:t>万元。相关内容详见公司披露于巨潮资讯网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的相关公告。</w:t>
      </w:r>
      <w:r>
        <w:br w:type="page"/>
      </w:r>
    </w:p>
    <w:p>
      <w:pPr>
        <w:pStyle w:val="Style8"/>
        <w:keepNext/>
        <w:keepLines/>
        <w:widowControl w:val="0"/>
        <w:shd w:val="clear" w:color="auto" w:fill="auto"/>
        <w:bidi w:val="0"/>
        <w:spacing w:before="0" w:after="580" w:line="240" w:lineRule="auto"/>
        <w:ind w:left="0" w:right="0" w:firstLine="0"/>
        <w:jc w:val="center"/>
      </w:pPr>
      <w:bookmarkStart w:id="613" w:name="bookmark613"/>
      <w:bookmarkStart w:id="614" w:name="bookmark614"/>
      <w:bookmarkStart w:id="615" w:name="bookmark615"/>
      <w:r>
        <w:rPr>
          <w:color w:val="000000"/>
          <w:spacing w:val="0"/>
          <w:w w:val="100"/>
          <w:position w:val="0"/>
        </w:rPr>
        <w:t>第七节股份变动及股东情况</w:t>
      </w:r>
      <w:bookmarkEnd w:id="613"/>
      <w:bookmarkEnd w:id="614"/>
      <w:bookmarkEnd w:id="615"/>
    </w:p>
    <w:p>
      <w:pPr>
        <w:pStyle w:val="Style24"/>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bookmarkStart w:id="620" w:name="bookmark620"/>
      <w:r>
        <w:rPr>
          <w:color w:val="000000"/>
          <w:spacing w:val="0"/>
          <w:w w:val="100"/>
          <w:position w:val="0"/>
        </w:rPr>
        <w:t>一</w:t>
      </w:r>
      <w:bookmarkEnd w:id="619"/>
      <w:r>
        <w:rPr>
          <w:color w:val="000000"/>
          <w:spacing w:val="0"/>
          <w:w w:val="100"/>
          <w:position w:val="0"/>
        </w:rPr>
        <w:t>、股份变动情况</w:t>
      </w:r>
      <w:bookmarkEnd w:id="617"/>
      <w:bookmarkEnd w:id="618"/>
      <w:bookmarkEnd w:id="620"/>
      <w:bookmarkEnd w:id="616"/>
    </w:p>
    <w:p>
      <w:pPr>
        <w:pStyle w:val="Style29"/>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、股份变动情况</w:t>
      </w:r>
      <w:bookmarkEnd w:id="621"/>
      <w:bookmarkEnd w:id="622"/>
      <w:bookmarkEnd w:id="6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710"/>
        <w:gridCol w:w="850"/>
        <w:gridCol w:w="566"/>
        <w:gridCol w:w="994"/>
        <w:gridCol w:w="989"/>
        <w:gridCol w:w="854"/>
        <w:gridCol w:w="989"/>
        <w:gridCol w:w="653"/>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307,657,786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83,764,156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391,421,942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51,466,279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51,466,279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51,466,279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307,657,786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29,736,068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23,500,224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331,158,010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9,530,791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9,530,791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9,530,791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307,657,786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301,421,942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8,797,653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2,807,824,589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2,814,060,433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87.79%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2,807,824,589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2,814,060,433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87.79%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3,115,482,375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3,205,482,375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1</w:t>
      </w:r>
      <w:bookmarkEnd w:id="625"/>
      <w:r>
        <w:rPr>
          <w:color w:val="000000"/>
          <w:spacing w:val="0"/>
          <w:w w:val="100"/>
          <w:position w:val="0"/>
        </w:rPr>
        <w:t>、 经中国证监会《关于核准东华软件股份公司非公开发行股票的批复》（证监许可</w:t>
      </w:r>
      <w:r>
        <w:rPr>
          <w:rFonts w:ascii="Times New Roman" w:eastAsia="Times New Roman" w:hAnsi="Times New Roman" w:cs="Times New Roman"/>
          <w:color w:val="000000"/>
          <w:spacing w:val="0"/>
          <w:w w:val="100"/>
          <w:position w:val="0"/>
          <w:sz w:val="18"/>
          <w:szCs w:val="18"/>
        </w:rPr>
        <w:t>[2020]2611</w:t>
      </w:r>
      <w:r>
        <w:rPr>
          <w:color w:val="000000"/>
          <w:spacing w:val="0"/>
          <w:w w:val="100"/>
          <w:position w:val="0"/>
        </w:rPr>
        <w:t>号）核准，公司以非公开发 行方式向特定投资者发行人民币普通股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日在深交所上市。本次非公开发行 新增股份为限售股份，公司非公开发行前总股本为</w:t>
      </w: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股，非公开发行后总股本增加至</w:t>
      </w:r>
      <w:r>
        <w:rPr>
          <w:rFonts w:ascii="Times New Roman" w:eastAsia="Times New Roman" w:hAnsi="Times New Roman" w:cs="Times New Roman"/>
          <w:color w:val="000000"/>
          <w:spacing w:val="0"/>
          <w:w w:val="100"/>
          <w:position w:val="0"/>
          <w:sz w:val="18"/>
          <w:szCs w:val="18"/>
        </w:rPr>
        <w:t>3,205,482,375</w:t>
      </w:r>
      <w:r>
        <w:rPr>
          <w:color w:val="000000"/>
          <w:spacing w:val="0"/>
          <w:w w:val="100"/>
          <w:position w:val="0"/>
        </w:rPr>
        <w:t>股。</w:t>
      </w:r>
    </w:p>
    <w:p>
      <w:pPr>
        <w:pStyle w:val="Style18"/>
        <w:keepNext w:val="0"/>
        <w:keepLines w:val="0"/>
        <w:widowControl w:val="0"/>
        <w:shd w:val="clear" w:color="auto" w:fill="auto"/>
        <w:tabs>
          <w:tab w:pos="354" w:val="left"/>
        </w:tabs>
        <w:bidi w:val="0"/>
        <w:spacing w:before="0" w:after="0" w:line="326" w:lineRule="exact"/>
        <w:ind w:left="0" w:right="0" w:firstLine="0"/>
        <w:jc w:val="left"/>
      </w:pPr>
      <w:bookmarkStart w:id="626" w:name="bookmark626"/>
      <w:r>
        <w:rPr>
          <w:rFonts w:ascii="Times New Roman" w:eastAsia="Times New Roman" w:hAnsi="Times New Roman" w:cs="Times New Roman"/>
          <w:color w:val="000000"/>
          <w:spacing w:val="0"/>
          <w:w w:val="100"/>
          <w:position w:val="0"/>
          <w:sz w:val="18"/>
          <w:szCs w:val="18"/>
        </w:rPr>
        <w:t>2</w:t>
      </w:r>
      <w:bookmarkEnd w:id="626"/>
      <w:r>
        <w:rPr>
          <w:color w:val="000000"/>
          <w:spacing w:val="0"/>
          <w:w w:val="100"/>
          <w:position w:val="0"/>
        </w:rPr>
        <w:t>、</w:t>
        <w:tab/>
        <w:t>根据《上市公司董事、监事和高级管理人员所持本公司股份及其变动管理业务指引》的相关规定，年初第一个交易日， 中国结算根据公司董事、监事和高级管理人员上一年度最后一个交易日日终的股份余额为基数，重新计算其本年度可转让股 份法定额度，导致高管锁定股数量发生变动。</w:t>
      </w:r>
    </w:p>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日召开的第七届董事会第八次会议、第七届监事会第六次会议及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年第四次临时 </w:t>
      </w:r>
      <w:r>
        <w:rPr>
          <w:color w:val="000000"/>
          <w:spacing w:val="0"/>
          <w:w w:val="100"/>
          <w:position w:val="0"/>
        </w:rPr>
        <w:t>股东大会审议通过了关于公司非公开发行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股股票的相关议案，并于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日收到中国证监会出具的《关于核准东华 软件股份公司非公开发行股票的批复》（证监许可</w:t>
      </w:r>
      <w:r>
        <w:rPr>
          <w:rFonts w:ascii="Times New Roman" w:eastAsia="Times New Roman" w:hAnsi="Times New Roman" w:cs="Times New Roman"/>
          <w:color w:val="000000"/>
          <w:spacing w:val="0"/>
          <w:w w:val="100"/>
          <w:position w:val="0"/>
          <w:sz w:val="18"/>
          <w:szCs w:val="18"/>
        </w:rPr>
        <w:t>[2020]2611</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342,703,061</w:t>
      </w:r>
      <w:r>
        <w:rPr>
          <w:color w:val="000000"/>
          <w:spacing w:val="0"/>
          <w:w w:val="100"/>
          <w:position w:val="0"/>
        </w:rPr>
        <w:t>股新股。公司 本次非公开发行实际发行人民币普通股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w:t>
      </w:r>
    </w:p>
    <w:p>
      <w:pPr>
        <w:pStyle w:val="Style18"/>
        <w:keepNext w:val="0"/>
        <w:keepLines w:val="0"/>
        <w:widowControl w:val="0"/>
        <w:shd w:val="clear" w:color="auto" w:fill="auto"/>
        <w:bidi w:val="0"/>
        <w:spacing w:before="0" w:after="140" w:line="323"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23" w:lineRule="exact"/>
        <w:ind w:left="0" w:right="0" w:firstLine="0"/>
        <w:jc w:val="both"/>
      </w:pPr>
      <w:r>
        <w:rPr>
          <w:color w:val="000000"/>
          <w:spacing w:val="0"/>
          <w:w w:val="100"/>
          <w:position w:val="0"/>
        </w:rPr>
        <w:t>报告期内公司在中国结算完成了非公开发行股票新增股份的登记工作。</w:t>
      </w:r>
    </w:p>
    <w:p>
      <w:pPr>
        <w:pStyle w:val="Style18"/>
        <w:keepNext w:val="0"/>
        <w:keepLines w:val="0"/>
        <w:widowControl w:val="0"/>
        <w:shd w:val="clear" w:color="auto" w:fill="auto"/>
        <w:bidi w:val="0"/>
        <w:spacing w:before="0" w:after="140" w:line="32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26" w:lineRule="exact"/>
        <w:ind w:left="0" w:right="0" w:firstLine="0"/>
        <w:jc w:val="both"/>
      </w:pPr>
      <w:r>
        <w:rPr>
          <w:color w:val="000000"/>
          <w:spacing w:val="0"/>
          <w:w w:val="100"/>
          <w:position w:val="0"/>
        </w:rPr>
        <w:t>报告期内，因非公开发行导致的股份变动使公司最近一年及一期的每股收益和稀释每股收益、归属于公司普通股股东的每股 净资产等财务指标相应摊薄。</w:t>
      </w:r>
    </w:p>
    <w:p>
      <w:pPr>
        <w:pStyle w:val="Style18"/>
        <w:keepNext w:val="0"/>
        <w:keepLines w:val="0"/>
        <w:widowControl w:val="0"/>
        <w:shd w:val="clear" w:color="auto" w:fill="auto"/>
        <w:bidi w:val="0"/>
        <w:spacing w:before="0" w:after="140" w:line="323"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8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、限售股份变动情况</w:t>
      </w:r>
      <w:bookmarkEnd w:id="627"/>
      <w:bookmarkEnd w:id="628"/>
      <w:bookmarkEnd w:id="630"/>
    </w:p>
    <w:p>
      <w:pPr>
        <w:pStyle w:val="Style18"/>
        <w:keepNext w:val="0"/>
        <w:keepLines w:val="0"/>
        <w:widowControl w:val="0"/>
        <w:shd w:val="clear" w:color="auto" w:fill="auto"/>
        <w:bidi w:val="0"/>
        <w:spacing w:before="0" w:after="4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496"/>
        <w:gridCol w:w="1171"/>
        <w:gridCol w:w="1018"/>
        <w:gridCol w:w="902"/>
        <w:gridCol w:w="1032"/>
        <w:gridCol w:w="1234"/>
        <w:gridCol w:w="1733"/>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本期解除</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解除限售日期</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294,802,263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288,566,419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2,199,413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2,199,413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11,530,255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11,530,255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11,490,278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11,490,278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24,046,920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24,046,920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财通基金一光大银行一中国银 河证券股份有限公司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CHASEBANK,NATIONALASS</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OCIATION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8,797,653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财通基金一韩波一财通基金安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山东惠瀚产业发展有限公司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2,932,551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依据证监会、深交所</w:t>
            </w:r>
          </w:p>
        </w:tc>
      </w:tr>
    </w:tbl>
    <w:p>
      <w:pPr>
        <w:spacing w:lineRule="exact" w:line="1"/>
        <w:rPr>
          <w:sz w:val="2"/>
          <w:szCs w:val="2"/>
        </w:rPr>
      </w:pPr>
      <w:r>
        <w:br w:type="page"/>
      </w:r>
    </w:p>
    <w:tbl>
      <w:tblPr>
        <w:tblOverlap w:val="never"/>
        <w:jc w:val="center"/>
        <w:tblLayout w:type="fixed"/>
      </w:tblPr>
      <w:tblGrid>
        <w:gridCol w:w="2496"/>
        <w:gridCol w:w="1171"/>
        <w:gridCol w:w="1018"/>
        <w:gridCol w:w="902"/>
        <w:gridCol w:w="1032"/>
        <w:gridCol w:w="1234"/>
        <w:gridCol w:w="1733"/>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规定执行</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财通基金一江海证券有限公司 一财通基金玉泉</w:t>
            </w:r>
            <w:r>
              <w:rPr>
                <w:rFonts w:ascii="Times New Roman" w:eastAsia="Times New Roman" w:hAnsi="Times New Roman" w:cs="Times New Roman"/>
                <w:color w:val="000000"/>
                <w:spacing w:val="0"/>
                <w:w w:val="100"/>
                <w:position w:val="0"/>
                <w:sz w:val="18"/>
                <w:szCs w:val="18"/>
              </w:rPr>
              <w:t>998</w:t>
            </w:r>
            <w:r>
              <w:rPr>
                <w:color w:val="000000"/>
                <w:spacing w:val="0"/>
                <w:w w:val="100"/>
                <w:position w:val="0"/>
              </w:rPr>
              <w:t>号单一资 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财通基金一张继东一财通基金 玉泉</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号单一资产管理计划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济南瀚惠投资合伙企业（有限合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6,598,240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6,598,240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诺德基金一东兴证券股份有限 公司一诺德基金浦江</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4,398,826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财通基金一华泰证券股份有限 公司一财通基金君享永熙单一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7,478,006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财通基金一东兴证券股份有限 公司一财通基金东兴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财通基金一长城证券股份有限 公司一财通基金天禧定增</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 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依据证监会、深交所 规定执行</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财通基金一首创证券股份有限 公司一财通基金汇通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诺德基金一华宝证券股份有限 公司一诺德基金浦江</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号单 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财通基金一满娇一财通基金安 吉</w:t>
            </w:r>
            <w:r>
              <w:rPr>
                <w:rFonts w:ascii="Times New Roman" w:eastAsia="Times New Roman" w:hAnsi="Times New Roman" w:cs="Times New Roman"/>
                <w:color w:val="000000"/>
                <w:spacing w:val="0"/>
                <w:w w:val="100"/>
                <w:position w:val="0"/>
                <w:sz w:val="18"/>
                <w:szCs w:val="18"/>
              </w:rPr>
              <w:t>321</w:t>
            </w:r>
            <w:r>
              <w:rPr>
                <w:color w:val="000000"/>
                <w:spacing w:val="0"/>
                <w:w w:val="100"/>
                <w:position w:val="0"/>
              </w:rPr>
              <w:t>号单一资产管理计划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财通基金一兴证投资管理有限 公司一财通基金天禧兴赢单一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2,932,551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2,932,551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依据证监会、深交所 规定执行</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294,802,263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378,566,419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二</w:t>
      </w:r>
      <w:bookmarkEnd w:id="633"/>
      <w:r>
        <w:rPr>
          <w:color w:val="000000"/>
          <w:spacing w:val="0"/>
          <w:w w:val="100"/>
          <w:position w:val="0"/>
        </w:rPr>
        <w:t>、证券发行与上市情况</w:t>
      </w:r>
      <w:bookmarkEnd w:id="631"/>
      <w:bookmarkEnd w:id="632"/>
      <w:bookmarkEnd w:id="634"/>
    </w:p>
    <w:p>
      <w:pPr>
        <w:pStyle w:val="Style29"/>
        <w:keepNext/>
        <w:keepLines/>
        <w:widowControl w:val="0"/>
        <w:shd w:val="clear" w:color="auto" w:fill="auto"/>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、报告期内证券发行（不含优先股）情况</w:t>
      </w:r>
      <w:bookmarkEnd w:id="635"/>
      <w:bookmarkEnd w:id="636"/>
      <w:bookmarkEnd w:id="638"/>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922"/>
        <w:gridCol w:w="994"/>
        <w:gridCol w:w="994"/>
        <w:gridCol w:w="850"/>
        <w:gridCol w:w="994"/>
        <w:gridCol w:w="706"/>
        <w:gridCol w:w="1987"/>
        <w:gridCol w:w="1070"/>
      </w:tblGrid>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获准上市交</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bl>
    <w:tbl>
      <w:tblPr>
        <w:tblOverlap w:val="never"/>
        <w:jc w:val="center"/>
        <w:tblLayout w:type="fixed"/>
      </w:tblPr>
      <w:tblGrid>
        <w:gridCol w:w="1070"/>
        <w:gridCol w:w="922"/>
        <w:gridCol w:w="994"/>
        <w:gridCol w:w="994"/>
        <w:gridCol w:w="850"/>
        <w:gridCol w:w="994"/>
        <w:gridCol w:w="706"/>
        <w:gridCol w:w="1987"/>
        <w:gridCol w:w="1070"/>
      </w:tblGrid>
      <w:tr>
        <w:trPr>
          <w:trHeight w:val="3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非公开发行 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巨潮资讯网《非公开发行</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 书暨上市公告书》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380" w:line="321"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日，公司收到中国证监会出具的《关于核准东华软件股份公司非公开发行股票的批复》（证监许可 </w:t>
      </w:r>
      <w:r>
        <w:rPr>
          <w:rFonts w:ascii="Times New Roman" w:eastAsia="Times New Roman" w:hAnsi="Times New Roman" w:cs="Times New Roman"/>
          <w:color w:val="000000"/>
          <w:spacing w:val="0"/>
          <w:w w:val="100"/>
          <w:position w:val="0"/>
          <w:sz w:val="18"/>
          <w:szCs w:val="18"/>
        </w:rPr>
        <w:t>[2020]2611</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342,703,061</w:t>
      </w:r>
      <w:r>
        <w:rPr>
          <w:color w:val="000000"/>
          <w:spacing w:val="0"/>
          <w:w w:val="100"/>
          <w:position w:val="0"/>
        </w:rPr>
        <w:t>股新股。公司本次非公开发行实际发行人民币普通股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 xml:space="preserve">6.8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613,800,000.00</w:t>
      </w:r>
      <w:r>
        <w:rPr>
          <w:color w:val="000000"/>
          <w:spacing w:val="0"/>
          <w:w w:val="100"/>
          <w:position w:val="0"/>
        </w:rPr>
        <w:t xml:space="preserve">元，扣除发行费用（不含增值税）人民币 </w:t>
      </w:r>
      <w:r>
        <w:rPr>
          <w:rFonts w:ascii="Times New Roman" w:eastAsia="Times New Roman" w:hAnsi="Times New Roman" w:cs="Times New Roman"/>
          <w:color w:val="000000"/>
          <w:spacing w:val="0"/>
          <w:w w:val="100"/>
          <w:position w:val="0"/>
          <w:sz w:val="18"/>
          <w:szCs w:val="18"/>
        </w:rPr>
        <w:t>8,405,160.14</w:t>
      </w:r>
      <w:r>
        <w:rPr>
          <w:color w:val="000000"/>
          <w:spacing w:val="0"/>
          <w:w w:val="100"/>
          <w:position w:val="0"/>
        </w:rPr>
        <w:t>元，本次募集资金净额为人民币</w:t>
      </w:r>
      <w:r>
        <w:rPr>
          <w:rFonts w:ascii="Times New Roman" w:eastAsia="Times New Roman" w:hAnsi="Times New Roman" w:cs="Times New Roman"/>
          <w:color w:val="000000"/>
          <w:spacing w:val="0"/>
          <w:w w:val="100"/>
          <w:position w:val="0"/>
          <w:sz w:val="18"/>
          <w:szCs w:val="18"/>
        </w:rPr>
        <w:t>605,394,839.86</w:t>
      </w:r>
      <w:r>
        <w:rPr>
          <w:color w:val="000000"/>
          <w:spacing w:val="0"/>
          <w:w w:val="100"/>
          <w:position w:val="0"/>
        </w:rPr>
        <w:t>元。本次非公开发行的股票已于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日在中国结算办 理完毕登记托管及限售手续，股票上市时间为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日，且自上市之日起六个月内不得转让。具体内容详见公司于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日在巨潮资讯网披露的《非公开发行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股股票发行情况报告书暨上市公告书》。</w:t>
      </w:r>
    </w:p>
    <w:p>
      <w:pPr>
        <w:pStyle w:val="Style29"/>
        <w:keepNext/>
        <w:keepLines/>
        <w:widowControl w:val="0"/>
        <w:shd w:val="clear" w:color="auto" w:fill="auto"/>
        <w:bidi w:val="0"/>
        <w:spacing w:before="0" w:after="26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、公司股份总数及股东结构的变动、公司资产和负债结构的变动情况说明</w:t>
      </w:r>
      <w:bookmarkEnd w:id="639"/>
      <w:bookmarkEnd w:id="640"/>
      <w:bookmarkEnd w:id="642"/>
    </w:p>
    <w:p>
      <w:pPr>
        <w:pStyle w:val="Style18"/>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34" w:val="left"/>
        </w:tabs>
        <w:bidi w:val="0"/>
        <w:spacing w:before="0" w:after="0" w:line="325" w:lineRule="exact"/>
        <w:ind w:left="0" w:right="0" w:firstLine="0"/>
        <w:jc w:val="left"/>
      </w:pPr>
      <w:bookmarkStart w:id="643" w:name="bookmark643"/>
      <w:r>
        <w:rPr>
          <w:color w:val="000000"/>
          <w:spacing w:val="0"/>
          <w:w w:val="100"/>
          <w:position w:val="0"/>
          <w:sz w:val="18"/>
          <w:szCs w:val="18"/>
        </w:rPr>
        <w:t>1</w:t>
      </w:r>
      <w:bookmarkEnd w:id="643"/>
      <w:r>
        <w:rPr>
          <w:color w:val="000000"/>
          <w:spacing w:val="0"/>
          <w:w w:val="100"/>
          <w:position w:val="0"/>
        </w:rPr>
        <w:t>、</w:t>
        <w:tab/>
        <w:t>公司股份总数及股东结构的变动</w:t>
      </w:r>
    </w:p>
    <w:p>
      <w:pPr>
        <w:pStyle w:val="Style1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本次非公开发行股票增加</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股限售流通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3,205,482,375</w:t>
      </w:r>
      <w:r>
        <w:rPr>
          <w:color w:val="000000"/>
          <w:spacing w:val="0"/>
          <w:w w:val="100"/>
          <w:position w:val="0"/>
        </w:rPr>
        <w:t>股。公司控股股 东未发生变化。</w:t>
      </w:r>
    </w:p>
    <w:p>
      <w:pPr>
        <w:pStyle w:val="Style18"/>
        <w:keepNext w:val="0"/>
        <w:keepLines w:val="0"/>
        <w:widowControl w:val="0"/>
        <w:shd w:val="clear" w:color="auto" w:fill="auto"/>
        <w:tabs>
          <w:tab w:pos="344" w:val="left"/>
        </w:tabs>
        <w:bidi w:val="0"/>
        <w:spacing w:before="0" w:after="0" w:line="329" w:lineRule="exact"/>
        <w:ind w:left="0" w:right="0" w:firstLine="0"/>
        <w:jc w:val="left"/>
      </w:pPr>
      <w:bookmarkStart w:id="644" w:name="bookmark644"/>
      <w:r>
        <w:rPr>
          <w:color w:val="000000"/>
          <w:spacing w:val="0"/>
          <w:w w:val="100"/>
          <w:position w:val="0"/>
          <w:sz w:val="18"/>
          <w:szCs w:val="18"/>
        </w:rPr>
        <w:t>2</w:t>
      </w:r>
      <w:bookmarkEnd w:id="644"/>
      <w:r>
        <w:rPr>
          <w:color w:val="000000"/>
          <w:spacing w:val="0"/>
          <w:w w:val="100"/>
          <w:position w:val="0"/>
        </w:rPr>
        <w:t>、</w:t>
        <w:tab/>
        <w:t>公司资产和负债结构的变动</w:t>
      </w:r>
    </w:p>
    <w:p>
      <w:pPr>
        <w:pStyle w:val="Style18"/>
        <w:keepNext w:val="0"/>
        <w:keepLines w:val="0"/>
        <w:widowControl w:val="0"/>
        <w:shd w:val="clear" w:color="auto" w:fill="auto"/>
        <w:bidi w:val="0"/>
        <w:spacing w:before="0" w:after="380" w:line="329" w:lineRule="exact"/>
        <w:ind w:left="0" w:right="0" w:firstLine="380"/>
        <w:jc w:val="both"/>
      </w:pPr>
      <w:r>
        <w:rPr>
          <w:color w:val="000000"/>
          <w:spacing w:val="0"/>
          <w:w w:val="100"/>
          <w:position w:val="0"/>
        </w:rPr>
        <w:t>本次非公开发行股票募集资金总额为人民币</w:t>
      </w:r>
      <w:r>
        <w:rPr>
          <w:rFonts w:ascii="Times New Roman" w:eastAsia="Times New Roman" w:hAnsi="Times New Roman" w:cs="Times New Roman"/>
          <w:color w:val="000000"/>
          <w:spacing w:val="0"/>
          <w:w w:val="100"/>
          <w:position w:val="0"/>
          <w:sz w:val="18"/>
          <w:szCs w:val="18"/>
        </w:rPr>
        <w:t>613,800,000.00</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605,394,839.86</w:t>
      </w:r>
      <w:r>
        <w:rPr>
          <w:color w:val="000000"/>
          <w:spacing w:val="0"/>
          <w:w w:val="100"/>
          <w:position w:val="0"/>
        </w:rPr>
        <w:t>元，公司资产总额 和净资产相应增加，资产负债率相应下降，公司的财务结构更趋合理，资产质量得到提升，偿债能力得到明显改善，融资能 力得以提高。</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现存的内部职工股情况</w:t>
      </w:r>
      <w:bookmarkEnd w:id="645"/>
      <w:bookmarkEnd w:id="646"/>
      <w:bookmarkEnd w:id="648"/>
    </w:p>
    <w:p>
      <w:pPr>
        <w:pStyle w:val="Style18"/>
        <w:keepNext w:val="0"/>
        <w:keepLines w:val="0"/>
        <w:widowControl w:val="0"/>
        <w:shd w:val="clear" w:color="auto" w:fill="auto"/>
        <w:bidi w:val="0"/>
        <w:spacing w:before="0" w:after="380" w:line="32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三</w:t>
      </w:r>
      <w:bookmarkEnd w:id="651"/>
      <w:r>
        <w:rPr>
          <w:color w:val="000000"/>
          <w:spacing w:val="0"/>
          <w:w w:val="100"/>
          <w:position w:val="0"/>
        </w:rPr>
        <w:t>、股东和实际控制人情况</w:t>
      </w:r>
      <w:bookmarkEnd w:id="649"/>
      <w:bookmarkEnd w:id="650"/>
      <w:bookmarkEnd w:id="652"/>
    </w:p>
    <w:p>
      <w:pPr>
        <w:pStyle w:val="Style29"/>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、公司股东数量及持股情况</w:t>
      </w:r>
      <w:bookmarkEnd w:id="653"/>
      <w:bookmarkEnd w:id="654"/>
      <w:bookmarkEnd w:id="6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34"/>
        <w:gridCol w:w="1042"/>
        <w:gridCol w:w="130"/>
        <w:gridCol w:w="864"/>
        <w:gridCol w:w="466"/>
        <w:gridCol w:w="528"/>
        <w:gridCol w:w="533"/>
        <w:gridCol w:w="456"/>
        <w:gridCol w:w="1003"/>
        <w:gridCol w:w="1037"/>
        <w:gridCol w:w="1358"/>
        <w:gridCol w:w="936"/>
      </w:tblGrid>
      <w:tr>
        <w:trPr>
          <w:trHeight w:val="170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147,494</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151,024</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条件的股份</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条件的股份</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质押、标记或冻结情况</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1564" w:val="left"/>
              </w:tabs>
              <w:bidi w:val="0"/>
              <w:spacing w:before="0" w:after="0" w:line="240" w:lineRule="auto"/>
              <w:ind w:left="0" w:right="0" w:firstLine="220"/>
              <w:jc w:val="left"/>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286"/>
        <w:gridCol w:w="989"/>
        <w:gridCol w:w="994"/>
        <w:gridCol w:w="994"/>
        <w:gridCol w:w="989"/>
        <w:gridCol w:w="994"/>
        <w:gridCol w:w="994"/>
        <w:gridCol w:w="1277"/>
        <w:gridCol w:w="1070"/>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北京东华诚信 电脑科技发展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611,370,597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-24,599,483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611,370,597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384,755,226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288,566,419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腾讯科技（上 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投资管理中心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83,242,439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光大证券股份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24,046,920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国泰君安证券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23,712,201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东华软件股份</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公司一第一期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22,302,422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56"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北京东华诚信电脑科技发展有限公司和薛向东、北京东华诚信投资管理中心（有限合伙）存 在关联关系。除上述股东关联关系外，未知上述股东间是否存在其他关联关系，也未知是否 存在中国证监会《上市公司收购管理办法》中规定的一致行动人的情况。</w:t>
            </w:r>
          </w:p>
        </w:tc>
      </w:tr>
      <w:tr>
        <w:trPr>
          <w:trHeight w:val="73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56"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39"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北京东华诚信电脑科技发展 有限公司</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611,370,597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611,370,597</w:t>
            </w:r>
          </w:p>
        </w:tc>
      </w:tr>
    </w:tbl>
    <w:p>
      <w:pPr>
        <w:spacing w:lineRule="exact" w:line="1"/>
        <w:rPr>
          <w:sz w:val="2"/>
          <w:szCs w:val="2"/>
        </w:rPr>
      </w:pPr>
      <w:r>
        <w:br w:type="page"/>
      </w:r>
    </w:p>
    <w:tbl>
      <w:tblPr>
        <w:tblOverlap w:val="never"/>
        <w:jc w:val="center"/>
        <w:tblLayout w:type="fixed"/>
      </w:tblPr>
      <w:tblGrid>
        <w:gridCol w:w="2275"/>
        <w:gridCol w:w="4963"/>
        <w:gridCol w:w="1277"/>
        <w:gridCol w:w="1070"/>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腾讯科技（上海）有限公司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157,087,552</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北京东华诚信投资管理中心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137,063,046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96,188,807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96,188,807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83,242,439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83,242,439</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东华软件股份公司一第一期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员工持股计划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22,302,422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22,302,422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1,675,600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11,083,200</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中国农业银行股份有限公司 一中证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 数证券投资基金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10,650,928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10,650,928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林绍康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7,572,494</w:t>
            </w:r>
          </w:p>
        </w:tc>
      </w:tr>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北京东华诚信电脑科技发展有限公司和薛向东、北京东华诚信投资管理中心（有限合伙）存 在关联关系。除上述股东关联关系外，未知上述股东间是否存在其他关联关系，也未知是否 存在中国证监会《上市公司收购管理办法》中规定的一致行动人的情况。</w:t>
            </w:r>
          </w:p>
        </w:tc>
      </w:tr>
      <w:tr>
        <w:trPr>
          <w:trHeight w:val="10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融券业务情况说明（如有）</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北京东华诚信电脑科技发展有限公司和东华软件股份公司一第一期员工持股计划分别通过转 融通证券出借业务股份数量</w:t>
            </w:r>
            <w:r>
              <w:rPr>
                <w:rFonts w:ascii="Times New Roman" w:eastAsia="Times New Roman" w:hAnsi="Times New Roman" w:cs="Times New Roman"/>
                <w:color w:val="000000"/>
                <w:spacing w:val="0"/>
                <w:w w:val="100"/>
                <w:position w:val="0"/>
                <w:sz w:val="18"/>
                <w:szCs w:val="18"/>
              </w:rPr>
              <w:t>3,108</w:t>
            </w:r>
            <w:r>
              <w:rPr>
                <w:color w:val="000000"/>
                <w:spacing w:val="0"/>
                <w:w w:val="100"/>
                <w:position w:val="0"/>
              </w:rPr>
              <w:t>万股和</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万股，该部分股份不发生所有权转移。林绍康通 过证券公司投资者信用账户持有公司</w:t>
            </w:r>
            <w:r>
              <w:rPr>
                <w:rFonts w:ascii="Times New Roman" w:eastAsia="Times New Roman" w:hAnsi="Times New Roman" w:cs="Times New Roman"/>
                <w:color w:val="000000"/>
                <w:spacing w:val="0"/>
                <w:w w:val="100"/>
                <w:position w:val="0"/>
                <w:sz w:val="18"/>
                <w:szCs w:val="18"/>
              </w:rPr>
              <w:t>7,572,494</w:t>
            </w:r>
            <w:r>
              <w:rPr>
                <w:color w:val="000000"/>
                <w:spacing w:val="0"/>
                <w:w w:val="100"/>
                <w:position w:val="0"/>
              </w:rPr>
              <w:t>股。</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、公司控股股东情况</w:t>
      </w:r>
      <w:bookmarkEnd w:id="657"/>
      <w:bookmarkEnd w:id="658"/>
      <w:bookmarkEnd w:id="66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426"/>
        <w:gridCol w:w="1133"/>
        <w:gridCol w:w="1704"/>
        <w:gridCol w:w="1843"/>
        <w:gridCol w:w="3480"/>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北京东华诚信电 脑科技发展有限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郭玉梅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91110108102047790H</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技术开发、技术推广、技术转让、技术咨询、 技术服务；开发、销售计算机软、硬件及外 围设备；计算机系统集成；货物进出口、代 理进出口；销售食品。</w:t>
            </w:r>
          </w:p>
        </w:tc>
      </w:tr>
      <w:tr>
        <w:trPr>
          <w:trHeight w:val="13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控股股东报告期 内控股和参股的 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、公司实际控制人及其一致行动人</w:t>
      </w:r>
      <w:bookmarkEnd w:id="661"/>
      <w:bookmarkEnd w:id="662"/>
      <w:bookmarkEnd w:id="66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薛向东及其家族成员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薛向东先生最近五年一直担任公司董事长</w:t>
            </w:r>
          </w:p>
        </w:tc>
      </w:tr>
      <w:tr>
        <w:trPr>
          <w:trHeight w:val="7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80416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596130" cy="2804160"/>
                    </a:xfrm>
                    <a:prstGeom prst="rect"/>
                  </pic:spPr>
                </pic:pic>
              </a:graphicData>
            </a:graphic>
          </wp:inline>
        </w:drawing>
      </w:r>
    </w:p>
    <w:p>
      <w:pPr>
        <w:widowControl w:val="0"/>
        <w:spacing w:after="2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40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4</w:t>
      </w:r>
      <w:bookmarkEnd w:id="66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5"/>
      <w:bookmarkEnd w:id="666"/>
      <w:bookmarkEnd w:id="668"/>
    </w:p>
    <w:p>
      <w:pPr>
        <w:pStyle w:val="Style1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40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5</w:t>
      </w:r>
      <w:bookmarkEnd w:id="67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9"/>
      <w:bookmarkEnd w:id="670"/>
      <w:bookmarkEnd w:id="672"/>
    </w:p>
    <w:p>
      <w:pPr>
        <w:pStyle w:val="Style1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6</w:t>
      </w:r>
      <w:bookmarkEnd w:id="675"/>
      <w:r>
        <w:rPr>
          <w:color w:val="000000"/>
          <w:spacing w:val="0"/>
          <w:w w:val="100"/>
          <w:position w:val="0"/>
        </w:rPr>
        <w:t>、控股股东、实际控制人、重组方及其他承诺主体股份限制减持情况</w:t>
      </w:r>
      <w:bookmarkEnd w:id="673"/>
      <w:bookmarkEnd w:id="674"/>
      <w:bookmarkEnd w:id="67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四</w:t>
      </w:r>
      <w:bookmarkEnd w:id="679"/>
      <w:r>
        <w:rPr>
          <w:color w:val="000000"/>
          <w:spacing w:val="0"/>
          <w:w w:val="100"/>
          <w:position w:val="0"/>
        </w:rPr>
        <w:t>、股份回购在报告期的具体实施情况</w:t>
      </w:r>
      <w:bookmarkEnd w:id="677"/>
      <w:bookmarkEnd w:id="678"/>
      <w:bookmarkEnd w:id="68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88" w:right="1129" w:bottom="1446" w:left="107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4" name="Shape 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81" w:name="bookmark681"/>
                            <w:bookmarkStart w:id="682" w:name="bookmark682"/>
                            <w:bookmarkStart w:id="683" w:name="bookmark683"/>
                            <w:r>
                              <w:rPr>
                                <w:color w:val="000000"/>
                                <w:spacing w:val="0"/>
                                <w:w w:val="100"/>
                                <w:position w:val="0"/>
                              </w:rPr>
                              <w:t>第八节优先股相关情况</w:t>
                            </w:r>
                            <w:bookmarkEnd w:id="681"/>
                            <w:bookmarkEnd w:id="682"/>
                            <w:bookmarkEnd w:id="68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1.95000000000002pt;margin-top:0;width:170.90000000000001pt;height:19.449999999999999pt;z-index:-125829375;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81" w:name="bookmark681"/>
                      <w:bookmarkStart w:id="682" w:name="bookmark682"/>
                      <w:bookmarkStart w:id="683" w:name="bookmark683"/>
                      <w:r>
                        <w:rPr>
                          <w:color w:val="000000"/>
                          <w:spacing w:val="0"/>
                          <w:w w:val="100"/>
                          <w:position w:val="0"/>
                        </w:rPr>
                        <w:t>第八节优先股相关情况</w:t>
                      </w:r>
                      <w:bookmarkEnd w:id="681"/>
                      <w:bookmarkEnd w:id="682"/>
                      <w:bookmarkEnd w:id="683"/>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84" w:name="bookmark68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4"/>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5" w:bottom="194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80" w:line="240" w:lineRule="auto"/>
        <w:ind w:left="0" w:right="0" w:firstLine="0"/>
        <w:jc w:val="center"/>
      </w:pPr>
      <w:bookmarkStart w:id="685" w:name="bookmark685"/>
      <w:bookmarkStart w:id="686" w:name="bookmark686"/>
      <w:bookmarkStart w:id="687" w:name="bookmark687"/>
      <w:r>
        <w:rPr>
          <w:color w:val="000000"/>
          <w:spacing w:val="0"/>
          <w:w w:val="100"/>
          <w:position w:val="0"/>
        </w:rPr>
        <w:t>第九节债券相关情况</w:t>
      </w:r>
      <w:bookmarkEnd w:id="685"/>
      <w:bookmarkEnd w:id="686"/>
      <w:bookmarkEnd w:id="687"/>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5" w:bottom="1940" w:left="1104" w:header="0" w:footer="3" w:gutter="0"/>
          <w:cols w:space="720"/>
          <w:noEndnote/>
          <w:rtlGutter w:val="0"/>
          <w:docGrid w:linePitch="360"/>
        </w:sectPr>
      </w:pPr>
      <w:bookmarkStart w:id="688" w:name="bookmark68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8"/>
    </w:p>
    <w:p>
      <w:pPr>
        <w:pStyle w:val="Style8"/>
        <w:keepNext/>
        <w:keepLines/>
        <w:widowControl w:val="0"/>
        <w:shd w:val="clear" w:color="auto" w:fill="auto"/>
        <w:bidi w:val="0"/>
        <w:spacing w:before="560" w:line="240" w:lineRule="auto"/>
        <w:ind w:left="0" w:right="0" w:firstLine="0"/>
        <w:jc w:val="center"/>
      </w:pPr>
      <w:bookmarkStart w:id="689" w:name="bookmark689"/>
      <w:bookmarkStart w:id="690" w:name="bookmark690"/>
      <w:bookmarkStart w:id="691" w:name="bookmark691"/>
      <w:r>
        <w:rPr>
          <w:color w:val="000000"/>
          <w:spacing w:val="0"/>
          <w:w w:val="100"/>
          <w:position w:val="0"/>
        </w:rPr>
        <w:t>第十节财务报告</w:t>
      </w:r>
      <w:bookmarkEnd w:id="689"/>
      <w:bookmarkEnd w:id="690"/>
      <w:bookmarkEnd w:id="691"/>
    </w:p>
    <w:p>
      <w:pPr>
        <w:pStyle w:val="Style24"/>
        <w:keepNext/>
        <w:keepLines/>
        <w:widowControl w:val="0"/>
        <w:shd w:val="clear" w:color="auto" w:fill="auto"/>
        <w:bidi w:val="0"/>
        <w:spacing w:before="0" w:after="320" w:line="240" w:lineRule="auto"/>
        <w:ind w:left="0" w:right="0" w:firstLine="260"/>
        <w:jc w:val="left"/>
      </w:pPr>
      <w:bookmarkStart w:id="692" w:name="bookmark692"/>
      <w:bookmarkStart w:id="693" w:name="bookmark693"/>
      <w:bookmarkStart w:id="694" w:name="bookmark694"/>
      <w:bookmarkStart w:id="695" w:name="bookmark695"/>
      <w:r>
        <w:rPr>
          <w:color w:val="000000"/>
          <w:spacing w:val="0"/>
          <w:w w:val="100"/>
          <w:position w:val="0"/>
        </w:rPr>
        <w:t>、审计报告</w:t>
      </w:r>
      <w:bookmarkEnd w:id="693"/>
      <w:bookmarkEnd w:id="694"/>
      <w:bookmarkEnd w:id="695"/>
      <w:bookmarkEnd w:id="692"/>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[2022]0011968</w:t>
            </w:r>
            <w:r>
              <w:rPr>
                <w:color w:val="000000"/>
                <w:spacing w:val="0"/>
                <w:w w:val="100"/>
                <w:position w:val="0"/>
              </w:rPr>
              <w:t>号</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叶立萍、邢博晖</w:t>
            </w:r>
          </w:p>
        </w:tc>
      </w:tr>
    </w:tbl>
    <w:p>
      <w:pPr>
        <w:widowControl w:val="0"/>
        <w:spacing w:after="399" w:line="1" w:lineRule="exact"/>
      </w:pPr>
    </w:p>
    <w:p>
      <w:pPr>
        <w:pStyle w:val="Style10"/>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审计报告</w:t>
      </w:r>
    </w:p>
    <w:p>
      <w:pPr>
        <w:pStyle w:val="Style21"/>
        <w:keepNext w:val="0"/>
        <w:keepLines w:val="0"/>
        <w:widowControl w:val="0"/>
        <w:shd w:val="clear" w:color="auto" w:fill="auto"/>
        <w:bidi w:val="0"/>
        <w:spacing w:before="0" w:after="640" w:line="322" w:lineRule="exact"/>
        <w:ind w:left="0" w:right="0" w:firstLine="0"/>
        <w:jc w:val="right"/>
        <w:rPr>
          <w:sz w:val="20"/>
          <w:szCs w:val="20"/>
        </w:rPr>
      </w:pPr>
      <w:r>
        <w:rPr>
          <w:b/>
          <w:bCs/>
          <w:color w:val="000000"/>
          <w:spacing w:val="0"/>
          <w:w w:val="100"/>
          <w:position w:val="0"/>
          <w:sz w:val="20"/>
          <w:szCs w:val="20"/>
        </w:rPr>
        <w:t>大华审字</w:t>
      </w:r>
      <w:r>
        <w:rPr>
          <w:rFonts w:ascii="Times New Roman" w:eastAsia="Times New Roman" w:hAnsi="Times New Roman" w:cs="Times New Roman"/>
          <w:b/>
          <w:bCs/>
          <w:color w:val="000000"/>
          <w:spacing w:val="0"/>
          <w:w w:val="100"/>
          <w:position w:val="0"/>
          <w:sz w:val="20"/>
          <w:szCs w:val="20"/>
        </w:rPr>
        <w:t>[2022]0011968</w:t>
      </w:r>
      <w:r>
        <w:rPr>
          <w:b/>
          <w:bCs/>
          <w:color w:val="000000"/>
          <w:spacing w:val="0"/>
          <w:w w:val="100"/>
          <w:position w:val="0"/>
          <w:sz w:val="20"/>
          <w:szCs w:val="20"/>
        </w:rPr>
        <w:t>号</w:t>
      </w:r>
    </w:p>
    <w:p>
      <w:pPr>
        <w:pStyle w:val="Style21"/>
        <w:keepNext w:val="0"/>
        <w:keepLines w:val="0"/>
        <w:widowControl w:val="0"/>
        <w:shd w:val="clear" w:color="auto" w:fill="auto"/>
        <w:bidi w:val="0"/>
        <w:spacing w:before="0" w:after="200" w:line="240" w:lineRule="auto"/>
        <w:ind w:left="0" w:right="0" w:firstLine="0"/>
        <w:jc w:val="both"/>
        <w:rPr>
          <w:sz w:val="20"/>
          <w:szCs w:val="20"/>
        </w:rPr>
      </w:pPr>
      <w:r>
        <w:rPr>
          <w:b/>
          <w:bCs/>
          <w:color w:val="000000"/>
          <w:spacing w:val="0"/>
          <w:w w:val="100"/>
          <w:position w:val="0"/>
          <w:sz w:val="20"/>
          <w:szCs w:val="20"/>
        </w:rPr>
        <w:t>东华软件股份公司全体股东：</w:t>
      </w:r>
    </w:p>
    <w:p>
      <w:pPr>
        <w:pStyle w:val="Style18"/>
        <w:keepNext w:val="0"/>
        <w:keepLines w:val="0"/>
        <w:widowControl w:val="0"/>
        <w:shd w:val="clear" w:color="auto" w:fill="auto"/>
        <w:tabs>
          <w:tab w:pos="820" w:val="left"/>
        </w:tabs>
        <w:bidi w:val="0"/>
        <w:spacing w:before="0" w:after="160" w:line="322" w:lineRule="exact"/>
        <w:ind w:left="0" w:right="0" w:firstLine="380"/>
        <w:jc w:val="both"/>
      </w:pPr>
      <w:bookmarkStart w:id="696" w:name="bookmark696"/>
      <w:r>
        <w:rPr>
          <w:b/>
          <w:bCs/>
          <w:color w:val="000000"/>
          <w:spacing w:val="0"/>
          <w:w w:val="100"/>
          <w:position w:val="0"/>
        </w:rPr>
        <w:t>一</w:t>
      </w:r>
      <w:bookmarkEnd w:id="696"/>
      <w:r>
        <w:rPr>
          <w:b/>
          <w:bCs/>
          <w:color w:val="000000"/>
          <w:spacing w:val="0"/>
          <w:w w:val="100"/>
          <w:position w:val="0"/>
        </w:rPr>
        <w:t>、</w:t>
        <w:tab/>
        <w:t>审计意见</w:t>
      </w:r>
    </w:p>
    <w:p>
      <w:pPr>
        <w:pStyle w:val="Style18"/>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我们审计了东华软件股份公司</w:t>
      </w:r>
      <w:r>
        <w:rPr>
          <w:color w:val="000000"/>
          <w:spacing w:val="0"/>
          <w:w w:val="100"/>
          <w:position w:val="0"/>
          <w:sz w:val="18"/>
          <w:szCs w:val="18"/>
        </w:rPr>
        <w:t>（</w:t>
      </w:r>
      <w:r>
        <w:rPr>
          <w:color w:val="000000"/>
          <w:spacing w:val="0"/>
          <w:w w:val="100"/>
          <w:position w:val="0"/>
        </w:rPr>
        <w:t>以下简称东华软件公司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8"/>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我们认为，后附的财务报表在所有重大方面按照企业会计准则的规定编制，公允反映了东华软件公司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20" w:val="left"/>
        </w:tabs>
        <w:bidi w:val="0"/>
        <w:spacing w:before="0" w:after="160" w:line="322" w:lineRule="exact"/>
        <w:ind w:left="0" w:right="0" w:firstLine="380"/>
        <w:jc w:val="both"/>
      </w:pPr>
      <w:bookmarkStart w:id="697" w:name="bookmark697"/>
      <w:r>
        <w:rPr>
          <w:b/>
          <w:bCs/>
          <w:color w:val="000000"/>
          <w:spacing w:val="0"/>
          <w:w w:val="100"/>
          <w:position w:val="0"/>
        </w:rPr>
        <w:t>二</w:t>
      </w:r>
      <w:bookmarkEnd w:id="697"/>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160" w:line="32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阐述了我们在这些准则下的责任。按照中国注册会计师职业道德守则，我们独立于东华软件公司，并履行了职业道德方面的 其他责任。我们相信，我们获取的审计证据是充分、适当的，为发表审计意见提供了基础。</w:t>
      </w:r>
    </w:p>
    <w:p>
      <w:pPr>
        <w:pStyle w:val="Style18"/>
        <w:keepNext w:val="0"/>
        <w:keepLines w:val="0"/>
        <w:widowControl w:val="0"/>
        <w:shd w:val="clear" w:color="auto" w:fill="auto"/>
        <w:tabs>
          <w:tab w:pos="825" w:val="left"/>
        </w:tabs>
        <w:bidi w:val="0"/>
        <w:spacing w:before="0" w:after="160" w:line="322" w:lineRule="exact"/>
        <w:ind w:left="0" w:right="0" w:firstLine="380"/>
        <w:jc w:val="both"/>
      </w:pPr>
      <w:bookmarkStart w:id="698" w:name="bookmark698"/>
      <w:r>
        <w:rPr>
          <w:b/>
          <w:bCs/>
          <w:color w:val="000000"/>
          <w:spacing w:val="0"/>
          <w:w w:val="100"/>
          <w:position w:val="0"/>
        </w:rPr>
        <w:t>三</w:t>
      </w:r>
      <w:bookmarkEnd w:id="698"/>
      <w:r>
        <w:rPr>
          <w:b/>
          <w:bCs/>
          <w:color w:val="000000"/>
          <w:spacing w:val="0"/>
          <w:w w:val="100"/>
          <w:position w:val="0"/>
        </w:rPr>
        <w:t>、</w:t>
        <w:tab/>
        <w:t>关键审计事项</w:t>
      </w:r>
    </w:p>
    <w:p>
      <w:pPr>
        <w:pStyle w:val="Style18"/>
        <w:keepNext w:val="0"/>
        <w:keepLines w:val="0"/>
        <w:widowControl w:val="0"/>
        <w:shd w:val="clear" w:color="auto" w:fill="auto"/>
        <w:bidi w:val="0"/>
        <w:spacing w:before="0" w:after="160" w:line="326"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8"/>
        <w:keepNext w:val="0"/>
        <w:keepLines w:val="0"/>
        <w:widowControl w:val="0"/>
        <w:shd w:val="clear" w:color="auto" w:fill="auto"/>
        <w:bidi w:val="0"/>
        <w:spacing w:before="0" w:after="160" w:line="322" w:lineRule="exact"/>
        <w:ind w:left="0" w:right="0" w:firstLine="380"/>
        <w:jc w:val="both"/>
      </w:pPr>
      <w:r>
        <w:rPr>
          <w:color w:val="000000"/>
          <w:spacing w:val="0"/>
          <w:w w:val="100"/>
          <w:position w:val="0"/>
        </w:rPr>
        <w:t>我们确定下列事项是需要在审计报告中沟通的关键审计事项。</w:t>
      </w:r>
    </w:p>
    <w:p>
      <w:pPr>
        <w:pStyle w:val="Style18"/>
        <w:keepNext w:val="0"/>
        <w:keepLines w:val="0"/>
        <w:widowControl w:val="0"/>
        <w:shd w:val="clear" w:color="auto" w:fill="auto"/>
        <w:bidi w:val="0"/>
        <w:spacing w:before="0" w:after="160" w:line="322" w:lineRule="exact"/>
        <w:ind w:left="0" w:right="0" w:firstLine="380"/>
        <w:jc w:val="both"/>
      </w:pPr>
      <w:r>
        <w:rPr>
          <w:color w:val="000000"/>
          <w:spacing w:val="0"/>
          <w:w w:val="100"/>
          <w:position w:val="0"/>
        </w:rPr>
        <w:t>营业收入的确认</w:t>
      </w:r>
    </w:p>
    <w:p>
      <w:pPr>
        <w:pStyle w:val="Style18"/>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商誉减值</w:t>
      </w:r>
    </w:p>
    <w:p>
      <w:pPr>
        <w:pStyle w:val="Style1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（一）营业收入的确认</w:t>
      </w:r>
    </w:p>
    <w:p>
      <w:pPr>
        <w:pStyle w:val="Style18"/>
        <w:keepNext w:val="0"/>
        <w:keepLines w:val="0"/>
        <w:widowControl w:val="0"/>
        <w:shd w:val="clear" w:color="auto" w:fill="auto"/>
        <w:tabs>
          <w:tab w:pos="720" w:val="left"/>
        </w:tabs>
        <w:bidi w:val="0"/>
        <w:spacing w:before="0" w:after="140" w:line="326" w:lineRule="exact"/>
        <w:ind w:left="0" w:right="0" w:firstLine="380"/>
        <w:jc w:val="left"/>
      </w:pPr>
      <w:bookmarkStart w:id="699" w:name="bookmark699"/>
      <w:r>
        <w:rPr>
          <w:rFonts w:ascii="Times New Roman" w:eastAsia="Times New Roman" w:hAnsi="Times New Roman" w:cs="Times New Roman"/>
          <w:color w:val="000000"/>
          <w:spacing w:val="0"/>
          <w:w w:val="100"/>
          <w:position w:val="0"/>
          <w:sz w:val="18"/>
          <w:szCs w:val="18"/>
        </w:rPr>
        <w:t>1</w:t>
      </w:r>
      <w:bookmarkEnd w:id="699"/>
      <w:r>
        <w:rPr>
          <w:color w:val="000000"/>
          <w:spacing w:val="0"/>
          <w:w w:val="100"/>
          <w:position w:val="0"/>
        </w:rPr>
        <w:t>、</w:t>
        <w:tab/>
        <w:t>事项描述</w:t>
      </w:r>
    </w:p>
    <w:p>
      <w:pPr>
        <w:pStyle w:val="Style18"/>
        <w:keepNext w:val="0"/>
        <w:keepLines w:val="0"/>
        <w:widowControl w:val="0"/>
        <w:shd w:val="clear" w:color="auto" w:fill="auto"/>
        <w:bidi w:val="0"/>
        <w:spacing w:before="0" w:after="140" w:line="331" w:lineRule="exact"/>
        <w:ind w:left="0" w:right="0" w:firstLine="380"/>
        <w:jc w:val="left"/>
      </w:pPr>
      <w:r>
        <w:rPr>
          <w:color w:val="000000"/>
          <w:spacing w:val="0"/>
          <w:w w:val="100"/>
          <w:position w:val="0"/>
        </w:rPr>
        <w:t>关于营业收入披露请参见附注四、重要会计政策和会计估计（三十五）收入及附注六、合并财务报表主要项目注释</w:t>
      </w:r>
      <w:r>
        <w:rPr>
          <w:rFonts w:ascii="Times New Roman" w:eastAsia="Times New Roman" w:hAnsi="Times New Roman" w:cs="Times New Roman"/>
          <w:color w:val="000000"/>
          <w:spacing w:val="0"/>
          <w:w w:val="100"/>
          <w:position w:val="0"/>
          <w:sz w:val="18"/>
          <w:szCs w:val="18"/>
        </w:rPr>
        <w:t xml:space="preserve">41 </w:t>
      </w:r>
      <w:r>
        <w:rPr>
          <w:color w:val="000000"/>
          <w:spacing w:val="0"/>
          <w:w w:val="100"/>
          <w:position w:val="0"/>
        </w:rPr>
        <w:t>营业收入和营业成本。</w:t>
      </w:r>
    </w:p>
    <w:p>
      <w:pPr>
        <w:pStyle w:val="Style18"/>
        <w:keepNext w:val="0"/>
        <w:keepLines w:val="0"/>
        <w:widowControl w:val="0"/>
        <w:shd w:val="clear" w:color="auto" w:fill="auto"/>
        <w:bidi w:val="0"/>
        <w:spacing w:before="0" w:after="140" w:line="326" w:lineRule="exact"/>
        <w:ind w:left="0" w:right="0" w:firstLine="380"/>
        <w:jc w:val="left"/>
      </w:pPr>
      <w:r>
        <w:rPr>
          <w:color w:val="000000"/>
          <w:spacing w:val="0"/>
          <w:w w:val="100"/>
          <w:position w:val="0"/>
        </w:rPr>
        <w:t>东华软件公司的主营业务收入主要包括系统集成、软件销售、技术服务等收入。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1,088,428.86</w:t>
      </w:r>
      <w:r>
        <w:rPr>
          <w:color w:val="000000"/>
          <w:spacing w:val="0"/>
          <w:w w:val="100"/>
          <w:position w:val="0"/>
        </w:rPr>
        <w:t>万 元。由于收入是东华软件公司的关键业绩指标之一，从而存在管理层为了达到特定目标或期望而操纵收入确认的固有风险， 因此我们将收入确认识别为关键审计事项。</w:t>
      </w:r>
    </w:p>
    <w:p>
      <w:pPr>
        <w:pStyle w:val="Style18"/>
        <w:keepNext w:val="0"/>
        <w:keepLines w:val="0"/>
        <w:widowControl w:val="0"/>
        <w:shd w:val="clear" w:color="auto" w:fill="auto"/>
        <w:tabs>
          <w:tab w:pos="734" w:val="left"/>
        </w:tabs>
        <w:bidi w:val="0"/>
        <w:spacing w:before="0" w:after="140" w:line="326" w:lineRule="exact"/>
        <w:ind w:left="0" w:right="0" w:firstLine="380"/>
        <w:jc w:val="both"/>
      </w:pPr>
      <w:bookmarkStart w:id="700" w:name="bookmark700"/>
      <w:r>
        <w:rPr>
          <w:rFonts w:ascii="Times New Roman" w:eastAsia="Times New Roman" w:hAnsi="Times New Roman" w:cs="Times New Roman"/>
          <w:color w:val="000000"/>
          <w:spacing w:val="0"/>
          <w:w w:val="100"/>
          <w:position w:val="0"/>
          <w:sz w:val="18"/>
          <w:szCs w:val="18"/>
        </w:rPr>
        <w:t>2</w:t>
      </w:r>
      <w:bookmarkEnd w:id="700"/>
      <w:r>
        <w:rPr>
          <w:color w:val="000000"/>
          <w:spacing w:val="0"/>
          <w:w w:val="100"/>
          <w:position w:val="0"/>
        </w:rPr>
        <w:t>、</w:t>
        <w:tab/>
        <w:t>审计应对</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我们对于营业收入的确认所实施的重要审计程序包括：</w:t>
      </w:r>
    </w:p>
    <w:p>
      <w:pPr>
        <w:pStyle w:val="Style18"/>
        <w:keepNext w:val="0"/>
        <w:keepLines w:val="0"/>
        <w:widowControl w:val="0"/>
        <w:shd w:val="clear" w:color="auto" w:fill="auto"/>
        <w:tabs>
          <w:tab w:pos="825" w:val="left"/>
        </w:tabs>
        <w:bidi w:val="0"/>
        <w:spacing w:before="0" w:after="140" w:line="326" w:lineRule="exact"/>
        <w:ind w:left="0" w:right="0" w:firstLine="38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了解、评价东华软件公司销售业务内部控制的设计，并测试关键控制执行的有效性。</w:t>
      </w:r>
    </w:p>
    <w:p>
      <w:pPr>
        <w:pStyle w:val="Style18"/>
        <w:keepNext w:val="0"/>
        <w:keepLines w:val="0"/>
        <w:widowControl w:val="0"/>
        <w:shd w:val="clear" w:color="auto" w:fill="auto"/>
        <w:tabs>
          <w:tab w:pos="825" w:val="left"/>
        </w:tabs>
        <w:bidi w:val="0"/>
        <w:spacing w:before="0" w:after="140" w:line="326" w:lineRule="exact"/>
        <w:ind w:left="0" w:right="0" w:firstLine="3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对销售收入执行实质性分析程序，包括对收入执行月度波动分析和毛利率分析，并与上年进行对比分析。</w:t>
      </w:r>
    </w:p>
    <w:p>
      <w:pPr>
        <w:pStyle w:val="Style18"/>
        <w:keepNext w:val="0"/>
        <w:keepLines w:val="0"/>
        <w:widowControl w:val="0"/>
        <w:shd w:val="clear" w:color="auto" w:fill="auto"/>
        <w:tabs>
          <w:tab w:pos="901" w:val="left"/>
        </w:tabs>
        <w:bidi w:val="0"/>
        <w:spacing w:before="0" w:after="140" w:line="326" w:lineRule="exact"/>
        <w:ind w:left="0" w:right="0" w:firstLine="3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选取样本检查与营业收入确认相关的支持性文件：对于系统集成收入和软件销售收入检查销售合同、验收报告、 销售发票、账面记录、银行回款等，以检查收入的确认是否准确。对于技术服务收入，如果一次性提供服务，检查客户的验 收报告，如果在一定期限内提供服务，根据已签订的合同金额及服务时间测算确认收入的准确性。</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选取样本检查资产负债表日前后确认收入的支持性文件，评估收入是否在恰当的期间确认。</w:t>
      </w:r>
    </w:p>
    <w:p>
      <w:pPr>
        <w:pStyle w:val="Style18"/>
        <w:keepNext w:val="0"/>
        <w:keepLines w:val="0"/>
        <w:widowControl w:val="0"/>
        <w:shd w:val="clear" w:color="auto" w:fill="auto"/>
        <w:tabs>
          <w:tab w:pos="825" w:val="left"/>
        </w:tabs>
        <w:bidi w:val="0"/>
        <w:spacing w:before="0" w:after="140" w:line="326" w:lineRule="exact"/>
        <w:ind w:left="0" w:right="0" w:firstLine="3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结合应收账款审计，抽样选取主要客户实施函证以确认应收账款余额和销售收入金额。</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基于所实施的审计程序，我们认为，东华软件公司的收入确认符合其收入确认的会计政策，我们未发现影响合并财务报 表的与收入确认相关的重大事项。</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（二）商誉减值</w:t>
      </w:r>
    </w:p>
    <w:p>
      <w:pPr>
        <w:pStyle w:val="Style18"/>
        <w:keepNext w:val="0"/>
        <w:keepLines w:val="0"/>
        <w:widowControl w:val="0"/>
        <w:shd w:val="clear" w:color="auto" w:fill="auto"/>
        <w:tabs>
          <w:tab w:pos="720" w:val="left"/>
        </w:tabs>
        <w:bidi w:val="0"/>
        <w:spacing w:before="0" w:after="140" w:line="326" w:lineRule="exact"/>
        <w:ind w:left="0" w:right="0" w:firstLine="380"/>
        <w:jc w:val="both"/>
      </w:pPr>
      <w:bookmarkStart w:id="705" w:name="bookmark705"/>
      <w:r>
        <w:rPr>
          <w:rFonts w:ascii="Times New Roman" w:eastAsia="Times New Roman" w:hAnsi="Times New Roman" w:cs="Times New Roman"/>
          <w:color w:val="000000"/>
          <w:spacing w:val="0"/>
          <w:w w:val="100"/>
          <w:position w:val="0"/>
          <w:sz w:val="18"/>
          <w:szCs w:val="18"/>
        </w:rPr>
        <w:t>1</w:t>
      </w:r>
      <w:bookmarkEnd w:id="705"/>
      <w:r>
        <w:rPr>
          <w:color w:val="000000"/>
          <w:spacing w:val="0"/>
          <w:w w:val="100"/>
          <w:position w:val="0"/>
        </w:rPr>
        <w:t>、</w:t>
        <w:tab/>
        <w:t>事项描述</w:t>
      </w:r>
    </w:p>
    <w:p>
      <w:pPr>
        <w:pStyle w:val="Style18"/>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关于商誉减值披露请参见附注四、重要会计政策和会计估计（二十八）长期资产减值及附注六、合并财务报表主要项目 注释</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商誉和注释</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资产减值损失。</w:t>
      </w:r>
    </w:p>
    <w:p>
      <w:pPr>
        <w:pStyle w:val="Style18"/>
        <w:keepNext w:val="0"/>
        <w:keepLines w:val="0"/>
        <w:widowControl w:val="0"/>
        <w:shd w:val="clear" w:color="auto" w:fill="auto"/>
        <w:bidi w:val="0"/>
        <w:spacing w:before="0" w:after="140" w:line="336"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日，东华软件公司商誉的账面价值为</w:t>
      </w:r>
      <w:r>
        <w:rPr>
          <w:rFonts w:ascii="Times New Roman" w:eastAsia="Times New Roman" w:hAnsi="Times New Roman" w:cs="Times New Roman"/>
          <w:color w:val="000000"/>
          <w:spacing w:val="0"/>
          <w:w w:val="100"/>
          <w:position w:val="0"/>
          <w:sz w:val="18"/>
          <w:szCs w:val="18"/>
        </w:rPr>
        <w:t>64,177.53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年计提商誉减值准备</w:t>
      </w:r>
      <w:r>
        <w:rPr>
          <w:rFonts w:ascii="Times New Roman" w:eastAsia="Times New Roman" w:hAnsi="Times New Roman" w:cs="Times New Roman"/>
          <w:color w:val="000000"/>
          <w:spacing w:val="0"/>
          <w:w w:val="100"/>
          <w:position w:val="0"/>
          <w:sz w:val="18"/>
          <w:szCs w:val="18"/>
        </w:rPr>
        <w:t>870.99</w:t>
      </w:r>
      <w:r>
        <w:rPr>
          <w:color w:val="000000"/>
          <w:spacing w:val="0"/>
          <w:w w:val="100"/>
          <w:position w:val="0"/>
        </w:rPr>
        <w:t>万元。 由于商誉金额较大，且对其进行减值测试还涉及管理层运用重大会计估计和判断，因此我们将商誉减值识别为关键审计事项。</w:t>
      </w:r>
    </w:p>
    <w:p>
      <w:pPr>
        <w:pStyle w:val="Style18"/>
        <w:keepNext w:val="0"/>
        <w:keepLines w:val="0"/>
        <w:widowControl w:val="0"/>
        <w:shd w:val="clear" w:color="auto" w:fill="auto"/>
        <w:tabs>
          <w:tab w:pos="734" w:val="left"/>
        </w:tabs>
        <w:bidi w:val="0"/>
        <w:spacing w:before="0" w:after="140" w:line="326" w:lineRule="exact"/>
        <w:ind w:left="0" w:right="0" w:firstLine="380"/>
        <w:jc w:val="both"/>
      </w:pPr>
      <w:bookmarkStart w:id="706" w:name="bookmark706"/>
      <w:r>
        <w:rPr>
          <w:rFonts w:ascii="Times New Roman" w:eastAsia="Times New Roman" w:hAnsi="Times New Roman" w:cs="Times New Roman"/>
          <w:color w:val="000000"/>
          <w:spacing w:val="0"/>
          <w:w w:val="100"/>
          <w:position w:val="0"/>
          <w:sz w:val="18"/>
          <w:szCs w:val="18"/>
        </w:rPr>
        <w:t>2</w:t>
      </w:r>
      <w:bookmarkEnd w:id="706"/>
      <w:r>
        <w:rPr>
          <w:color w:val="000000"/>
          <w:spacing w:val="0"/>
          <w:w w:val="100"/>
          <w:position w:val="0"/>
        </w:rPr>
        <w:t>、</w:t>
        <w:tab/>
        <w:t>审计应对</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我们对于商誉减值所实施的重要审计程序包括：</w:t>
      </w:r>
    </w:p>
    <w:p>
      <w:pPr>
        <w:pStyle w:val="Style18"/>
        <w:keepNext w:val="0"/>
        <w:keepLines w:val="0"/>
        <w:widowControl w:val="0"/>
        <w:shd w:val="clear" w:color="auto" w:fill="auto"/>
        <w:tabs>
          <w:tab w:pos="825" w:val="left"/>
        </w:tabs>
        <w:bidi w:val="0"/>
        <w:spacing w:before="0" w:after="140" w:line="326" w:lineRule="exact"/>
        <w:ind w:left="0" w:right="0" w:firstLine="38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评估并测试与商誉减值测试相关的内部控制，包括关键假设及减值计提金额的复核和审批。</w:t>
      </w:r>
    </w:p>
    <w:p>
      <w:pPr>
        <w:pStyle w:val="Style18"/>
        <w:keepNext w:val="0"/>
        <w:keepLines w:val="0"/>
        <w:widowControl w:val="0"/>
        <w:shd w:val="clear" w:color="auto" w:fill="auto"/>
        <w:tabs>
          <w:tab w:pos="825" w:val="left"/>
        </w:tabs>
        <w:bidi w:val="0"/>
        <w:spacing w:before="0" w:after="140" w:line="326" w:lineRule="exact"/>
        <w:ind w:left="0" w:right="0" w:firstLine="3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分析管理层对非同一控制下企业合并产生的商誉所属资产组的认定和进行商誉减值测试时采用的关键假设和方法。</w:t>
      </w:r>
    </w:p>
    <w:p>
      <w:pPr>
        <w:pStyle w:val="Style18"/>
        <w:keepNext w:val="0"/>
        <w:keepLines w:val="0"/>
        <w:widowControl w:val="0"/>
        <w:shd w:val="clear" w:color="auto" w:fill="auto"/>
        <w:tabs>
          <w:tab w:pos="901" w:val="left"/>
        </w:tabs>
        <w:bidi w:val="0"/>
        <w:spacing w:before="0" w:after="140" w:line="336" w:lineRule="exact"/>
        <w:ind w:left="0" w:right="0" w:firstLine="3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获取管理层聘请的外部评估师出具的商誉减值测试报告，并对外部评估师的胜任能力、专业素质和客观性进行评 估。</w:t>
      </w:r>
    </w:p>
    <w:p>
      <w:pPr>
        <w:pStyle w:val="Style18"/>
        <w:keepNext w:val="0"/>
        <w:keepLines w:val="0"/>
        <w:widowControl w:val="0"/>
        <w:shd w:val="clear" w:color="auto" w:fill="auto"/>
        <w:bidi w:val="0"/>
        <w:spacing w:before="0" w:after="140" w:line="326" w:lineRule="exact"/>
        <w:ind w:left="0" w:right="0" w:firstLine="38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复核外部估值专家对资产组的估值方法及出具的评估报告、采用的关键假设和参数、预测数据的合理性。</w:t>
      </w:r>
    </w:p>
    <w:p>
      <w:pPr>
        <w:pStyle w:val="Style18"/>
        <w:keepNext w:val="0"/>
        <w:keepLines w:val="0"/>
        <w:widowControl w:val="0"/>
        <w:shd w:val="clear" w:color="auto" w:fill="auto"/>
        <w:tabs>
          <w:tab w:pos="886" w:val="left"/>
        </w:tabs>
        <w:bidi w:val="0"/>
        <w:spacing w:before="0" w:after="140" w:line="336" w:lineRule="exact"/>
        <w:ind w:left="0" w:right="0" w:firstLine="38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获取并复核管理层编制的商誉所属资产组可收回金额的计算表，比较商誉所属资产组的账面价值与其可收回金额 的差异，确认是否存在商誉减值情况。</w:t>
      </w:r>
    </w:p>
    <w:p>
      <w:pPr>
        <w:pStyle w:val="Style18"/>
        <w:keepNext w:val="0"/>
        <w:keepLines w:val="0"/>
        <w:widowControl w:val="0"/>
        <w:numPr>
          <w:ilvl w:val="0"/>
          <w:numId w:val="21"/>
        </w:numPr>
        <w:shd w:val="clear" w:color="auto" w:fill="auto"/>
        <w:bidi w:val="0"/>
        <w:spacing w:before="0" w:after="140" w:line="322" w:lineRule="exact"/>
        <w:ind w:left="0" w:right="0" w:firstLine="360"/>
        <w:jc w:val="both"/>
      </w:pPr>
      <w:bookmarkStart w:id="712" w:name="bookmark712"/>
      <w:bookmarkEnd w:id="712"/>
      <w:r>
        <w:rPr>
          <w:color w:val="000000"/>
          <w:spacing w:val="0"/>
          <w:w w:val="100"/>
          <w:position w:val="0"/>
        </w:rPr>
        <w:t>根据商誉减值测试结果，检查和评价商誉的列报和披露是否准确和恰当。</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基于所实施的审计程序，我们认为，管理层在商誉减值测试中作出的判断可以被我们获取的证据所支持。</w:t>
      </w:r>
    </w:p>
    <w:p>
      <w:pPr>
        <w:pStyle w:val="Style18"/>
        <w:keepNext w:val="0"/>
        <w:keepLines w:val="0"/>
        <w:widowControl w:val="0"/>
        <w:shd w:val="clear" w:color="auto" w:fill="auto"/>
        <w:tabs>
          <w:tab w:pos="786" w:val="left"/>
        </w:tabs>
        <w:bidi w:val="0"/>
        <w:spacing w:before="0" w:after="140" w:line="322" w:lineRule="exact"/>
        <w:ind w:left="0" w:right="0" w:firstLine="360"/>
        <w:jc w:val="both"/>
      </w:pPr>
      <w:bookmarkStart w:id="713" w:name="bookmark713"/>
      <w:r>
        <w:rPr>
          <w:b/>
          <w:bCs/>
          <w:color w:val="000000"/>
          <w:spacing w:val="0"/>
          <w:w w:val="100"/>
          <w:position w:val="0"/>
        </w:rPr>
        <w:t>四</w:t>
      </w:r>
      <w:bookmarkEnd w:id="713"/>
      <w:r>
        <w:rPr>
          <w:b/>
          <w:bCs/>
          <w:color w:val="000000"/>
          <w:spacing w:val="0"/>
          <w:w w:val="100"/>
          <w:position w:val="0"/>
        </w:rPr>
        <w:t>、</w:t>
        <w:tab/>
        <w:t>其他信息</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东华软件公司管理层对其他信息负责。其他信息包括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年报告中涵盖的信息，但不包括财务报表和我们的审计报告。</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18"/>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00" w:val="left"/>
        </w:tabs>
        <w:bidi w:val="0"/>
        <w:spacing w:before="0" w:after="140" w:line="322" w:lineRule="exact"/>
        <w:ind w:left="0" w:right="0" w:firstLine="360"/>
        <w:jc w:val="both"/>
      </w:pPr>
      <w:bookmarkStart w:id="714" w:name="bookmark714"/>
      <w:r>
        <w:rPr>
          <w:b/>
          <w:bCs/>
          <w:color w:val="000000"/>
          <w:spacing w:val="0"/>
          <w:w w:val="100"/>
          <w:position w:val="0"/>
        </w:rPr>
        <w:t>五</w:t>
      </w:r>
      <w:bookmarkEnd w:id="714"/>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东华软件公司管理层负责按照企业会计准则的规定编制财务报表，使其实现公允反映，并设计、执行和维护必要的内部 控制，以使财务报表不存在由于舞弊或错误导致的重大错报。</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在编制财务报表时，东华软件公司管理层负责评估东华软件公司的持续经营能力，披露与持续经营相关的事项(如适用)， 并运用持续经营假设，除非管理层计划清算东华软件公司、终止运营或别无其他现实的选择。</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治理层负责监督东华软件公司的财务报告过程。</w:t>
      </w:r>
    </w:p>
    <w:p>
      <w:pPr>
        <w:pStyle w:val="Style18"/>
        <w:keepNext w:val="0"/>
        <w:keepLines w:val="0"/>
        <w:widowControl w:val="0"/>
        <w:shd w:val="clear" w:color="auto" w:fill="auto"/>
        <w:tabs>
          <w:tab w:pos="805" w:val="left"/>
        </w:tabs>
        <w:bidi w:val="0"/>
        <w:spacing w:before="0" w:after="140" w:line="322" w:lineRule="exact"/>
        <w:ind w:left="0" w:right="0" w:firstLine="360"/>
        <w:jc w:val="both"/>
      </w:pPr>
      <w:bookmarkStart w:id="715" w:name="bookmark715"/>
      <w:r>
        <w:rPr>
          <w:b/>
          <w:bCs/>
          <w:color w:val="000000"/>
          <w:spacing w:val="0"/>
          <w:w w:val="100"/>
          <w:position w:val="0"/>
        </w:rPr>
        <w:t>六</w:t>
      </w:r>
      <w:bookmarkEnd w:id="715"/>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140" w:line="318"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699" w:val="left"/>
        </w:tabs>
        <w:bidi w:val="0"/>
        <w:spacing w:before="0" w:after="140" w:line="322" w:lineRule="exact"/>
        <w:ind w:left="0" w:right="0" w:firstLine="360"/>
        <w:jc w:val="both"/>
      </w:pPr>
      <w:bookmarkStart w:id="716" w:name="bookmark716"/>
      <w:r>
        <w:rPr>
          <w:rFonts w:ascii="Times New Roman" w:eastAsia="Times New Roman" w:hAnsi="Times New Roman" w:cs="Times New Roman"/>
          <w:color w:val="000000"/>
          <w:spacing w:val="0"/>
          <w:w w:val="100"/>
          <w:position w:val="0"/>
          <w:sz w:val="18"/>
          <w:szCs w:val="18"/>
        </w:rPr>
        <w:t>1</w:t>
      </w:r>
      <w:bookmarkEnd w:id="716"/>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8"/>
        <w:keepNext w:val="0"/>
        <w:keepLines w:val="0"/>
        <w:widowControl w:val="0"/>
        <w:shd w:val="clear" w:color="auto" w:fill="auto"/>
        <w:tabs>
          <w:tab w:pos="714" w:val="left"/>
        </w:tabs>
        <w:bidi w:val="0"/>
        <w:spacing w:before="0" w:after="140" w:line="322" w:lineRule="exact"/>
        <w:ind w:left="0" w:right="0" w:firstLine="360"/>
        <w:jc w:val="both"/>
      </w:pPr>
      <w:bookmarkStart w:id="717" w:name="bookmark717"/>
      <w:r>
        <w:rPr>
          <w:rFonts w:ascii="Times New Roman" w:eastAsia="Times New Roman" w:hAnsi="Times New Roman" w:cs="Times New Roman"/>
          <w:color w:val="000000"/>
          <w:spacing w:val="0"/>
          <w:w w:val="100"/>
          <w:position w:val="0"/>
          <w:sz w:val="18"/>
          <w:szCs w:val="18"/>
        </w:rPr>
        <w:t>2</w:t>
      </w:r>
      <w:bookmarkEnd w:id="717"/>
      <w:r>
        <w:rPr>
          <w:color w:val="000000"/>
          <w:spacing w:val="0"/>
          <w:w w:val="100"/>
          <w:position w:val="0"/>
        </w:rPr>
        <w:t>、</w:t>
        <w:tab/>
        <w:t>了解与审计相关的内部控制，以设计恰当的审计程序，但目的并非对内部控制的有效性发表意见。</w:t>
      </w:r>
    </w:p>
    <w:p>
      <w:pPr>
        <w:pStyle w:val="Style18"/>
        <w:keepNext w:val="0"/>
        <w:keepLines w:val="0"/>
        <w:widowControl w:val="0"/>
        <w:shd w:val="clear" w:color="auto" w:fill="auto"/>
        <w:tabs>
          <w:tab w:pos="714" w:val="left"/>
        </w:tabs>
        <w:bidi w:val="0"/>
        <w:spacing w:before="0" w:after="140" w:line="322" w:lineRule="exact"/>
        <w:ind w:left="0" w:right="0" w:firstLine="360"/>
        <w:jc w:val="both"/>
      </w:pPr>
      <w:bookmarkStart w:id="718" w:name="bookmark718"/>
      <w:r>
        <w:rPr>
          <w:rFonts w:ascii="Times New Roman" w:eastAsia="Times New Roman" w:hAnsi="Times New Roman" w:cs="Times New Roman"/>
          <w:color w:val="000000"/>
          <w:spacing w:val="0"/>
          <w:w w:val="100"/>
          <w:position w:val="0"/>
          <w:sz w:val="18"/>
          <w:szCs w:val="18"/>
        </w:rPr>
        <w:t>3</w:t>
      </w:r>
      <w:bookmarkEnd w:id="718"/>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704" w:val="left"/>
        </w:tabs>
        <w:bidi w:val="0"/>
        <w:spacing w:before="0" w:after="140" w:line="323" w:lineRule="exact"/>
        <w:ind w:left="0" w:right="0" w:firstLine="360"/>
        <w:jc w:val="both"/>
      </w:pPr>
      <w:bookmarkStart w:id="719" w:name="bookmark719"/>
      <w:r>
        <w:rPr>
          <w:rFonts w:ascii="Times New Roman" w:eastAsia="Times New Roman" w:hAnsi="Times New Roman" w:cs="Times New Roman"/>
          <w:color w:val="000000"/>
          <w:spacing w:val="0"/>
          <w:w w:val="100"/>
          <w:position w:val="0"/>
          <w:sz w:val="18"/>
          <w:szCs w:val="18"/>
        </w:rPr>
        <w:t>4</w:t>
      </w:r>
      <w:bookmarkEnd w:id="719"/>
      <w:r>
        <w:rPr>
          <w:color w:val="000000"/>
          <w:spacing w:val="0"/>
          <w:w w:val="100"/>
          <w:position w:val="0"/>
        </w:rPr>
        <w:t>、</w:t>
        <w:tab/>
        <w:t>对管理层使用持续经营假设的恰当性得出结论。同时，根据获取的审计证据，就可能导致对东华软件公司持续经营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基于截至审计报告日可获得的信息。然而，未来的事项或情况可能导致东华软件公司不能持续经营。</w:t>
      </w:r>
    </w:p>
    <w:p>
      <w:pPr>
        <w:pStyle w:val="Style18"/>
        <w:keepNext w:val="0"/>
        <w:keepLines w:val="0"/>
        <w:widowControl w:val="0"/>
        <w:shd w:val="clear" w:color="auto" w:fill="auto"/>
        <w:tabs>
          <w:tab w:pos="714" w:val="left"/>
        </w:tabs>
        <w:bidi w:val="0"/>
        <w:spacing w:before="0" w:after="140" w:line="322" w:lineRule="exact"/>
        <w:ind w:left="0" w:right="0" w:firstLine="360"/>
        <w:jc w:val="both"/>
      </w:pPr>
      <w:bookmarkStart w:id="720" w:name="bookmark720"/>
      <w:r>
        <w:rPr>
          <w:rFonts w:ascii="Times New Roman" w:eastAsia="Times New Roman" w:hAnsi="Times New Roman" w:cs="Times New Roman"/>
          <w:color w:val="000000"/>
          <w:spacing w:val="0"/>
          <w:w w:val="100"/>
          <w:position w:val="0"/>
          <w:sz w:val="18"/>
          <w:szCs w:val="18"/>
        </w:rPr>
        <w:t>5</w:t>
      </w:r>
      <w:bookmarkEnd w:id="720"/>
      <w:r>
        <w:rPr>
          <w:color w:val="000000"/>
          <w:spacing w:val="0"/>
          <w:w w:val="100"/>
          <w:position w:val="0"/>
        </w:rPr>
        <w:t>、</w:t>
        <w:tab/>
        <w:t>评价财务报表的总体列报、结构和内容，并评价财务报表是否公允反映相关交易和事项。</w:t>
      </w:r>
    </w:p>
    <w:p>
      <w:pPr>
        <w:pStyle w:val="Style18"/>
        <w:keepNext w:val="0"/>
        <w:keepLines w:val="0"/>
        <w:widowControl w:val="0"/>
        <w:shd w:val="clear" w:color="auto" w:fill="auto"/>
        <w:bidi w:val="0"/>
        <w:spacing w:before="0" w:after="140" w:line="331" w:lineRule="exact"/>
        <w:ind w:left="0" w:right="0" w:firstLine="360"/>
        <w:jc w:val="both"/>
      </w:pPr>
      <w:bookmarkStart w:id="721" w:name="bookmark721"/>
      <w:r>
        <w:rPr>
          <w:rFonts w:ascii="Times New Roman" w:eastAsia="Times New Roman" w:hAnsi="Times New Roman" w:cs="Times New Roman"/>
          <w:color w:val="000000"/>
          <w:spacing w:val="0"/>
          <w:w w:val="100"/>
          <w:position w:val="0"/>
          <w:sz w:val="18"/>
          <w:szCs w:val="18"/>
        </w:rPr>
        <w:t>6</w:t>
      </w:r>
      <w:bookmarkEnd w:id="721"/>
      <w:r>
        <w:rPr>
          <w:color w:val="000000"/>
          <w:spacing w:val="0"/>
          <w:w w:val="100"/>
          <w:position w:val="0"/>
        </w:rPr>
        <w:t>、 就东华软件公司中实体或业务活动的财务信息获取充分、适当的审计证据，以对财务报表发表意见。我们负责指导、 监督和执行集团审计。我们对审计意见承担全部责任。</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2940" w:line="319"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0"/>
        <w:keepNext w:val="0"/>
        <w:keepLines w:val="0"/>
        <w:widowControl w:val="0"/>
        <w:shd w:val="clear" w:color="auto" w:fill="auto"/>
        <w:bidi w:val="0"/>
        <w:spacing w:before="0" w:after="2060" w:line="240" w:lineRule="auto"/>
        <w:ind w:left="0" w:right="0" w:firstLine="0"/>
        <w:jc w:val="left"/>
        <w:rPr>
          <w:sz w:val="28"/>
          <w:szCs w:val="28"/>
        </w:rPr>
      </w:pPr>
      <w:r>
        <w:rPr>
          <w:b w:val="0"/>
          <w:bCs w:val="0"/>
          <w:color w:val="000000"/>
          <w:spacing w:val="0"/>
          <w:w w:val="100"/>
          <w:position w:val="0"/>
          <w:sz w:val="28"/>
          <w:szCs w:val="28"/>
        </w:rPr>
        <w:t>（此页无正文，为东华软件股份公司</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年度财务报表审计报告之盖章页）</w:t>
      </w:r>
    </w:p>
    <w:tbl>
      <w:tblPr>
        <w:tblOverlap w:val="never"/>
        <w:jc w:val="left"/>
        <w:tblLayout w:type="fixed"/>
      </w:tblPr>
      <w:tblGrid>
        <w:gridCol w:w="4013"/>
        <w:gridCol w:w="4579"/>
      </w:tblGrid>
      <w:tr>
        <w:trPr>
          <w:trHeight w:val="6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中国注册会计师：</w:t>
            </w:r>
          </w:p>
        </w:tc>
      </w:tr>
      <w:tr>
        <w:trPr>
          <w:trHeight w:val="65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p>
        </w:tc>
        <w:tc>
          <w:tcPr>
            <w:tcBorders>
              <w:top w:val="single" w:sz="4"/>
            </w:tcBorders>
            <w:shd w:val="clear" w:color="auto" w:fill="FFFFFF"/>
            <w:vAlign w:val="top"/>
          </w:tcPr>
          <w:p>
            <w:pPr>
              <w:pStyle w:val="Style21"/>
              <w:keepNext w:val="0"/>
              <w:keepLines w:val="0"/>
              <w:widowControl w:val="0"/>
              <w:shd w:val="clear" w:color="auto" w:fill="auto"/>
              <w:tabs>
                <w:tab w:pos="3178" w:val="left"/>
              </w:tabs>
              <w:bidi w:val="0"/>
              <w:spacing w:before="0" w:after="0" w:line="240" w:lineRule="auto"/>
              <w:ind w:left="0" w:right="0" w:firstLine="860"/>
              <w:jc w:val="left"/>
              <w:rPr>
                <w:sz w:val="20"/>
                <w:szCs w:val="20"/>
              </w:rPr>
            </w:pPr>
            <w:r>
              <w:rPr>
                <w:color w:val="000000"/>
                <w:spacing w:val="0"/>
                <w:w w:val="100"/>
                <w:position w:val="0"/>
                <w:sz w:val="20"/>
                <w:szCs w:val="20"/>
              </w:rPr>
              <w:t>（项目合伙人）</w:t>
              <w:tab/>
              <w:t>叶立萍</w:t>
            </w:r>
          </w:p>
        </w:tc>
      </w:tr>
      <w:tr>
        <w:trPr>
          <w:trHeight w:val="36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中国注册会计师：</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640" w:firstLine="0"/>
              <w:jc w:val="right"/>
              <w:rPr>
                <w:sz w:val="20"/>
                <w:szCs w:val="20"/>
              </w:rPr>
            </w:pPr>
            <w:r>
              <w:rPr>
                <w:color w:val="000000"/>
                <w:spacing w:val="0"/>
                <w:w w:val="100"/>
                <w:position w:val="0"/>
                <w:sz w:val="20"/>
                <w:szCs w:val="20"/>
              </w:rPr>
              <w:t>邢博晖</w:t>
            </w:r>
          </w:p>
        </w:tc>
      </w:tr>
      <w:tr>
        <w:trPr>
          <w:trHeight w:val="302"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2"/>
                <w:szCs w:val="22"/>
              </w:rPr>
              <w:t>O</w:t>
            </w:r>
            <w:r>
              <w:rPr>
                <w:color w:val="000000"/>
                <w:spacing w:val="0"/>
                <w:w w:val="100"/>
                <w:position w:val="0"/>
                <w:sz w:val="20"/>
                <w:szCs w:val="20"/>
              </w:rPr>
              <w:t>二二年四月二十八日</w:t>
            </w:r>
          </w:p>
        </w:tc>
      </w:tr>
    </w:tbl>
    <w:p>
      <w:pPr>
        <w:sectPr>
          <w:footnotePr>
            <w:pos w:val="pageBottom"/>
            <w:numFmt w:val="decimal"/>
            <w:numRestart w:val="continuous"/>
          </w:footnotePr>
          <w:pgSz w:w="11900" w:h="16840"/>
          <w:pgMar w:top="1383" w:right="1045" w:bottom="1604" w:left="1082" w:header="0" w:footer="3" w:gutter="0"/>
          <w:cols w:space="720"/>
          <w:noEndnote/>
          <w:rtlGutter w:val="0"/>
          <w:docGrid w:linePitch="360"/>
        </w:sectPr>
      </w:pPr>
    </w:p>
    <w:p>
      <w:pPr>
        <w:pStyle w:val="Style24"/>
        <w:keepNext/>
        <w:keepLines/>
        <w:widowControl w:val="0"/>
        <w:shd w:val="clear" w:color="auto" w:fill="auto"/>
        <w:bidi w:val="0"/>
        <w:spacing w:before="1680" w:line="240" w:lineRule="auto"/>
        <w:ind w:left="0" w:right="0" w:firstLine="0"/>
        <w:jc w:val="left"/>
      </w:pPr>
      <w:bookmarkStart w:id="722" w:name="bookmark722"/>
      <w:bookmarkStart w:id="723" w:name="bookmark723"/>
      <w:bookmarkStart w:id="724" w:name="bookmark724"/>
      <w:r>
        <w:rPr>
          <w:color w:val="000000"/>
          <w:spacing w:val="0"/>
          <w:w w:val="100"/>
          <w:position w:val="0"/>
        </w:rPr>
        <w:t>二、财务报表</w:t>
      </w:r>
      <w:bookmarkEnd w:id="722"/>
      <w:bookmarkEnd w:id="723"/>
      <w:bookmarkEnd w:id="724"/>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、合并资产负债表</w:t>
      </w:r>
      <w:bookmarkEnd w:id="725"/>
      <w:bookmarkEnd w:id="726"/>
      <w:bookmarkEnd w:id="72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编制单位：东华软件股份公司</w:t>
      </w:r>
    </w:p>
    <w:p>
      <w:pPr>
        <w:pStyle w:val="Style35"/>
        <w:keepNext w:val="0"/>
        <w:keepLines w:val="0"/>
        <w:widowControl w:val="0"/>
        <w:shd w:val="clear" w:color="auto" w:fill="auto"/>
        <w:bidi w:val="0"/>
        <w:spacing w:before="0" w:after="160" w:line="240" w:lineRule="auto"/>
        <w:ind w:left="0" w:right="0" w:firstLine="0"/>
        <w:jc w:val="center"/>
        <w:rPr>
          <w:sz w:val="17"/>
          <w:szCs w:val="17"/>
        </w:rPr>
      </w:pP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2,664,325,972.93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2,566,739,665.74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89,138,381.92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101,028,345.88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6,078,583,947.44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5,371,255,740.82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25,268,086.02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636,848,979.22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748,948,093.66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494,195,716.53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448,072,223.46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7,281,119,187.13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6,157,900,821.28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575,156,223.08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691,841,429.73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78,966,508.71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147,515,987.67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209,636,277.50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18,071,118,990.65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16,334,548,900.76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276,645,035.86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150,104,173.05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208,501,634.08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204,123,718.13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1,007,975,065.72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907,874,882.97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22,987,387.67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24,272,606.99</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306,133,049.24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256,826,821.46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114,213,558.65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79,663,674.10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197,269,304.43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149,256,201.76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4,144,683.81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16,010,694.08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641,775,300.60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650,485,226.55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8,155,580.62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8,084,625.57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80,839,616.97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67,419,507.98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4,991,912.05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2,999,913,929.52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2,548,771,817.19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21,071,032,920.17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18,883,320,717.95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3,723,061,491.55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3,333,049,730.79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148,527,052.60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124,461,636.92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1,971,326,140.65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1,454,145,044.66</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2,249,643,098.63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1,894,727,438.38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12,823,222.44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12,962,262.22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88,548,297.63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75,395,282.77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1,329,907,128.44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1,622,058,779.90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445,460,695.71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51,945,301.70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20,616,041.12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211,663,323.20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239,311,617.81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9,787,445,056.84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8,776,727,834.57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51,809,549.84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21,930,116.15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43,125,062.43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87,525,230.24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26,234,216.42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14,969,271.38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13,829,213.11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176,234,167.61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83,188,491.96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9,963,679,224.45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8,859,916,326.53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3,205,482,375.00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2,769,238,007.04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2,156,905,868.17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-3,408,272.34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-2,095,095.70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771,943,854.30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738,291,318.03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4,176,011,809.28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3,905,914,154.75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10,919,267,773.28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9,914,498,620.25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188,085,922.44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108,905,771.17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11,107,353,695.72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10,023,404,391.42</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21,071,032,920.17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18,883,320,717.95</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703580</wp:posOffset>
                </wp:positionH>
                <wp:positionV relativeFrom="margin">
                  <wp:posOffset>3925570</wp:posOffset>
                </wp:positionV>
                <wp:extent cx="1051560" cy="149225"/>
                <wp:wrapTopAndBottom/>
                <wp:docPr id="6" name="Shape 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32" type="#_x0000_t202" style="position:absolute;margin-left:55.399999999999999pt;margin-top:309.10000000000002pt;width:82.799999999999997pt;height:11.75pt;z-index:-125829373;mso-wrap-distance-left:9.pt;mso-wrap-distance-top:12.pt;mso-wrap-distance-right:405.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3175" distL="2348230" distR="2574290" simplePos="0" relativeHeight="125829382" behindDoc="0" locked="0" layoutInCell="1" allowOverlap="1">
                <wp:simplePos x="0" y="0"/>
                <wp:positionH relativeFrom="page">
                  <wp:posOffset>2937510</wp:posOffset>
                </wp:positionH>
                <wp:positionV relativeFrom="margin">
                  <wp:posOffset>3925570</wp:posOffset>
                </wp:positionV>
                <wp:extent cx="1393190" cy="146050"/>
                <wp:wrapTopAndBottom/>
                <wp:docPr id="8" name="Shape 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wps:txbx>
                      <wps:bodyPr wrap="none" lIns="0" tIns="0" rIns="0" bIns="0">
                        <a:noAutoFit/>
                      </wps:bodyPr>
                    </wps:wsp>
                  </a:graphicData>
                </a:graphic>
              </wp:anchor>
            </w:drawing>
          </mc:Choice>
          <mc:Fallback>
            <w:pict>
              <v:shape id="_x0000_s1034" type="#_x0000_t202" style="position:absolute;margin-left:231.30000000000001pt;margin-top:309.10000000000002pt;width:109.7pt;height:11.5pt;z-index:-125829371;mso-wrap-distance-left:184.90000000000001pt;mso-wrap-distance-top:12.pt;mso-wrap-distance-right:202.70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5504180</wp:posOffset>
                </wp:positionH>
                <wp:positionV relativeFrom="margin">
                  <wp:posOffset>3925570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wps:txbx>
                      <wps:bodyPr wrap="none" lIns="0" tIns="0" rIns="0" bIns="0">
                        <a:noAutoFit/>
                      </wps:bodyPr>
                    </wps:wsp>
                  </a:graphicData>
                </a:graphic>
              </wp:anchor>
            </w:drawing>
          </mc:Choice>
          <mc:Fallback>
            <w:pict>
              <v:shape id="_x0000_s1036" type="#_x0000_t202" style="position:absolute;margin-left:433.40000000000003pt;margin-top:309.10000000000002pt;width:101.3pt;height:11.75pt;z-index:-125829369;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v:textbox>
                <w10:wrap type="topAndBottom" anchorx="page" anchory="margin"/>
              </v:shape>
            </w:pict>
          </mc:Fallback>
        </mc:AlternateContent>
      </w: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、母公司资产负债表</w:t>
      </w:r>
      <w:bookmarkEnd w:id="729"/>
      <w:bookmarkEnd w:id="730"/>
      <w:bookmarkEnd w:id="7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1,115,373,081.82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1,078,314,797.53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2,033,261.34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12,607,784.82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3,333,237,606.21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3,336,027,231.16</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7,398,418.00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361,509,500.56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320,753,326.49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1,579,922,726.23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4,373,147,589.26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3,808,857,695.02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386,023,152.30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531,257,249.01</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47,748,028.34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22,803,771.20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34,881,817.04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93,739,217.53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11,241,275,181.10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10,684,846,495.84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224,726,412.25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126,127,903.76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4,253,633,079.12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3,844,703,390.68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679,317,963.69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577,458,005.06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12,766,279.94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14,642,947.82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91,853,626.14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87,994,468.45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3,059,945.29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23,398,893.51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19,627,949.60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377,517.84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892,361.97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62,647,559.42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54,245,410.22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5,351,881,077.20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4,725,792,237.56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16,593,156,258.30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15,410,638,733.40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2,882,614,059.40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2,781,525,412.94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111,648,951.20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81,521,674.08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736,330,447.11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583,152,842.35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295,990,119.62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323,092,364.81</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1,319,158.01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1,314,989.42</w:t>
            </w: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24,852,128.56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18,375,648.52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3,070,363,891.63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2,929,627,116.24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445,460,695.71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12,240,968.96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16,545,082.24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38,478,715.55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42,002,007.42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7,173,838,440.04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6,777,157,138.02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1,222,553.37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8,226,089.97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9,141,563.07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5,890,518.56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7,878,878.09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5,425,338.76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3,959,302.90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20,764,500.66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20,979,744.06</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7,194,602,940.70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6,798,136,882.08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3,205,482,375.00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2,688,459,311.56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2,173,159,089.26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770,565,911.79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736,913,375.52</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2,734,045,719.25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2,586,947,011.54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9,398,553,317.60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8,612,501,851.32</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16,593,156,258.30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15,410,638,733.40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、合并利润表</w:t>
      </w:r>
      <w:bookmarkEnd w:id="733"/>
      <w:bookmarkEnd w:id="734"/>
      <w:bookmarkEnd w:id="73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9,167,186,699.62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9,167,186,699.62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10,428,014,452.43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8,683,777,893.82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8,358,849,442.28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7,058,682,661.98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26,010,470.83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21,956,996.37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425,437,459.35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368,234,000.23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774,900,715.53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507,448,695.08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728,182,157.00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635,121,949.39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114,634,207.44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92,333,590.77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141,913,911.46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125,106,899.80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34,373,626.34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35,319,632.06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110,433,714.15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155,647,118.18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-3,485,112.41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-201,793,399.72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-13,862,618.38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5,897,142.71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-107,128,469.61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382,308,856.21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557,062,613.42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10,928,596.77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13,350,569.82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10,357,395.71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3,142,411.64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382,880,057.27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567,270,771.60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4,497,069.81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21,325,474.08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378,382,987.46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545,945,297.52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378,382,987.46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545,945,297.52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459,524,309.55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550,377,093.90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-81,141,322.09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-4,431,796.38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-2,941,253.33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-2,941,253.33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-2,941,253.33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-2,941,253.33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377,069,810.82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543,004,044.19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458,211,132.91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547,435,840.57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-81,141,322.09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-4,431,796.38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法定代表人：薛向东</w:t>
        <w:tab/>
        <w:t>主管会计工作负责人：叶莉</w:t>
        <w:tab/>
        <w:t>会计机构负责人：初美伶</w:t>
      </w:r>
    </w:p>
    <w:p>
      <w:pPr>
        <w:pStyle w:val="Style29"/>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、母公司利润表</w:t>
      </w:r>
      <w:bookmarkEnd w:id="737"/>
      <w:bookmarkEnd w:id="738"/>
      <w:bookmarkEnd w:id="74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976"/>
        <w:gridCol w:w="2491"/>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4,175,317,114.14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3,759,265,229.43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3,249,197,595.47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2,878,877,785.10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5,892,190.59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7,470,377.40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87,413,151.27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96,735,845.48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101,804,372.40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85,498,420.06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177,438,799.80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184,064,094.12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65,756,736.16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74,663,723.12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102,136,634.72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95,815,816.59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30,160,858.12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13,625,535.24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26,962,269.21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80,925,482.40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-22,861,697.29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53,885,877.03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-124,611.75</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100"/>
              <w:jc w:val="left"/>
            </w:pPr>
            <w:r>
              <w:rPr>
                <w:color w:val="000000"/>
                <w:spacing w:val="0"/>
                <w:w w:val="100"/>
                <w:position w:val="0"/>
              </w:rPr>
              <w:t>以摊余成本计量的金融资产终止确认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14,660,358.63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62,361,608.01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-86,019,952.31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24,913,516.62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-89,165,424.02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-117,420,971.48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331,471,589.78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536,620,496.73</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968,365.19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39,526.96</w:t>
            </w:r>
          </w:p>
        </w:tc>
      </w:tr>
    </w:tbl>
    <w:p>
      <w:pPr>
        <w:widowControl w:val="0"/>
        <w:spacing w:line="1" w:lineRule="exact"/>
      </w:pPr>
      <w:r>
        <w:br w:type="page"/>
      </w:r>
    </w:p>
    <w:tbl>
      <w:tblPr>
        <w:tblOverlap w:val="never"/>
        <w:jc w:val="center"/>
        <w:tblLayout w:type="fixed"/>
      </w:tblPr>
      <w:tblGrid>
        <w:gridCol w:w="4118"/>
        <w:gridCol w:w="2976"/>
        <w:gridCol w:w="2491"/>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2,950,384.78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435,720.89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329,489,570.19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536,224,302.80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-7,035,792.54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6,712,206.17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336,525,362.73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336,525,362.73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336,525,362.73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、合并现金流量表</w:t>
      </w:r>
      <w:bookmarkEnd w:id="741"/>
      <w:bookmarkEnd w:id="742"/>
      <w:bookmarkEnd w:id="744"/>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693"/>
        <w:gridCol w:w="220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11,857,567,269.07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10,474,684,884.31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693"/>
        <w:gridCol w:w="220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85,260,679.59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70,095,494.42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368,629,359.76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401,769,357.67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12,311,457,308.42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10,946,549,736.40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8,930,376,574.27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8,208,781,944.73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1,856,259,236.50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1,515,925,918.15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208,644,973.50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217,228,720.55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701,902,053.82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678,582,327.27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11,697,182,838.09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10,620,518,910.70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614,274,470.33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326,030,825.70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97,118.36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-665,271.74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4,351,078.26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7,827,118.36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212,687,181.17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186,699,972.27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106,424,600.00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166,060,000.00</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693"/>
        <w:gridCol w:w="220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319,111,781.17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352,759,972.27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-314,760,702.91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-344,932,853.91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674,217,700.00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3,606,053,607.13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3,560,205,449.53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76,721,501.38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251,604,391.01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4,356,992,808.51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3,846,809,840.54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3,822,116,087.91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2,440,770,875.73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259,722,803.74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367,071,226.91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410,077,474.77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510,991,844.62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4,491,916,366.42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3,318,833,947.26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-134,923,557.91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527,975,893.28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-1,212,787.82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-4,256,004.72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163,377,421.69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504,817,860.35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1,922,529,941.21</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2,590,725,223.25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2,427,347,801.56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、母公司现金流量表</w:t>
      </w:r>
      <w:bookmarkEnd w:id="745"/>
      <w:bookmarkEnd w:id="746"/>
      <w:bookmarkEnd w:id="74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3120"/>
        <w:gridCol w:w="263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4,618,950,778.73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4,218,588,342.55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20,856,371.04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42,469,165.98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1,380,375,634.00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1,153,019,007.78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6,020,182,783.77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5,414,076,516.31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3,631,358,815.76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3,802,661,799.03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391,889,302.21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450,306,555.63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34,384,466.05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87,718,945.99</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905,877,247.24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797,448,963.56</w:t>
            </w:r>
          </w:p>
        </w:tc>
      </w:tr>
    </w:tbl>
    <w:p>
      <w:pPr>
        <w:widowControl w:val="0"/>
        <w:spacing w:line="1" w:lineRule="exact"/>
      </w:pPr>
      <w:r>
        <w:br w:type="page"/>
      </w:r>
    </w:p>
    <w:tbl>
      <w:tblPr>
        <w:tblOverlap w:val="never"/>
        <w:jc w:val="center"/>
        <w:tblLayout w:type="fixed"/>
      </w:tblPr>
      <w:tblGrid>
        <w:gridCol w:w="3835"/>
        <w:gridCol w:w="3120"/>
        <w:gridCol w:w="263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4,963,509,831.26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5,138,136,264.21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1,056,672,952.51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275,940,252.10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297,880,239.60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28,230,000.00</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111,852,000.00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3,968,866.29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133,502,000.00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330,079,105.89</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19,303,816.69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18,705,339.25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736,553,355.05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985,945,747.62</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116,625,000.00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797,537,171.74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1,121,276,086.87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-664,035,171.74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-791,196,980.98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605,731,000.00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2,554,278,137.48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2,818,206,459.09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221,000,000.00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3,177,009,137.48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3,039,206,459.09</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2,942,652,829.68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1,575,184,958.95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224,976,768.37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335,147,275.13</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332,015,573.75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484,545,014.18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3,499,645,171.80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2,394,877,248.26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-322,636,034.32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644,329,210.83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70,001,746.45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129,072,481.95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988,570,635.58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859,498,153.63</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1,058,572,382.03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988,570,635.58</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7</w:t>
      </w:r>
      <w:bookmarkEnd w:id="751"/>
      <w:r>
        <w:rPr>
          <w:color w:val="000000"/>
          <w:spacing w:val="0"/>
          <w:w w:val="100"/>
          <w:position w:val="0"/>
        </w:rPr>
        <w:t>、合并所有者权益变动表</w:t>
      </w:r>
      <w:bookmarkEnd w:id="749"/>
      <w:bookmarkEnd w:id="750"/>
      <w:bookmarkEnd w:id="75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所有 者权 益合 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2"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905,86</w:t>
            </w:r>
          </w:p>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498,62</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740"/>
              <w:jc w:val="both"/>
            </w:pPr>
            <w:r>
              <w:rPr>
                <w:color w:val="000000"/>
                <w:spacing w:val="0"/>
                <w:w w:val="100"/>
                <w:position w:val="0"/>
              </w:rPr>
              <w:t>同一</w:t>
            </w:r>
          </w:p>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2"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905,86</w:t>
            </w:r>
          </w:p>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498,62</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612,33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-1,313, 176.64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769,15</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79,180 </w:t>
            </w:r>
            <w:r>
              <w:rPr>
                <w:rFonts w:ascii="Times New Roman" w:eastAsia="Times New Roman" w:hAnsi="Times New Roman" w:cs="Times New Roman"/>
                <w:color w:val="000000"/>
                <w:spacing w:val="0"/>
                <w:w w:val="100"/>
                <w:position w:val="0"/>
                <w:sz w:val="18"/>
                <w:szCs w:val="18"/>
              </w:rPr>
              <w:t xml:space="preserve">,151.2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949,30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-1,313, 176.64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458,21</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w:t>
            </w:r>
          </w:p>
          <w:p>
            <w:pPr>
              <w:pStyle w:val="Style21"/>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377,06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515,39</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4,839.</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605,39</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w:t>
            </w:r>
          </w:p>
          <w:p>
            <w:pPr>
              <w:pStyle w:val="Style21"/>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622,83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515,39</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4,839.</w:t>
            </w:r>
          </w:p>
          <w:p>
            <w:pPr>
              <w:pStyle w:val="Style21"/>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605,39</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w:t>
            </w:r>
          </w:p>
          <w:p>
            <w:pPr>
              <w:pStyle w:val="Style21"/>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622,83</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0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入所有者权益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增资本（或股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9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3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3,205 ,482,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w:t>
            </w:r>
          </w:p>
          <w:p>
            <w:pPr>
              <w:pStyle w:val="Style21"/>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10,919 ,267,7 </w:t>
            </w:r>
            <w:r>
              <w:rPr>
                <w:rFonts w:ascii="Times New Roman" w:eastAsia="Times New Roman" w:hAnsi="Times New Roman" w:cs="Times New Roman"/>
                <w:color w:val="000000"/>
                <w:spacing w:val="0"/>
                <w:w w:val="100"/>
                <w:position w:val="0"/>
                <w:sz w:val="18"/>
                <w:szCs w:val="18"/>
              </w:rPr>
              <w:t>73.28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2"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920,17</w:t>
            </w:r>
          </w:p>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846,15</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9,523,</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851,20</w:t>
            </w:r>
          </w:p>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740"/>
              <w:jc w:val="both"/>
            </w:pPr>
            <w:r>
              <w:rPr>
                <w:color w:val="000000"/>
                <w:spacing w:val="0"/>
                <w:w w:val="100"/>
                <w:position w:val="0"/>
              </w:rPr>
              <w:t>同一</w:t>
            </w:r>
          </w:p>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920,17</w:t>
            </w:r>
          </w:p>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846,15</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9,523,</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851,20</w:t>
            </w:r>
          </w:p>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390,64</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7,418.</w:t>
            </w:r>
          </w:p>
          <w:p>
            <w:pPr>
              <w:pStyle w:val="Style21"/>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33,785, </w:t>
            </w:r>
            <w:r>
              <w:rPr>
                <w:rFonts w:ascii="Times New Roman" w:eastAsia="Times New Roman" w:hAnsi="Times New Roman" w:cs="Times New Roman"/>
                <w:color w:val="000000"/>
                <w:spacing w:val="0"/>
                <w:w w:val="100"/>
                <w:position w:val="0"/>
                <w:sz w:val="18"/>
                <w:szCs w:val="18"/>
              </w:rPr>
              <w:t>816.04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,234.49</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547,43</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5,840.</w:t>
            </w:r>
          </w:p>
          <w:p>
            <w:pPr>
              <w:pStyle w:val="Style21"/>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,044.19</w:t>
            </w:r>
          </w:p>
        </w:tc>
      </w:tr>
      <w:tr>
        <w:trPr>
          <w:trHeight w:val="7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38,217,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37,203, </w:t>
            </w:r>
            <w:r>
              <w:rPr>
                <w:rFonts w:ascii="Times New Roman" w:eastAsia="Times New Roman" w:hAnsi="Times New Roman" w:cs="Times New Roman"/>
                <w:color w:val="000000"/>
                <w:spacing w:val="0"/>
                <w:w w:val="100"/>
                <w:position w:val="0"/>
                <w:sz w:val="18"/>
                <w:szCs w:val="18"/>
              </w:rPr>
              <w:t>309.05</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09.05</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52,951 </w:t>
            </w:r>
            <w:r>
              <w:rPr>
                <w:rFonts w:ascii="Times New Roman" w:eastAsia="Times New Roman" w:hAnsi="Times New Roman" w:cs="Times New Roman"/>
                <w:color w:val="000000"/>
                <w:spacing w:val="0"/>
                <w:w w:val="100"/>
                <w:position w:val="0"/>
                <w:sz w:val="18"/>
                <w:szCs w:val="18"/>
              </w:rPr>
              <w:t xml:space="preserve">,209.6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21"/>
              <w:keepNext w:val="0"/>
              <w:keepLines w:val="0"/>
              <w:widowControl w:val="0"/>
              <w:shd w:val="clear" w:color="auto" w:fill="auto"/>
              <w:bidi w:val="0"/>
              <w:spacing w:before="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增资本（或股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益结转留存收</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3,115 ,482, </w:t>
            </w:r>
            <w:r>
              <w:rPr>
                <w:rFonts w:ascii="Times New Roman" w:eastAsia="Times New Roman" w:hAnsi="Times New Roman" w:cs="Times New Roman"/>
                <w:color w:val="000000"/>
                <w:spacing w:val="0"/>
                <w:w w:val="100"/>
                <w:position w:val="0"/>
                <w:sz w:val="18"/>
                <w:szCs w:val="18"/>
              </w:rPr>
              <w:t xml:space="preserve">375.0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905,86</w:t>
            </w:r>
          </w:p>
          <w:p>
            <w:pPr>
              <w:pStyle w:val="Style21"/>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498,62</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、母公司所有者权益变动表</w:t>
      </w:r>
      <w:bookmarkEnd w:id="753"/>
      <w:bookmarkEnd w:id="754"/>
      <w:bookmarkEnd w:id="75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2,173,15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2,586,9</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47,011.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8,612,501,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2,173,15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2,586,9</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47,011.</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8,612,501,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515,300,</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8,707.7</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786,051,4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w:t>
            </w: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5,362.7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515,394,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605,394,8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w:t>
            </w: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-189,42</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6,655.0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-33,652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-155,77</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4,118.7</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增资本（或股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9,398,553,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所有者权 益合计</w:t>
            </w: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85,235.</w:t>
            </w:r>
          </w:p>
          <w:p>
            <w:pPr>
              <w:pStyle w:val="Style21"/>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683,962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2,266,160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85,235.</w:t>
            </w:r>
          </w:p>
          <w:p>
            <w:pPr>
              <w:pStyle w:val="Style21"/>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683,962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2,266,160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320,786,7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378,711,83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529,512,0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增资本（或股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益结转留存收</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21"/>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59,089.</w:t>
            </w:r>
          </w:p>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8,612,501,8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w:t>
            </w:r>
          </w:p>
        </w:tc>
      </w:tr>
    </w:tbl>
    <w:p>
      <w:pPr>
        <w:widowControl w:val="0"/>
        <w:spacing w:after="319" w:line="1" w:lineRule="exact"/>
      </w:pPr>
    </w:p>
    <w:p>
      <w:pPr>
        <w:pStyle w:val="Style24"/>
        <w:keepNext/>
        <w:keepLines/>
        <w:widowControl w:val="0"/>
        <w:shd w:val="clear" w:color="auto" w:fill="auto"/>
        <w:bidi w:val="0"/>
        <w:spacing w:before="0" w:after="280" w:line="240" w:lineRule="auto"/>
        <w:ind w:left="0" w:right="0" w:firstLine="0"/>
        <w:jc w:val="left"/>
      </w:pPr>
      <w:bookmarkStart w:id="757" w:name="bookmark757"/>
      <w:bookmarkStart w:id="758" w:name="bookmark758"/>
      <w:bookmarkStart w:id="759" w:name="bookmark759"/>
      <w:r>
        <w:rPr>
          <w:color w:val="000000"/>
          <w:spacing w:val="0"/>
          <w:w w:val="100"/>
          <w:position w:val="0"/>
        </w:rPr>
        <w:t>三、公司基本情况</w:t>
      </w:r>
      <w:bookmarkEnd w:id="757"/>
      <w:bookmarkEnd w:id="758"/>
      <w:bookmarkEnd w:id="759"/>
    </w:p>
    <w:p>
      <w:pPr>
        <w:pStyle w:val="Style18"/>
        <w:keepNext w:val="0"/>
        <w:keepLines w:val="0"/>
        <w:widowControl w:val="0"/>
        <w:shd w:val="clear" w:color="auto" w:fill="auto"/>
        <w:bidi w:val="0"/>
        <w:spacing w:before="0" w:after="140" w:line="317" w:lineRule="exact"/>
        <w:ind w:left="0" w:right="0" w:firstLine="360"/>
        <w:jc w:val="both"/>
      </w:pPr>
      <w:bookmarkStart w:id="760" w:name="bookmark760"/>
      <w:r>
        <w:rPr>
          <w:rFonts w:ascii="Times New Roman" w:eastAsia="Times New Roman" w:hAnsi="Times New Roman" w:cs="Times New Roman"/>
          <w:b/>
          <w:bCs/>
          <w:color w:val="000000"/>
          <w:spacing w:val="0"/>
          <w:w w:val="100"/>
          <w:position w:val="0"/>
          <w:sz w:val="18"/>
          <w:szCs w:val="18"/>
        </w:rPr>
        <w:t>1</w:t>
      </w:r>
      <w:bookmarkEnd w:id="760"/>
      <w:r>
        <w:rPr>
          <w:b/>
          <w:bCs/>
          <w:color w:val="000000"/>
          <w:spacing w:val="0"/>
          <w:w w:val="100"/>
          <w:position w:val="0"/>
        </w:rPr>
        <w:t>、公司注册地、组织形式和总部地址</w:t>
      </w:r>
    </w:p>
    <w:p>
      <w:pPr>
        <w:pStyle w:val="Style18"/>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东华软件股份公司（原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北京东华合创数码科技股份有限公司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）是由北京东华诚信电脑科 技发展有限公司（原北京东华诚信电脑科技发展公司）、北京东华诚信投资管理中心（有限合伙）（原北京东华诚信工业设 备有限公司）、上海意古词新企业管理中心（有限合伙）（原北京合创电商投资顾问有限公司）等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家法人企业及薛向东等 </w:t>
      </w:r>
      <w:r>
        <w:rPr>
          <w:i/>
          <w:iCs/>
          <w:color w:val="000000"/>
          <w:spacing w:val="0"/>
          <w:w w:val="100"/>
          <w:position w:val="0"/>
        </w:rPr>
        <w:t>12</w:t>
      </w:r>
      <w:r>
        <w:rPr>
          <w:color w:val="000000"/>
          <w:spacing w:val="0"/>
          <w:w w:val="100"/>
          <w:position w:val="0"/>
        </w:rPr>
        <w:t>个自然人共同发起，在原北京东华合创数码科技有限公司的基础上，依法改制设立的股份有限公司。公司的注册资本为 人民币</w:t>
      </w:r>
      <w:r>
        <w:rPr>
          <w:rFonts w:ascii="Times New Roman" w:eastAsia="Times New Roman" w:hAnsi="Times New Roman" w:cs="Times New Roman"/>
          <w:color w:val="000000"/>
          <w:spacing w:val="0"/>
          <w:w w:val="100"/>
          <w:position w:val="0"/>
          <w:sz w:val="18"/>
          <w:szCs w:val="18"/>
        </w:rPr>
        <w:t>3,205,482,375.00</w:t>
      </w:r>
      <w:r>
        <w:rPr>
          <w:color w:val="000000"/>
          <w:spacing w:val="0"/>
          <w:w w:val="100"/>
          <w:position w:val="0"/>
        </w:rPr>
        <w:t>元，注册地址位于北京市海淀区紫金数码园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室，法定代表人：薛向东，企业统一社会 信用代码为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911100007226188818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40" w:line="318" w:lineRule="exact"/>
        <w:ind w:left="0" w:right="0" w:firstLine="380"/>
        <w:jc w:val="both"/>
      </w:pPr>
      <w:r>
        <w:rPr>
          <w:color w:val="000000"/>
          <w:spacing w:val="0"/>
          <w:w w:val="100"/>
          <w:position w:val="0"/>
        </w:rPr>
        <w:t>公司的前身北京东华合创数码科技有限公司，成立于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月，注册资本为人民币</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日，经北 京市人民政府经济体制改革办公室以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京政体改股函</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文《关于同意北京东华合创数码科技有限公司变更为北京东 华合创数码科技股份有限公司的通知》批复，北京东华合创数码科技有限公司依法改制设立为股份有限公司，注册资本为人 民币</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w:t>
      </w:r>
    </w:p>
    <w:p>
      <w:pPr>
        <w:pStyle w:val="Style18"/>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万元为基数，按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万 元。</w:t>
      </w:r>
    </w:p>
    <w:p>
      <w:pPr>
        <w:pStyle w:val="Style18"/>
        <w:keepNext w:val="0"/>
        <w:keepLines w:val="0"/>
        <w:widowControl w:val="0"/>
        <w:shd w:val="clear" w:color="auto" w:fill="auto"/>
        <w:bidi w:val="0"/>
        <w:spacing w:before="0" w:after="140" w:line="329"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 xml:space="preserve">5,876.0625 </w:t>
      </w:r>
      <w:r>
        <w:rPr>
          <w:color w:val="000000"/>
          <w:spacing w:val="0"/>
          <w:w w:val="100"/>
          <w:position w:val="0"/>
        </w:rPr>
        <w:t>万元。</w:t>
      </w:r>
    </w:p>
    <w:p>
      <w:pPr>
        <w:pStyle w:val="Style18"/>
        <w:keepNext w:val="0"/>
        <w:keepLines w:val="0"/>
        <w:widowControl w:val="0"/>
        <w:shd w:val="clear" w:color="auto" w:fill="auto"/>
        <w:bidi w:val="0"/>
        <w:spacing w:before="0" w:after="140" w:line="329"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5,876.0625</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587.606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 xml:space="preserve">6,463.6687 </w:t>
      </w:r>
      <w:r>
        <w:rPr>
          <w:color w:val="000000"/>
          <w:spacing w:val="0"/>
          <w:w w:val="100"/>
          <w:position w:val="0"/>
        </w:rPr>
        <w:t>万元。</w:t>
      </w:r>
    </w:p>
    <w:p>
      <w:pPr>
        <w:pStyle w:val="Style18"/>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月，根据中国证券监督管理委员会于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日下发的《关于核准北京东华合创数码科技股份有限公司首次 公开发行股票的通知》（文号为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证监发行字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日前完成了向境内投资者首次公开 发行</w:t>
      </w:r>
      <w:r>
        <w:rPr>
          <w:rFonts w:ascii="Times New Roman" w:eastAsia="Times New Roman" w:hAnsi="Times New Roman" w:cs="Times New Roman"/>
          <w:color w:val="000000"/>
          <w:spacing w:val="0"/>
          <w:w w:val="100"/>
          <w:position w:val="0"/>
          <w:sz w:val="18"/>
          <w:szCs w:val="18"/>
        </w:rPr>
        <w:t>21,600,000</w:t>
      </w:r>
      <w:r>
        <w:rPr>
          <w:color w:val="000000"/>
          <w:spacing w:val="0"/>
          <w:w w:val="100"/>
          <w:position w:val="0"/>
        </w:rPr>
        <w:t>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股票的工作（发行价格为</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股）。经过上述股份变更事项后，公司股本为人民币 </w:t>
      </w:r>
      <w:r>
        <w:rPr>
          <w:rFonts w:ascii="Times New Roman" w:eastAsia="Times New Roman" w:hAnsi="Times New Roman" w:cs="Times New Roman"/>
          <w:color w:val="000000"/>
          <w:spacing w:val="0"/>
          <w:w w:val="100"/>
          <w:position w:val="0"/>
          <w:sz w:val="18"/>
          <w:szCs w:val="18"/>
        </w:rPr>
        <w:t>8,623.6687</w:t>
      </w:r>
      <w:r>
        <w:rPr>
          <w:color w:val="000000"/>
          <w:spacing w:val="0"/>
          <w:w w:val="100"/>
          <w:position w:val="0"/>
        </w:rPr>
        <w:t>万元。</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8,623.668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的比例以资本公积转增股本，共增加股本</w:t>
      </w:r>
      <w:r>
        <w:rPr>
          <w:rFonts w:ascii="Times New Roman" w:eastAsia="Times New Roman" w:hAnsi="Times New Roman" w:cs="Times New Roman"/>
          <w:color w:val="000000"/>
          <w:spacing w:val="0"/>
          <w:w w:val="100"/>
          <w:position w:val="0"/>
          <w:sz w:val="18"/>
          <w:szCs w:val="18"/>
        </w:rPr>
        <w:t>4,311.8343</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12,935.503</w:t>
      </w:r>
      <w:r>
        <w:rPr>
          <w:color w:val="000000"/>
          <w:spacing w:val="0"/>
          <w:w w:val="100"/>
          <w:position w:val="0"/>
        </w:rPr>
        <w:t>万 元。</w:t>
      </w:r>
    </w:p>
    <w:p>
      <w:pPr>
        <w:pStyle w:val="Style18"/>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年第一次临时股东大会决议和修改后章程以及中国证券监督管理委员会于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日下发 的《关于核准北京东华合创数码科技股份有限公司向秦劳、翟曙春、柏红、胡明炜、谢坤等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人发行新股购买资产的批复》 （文号为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）的规定，公司申请增加注册资本人民币</w:t>
      </w:r>
      <w:r>
        <w:rPr>
          <w:rFonts w:ascii="Times New Roman" w:eastAsia="Times New Roman" w:hAnsi="Times New Roman" w:cs="Times New Roman"/>
          <w:color w:val="000000"/>
          <w:spacing w:val="0"/>
          <w:w w:val="100"/>
          <w:position w:val="0"/>
          <w:sz w:val="18"/>
          <w:szCs w:val="18"/>
        </w:rPr>
        <w:t>1,264</w:t>
      </w:r>
      <w:r>
        <w:rPr>
          <w:color w:val="000000"/>
          <w:spacing w:val="0"/>
          <w:w w:val="100"/>
          <w:position w:val="0"/>
        </w:rPr>
        <w:t>万元，划分为每股人民币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w:t>
      </w:r>
      <w:r>
        <w:rPr>
          <w:rFonts w:ascii="Times New Roman" w:eastAsia="Times New Roman" w:hAnsi="Times New Roman" w:cs="Times New Roman"/>
          <w:color w:val="000000"/>
          <w:spacing w:val="0"/>
          <w:w w:val="100"/>
          <w:position w:val="0"/>
          <w:sz w:val="18"/>
          <w:szCs w:val="18"/>
        </w:rPr>
        <w:t xml:space="preserve">1,264 </w:t>
      </w:r>
      <w:r>
        <w:rPr>
          <w:color w:val="000000"/>
          <w:spacing w:val="0"/>
          <w:w w:val="100"/>
          <w:position w:val="0"/>
        </w:rPr>
        <w:t>万股，由自然人秦劳、翟曙春、柏红、胡明炜、谢坤等五人以所持有的北京联银通科技有限公司的股权认购，变更后的注册 资本为人民币</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万元。经过上述股份变更事项后，公司股本为人民币</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w:t>
      </w:r>
    </w:p>
    <w:p>
      <w:pPr>
        <w:pStyle w:val="Style18"/>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日的股份总额</w:t>
      </w:r>
      <w:r>
        <w:rPr>
          <w:rFonts w:ascii="Times New Roman" w:eastAsia="Times New Roman" w:hAnsi="Times New Roman" w:cs="Times New Roman"/>
          <w:color w:val="000000"/>
          <w:spacing w:val="0"/>
          <w:w w:val="100"/>
          <w:position w:val="0"/>
          <w:sz w:val="18"/>
          <w:szCs w:val="18"/>
        </w:rPr>
        <w:t>12,935.503</w:t>
      </w:r>
      <w:r>
        <w:rPr>
          <w:color w:val="000000"/>
          <w:spacing w:val="0"/>
          <w:w w:val="100"/>
          <w:position w:val="0"/>
        </w:rPr>
        <w:t>万股及向自然 人秦劳、翟曙春、柏红、胡明炜、谢坤等五人定向增发</w:t>
      </w:r>
      <w:r>
        <w:rPr>
          <w:rFonts w:ascii="Times New Roman" w:eastAsia="Times New Roman" w:hAnsi="Times New Roman" w:cs="Times New Roman"/>
          <w:color w:val="000000"/>
          <w:spacing w:val="0"/>
          <w:w w:val="100"/>
          <w:position w:val="0"/>
          <w:sz w:val="18"/>
          <w:szCs w:val="18"/>
        </w:rPr>
        <w:t>1,264</w:t>
      </w:r>
      <w:r>
        <w:rPr>
          <w:color w:val="000000"/>
          <w:spacing w:val="0"/>
          <w:w w:val="100"/>
          <w:position w:val="0"/>
        </w:rPr>
        <w:t>万股共计</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万股为基数，以资本公积按</w:t>
      </w:r>
      <w:r>
        <w:rPr>
          <w:rFonts w:ascii="Times New Roman" w:eastAsia="Times New Roman" w:hAnsi="Times New Roman" w:cs="Times New Roman"/>
          <w:color w:val="000000"/>
          <w:spacing w:val="0"/>
          <w:w w:val="100"/>
          <w:position w:val="0"/>
          <w:sz w:val="18"/>
          <w:szCs w:val="18"/>
        </w:rPr>
        <w:t>10:10</w:t>
      </w:r>
      <w:r>
        <w:rPr>
          <w:color w:val="000000"/>
          <w:spacing w:val="0"/>
          <w:w w:val="100"/>
          <w:position w:val="0"/>
        </w:rPr>
        <w:t>的比例向全 体股东转增股本，共增加股本</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28,399.006</w:t>
      </w:r>
      <w:r>
        <w:rPr>
          <w:color w:val="000000"/>
          <w:spacing w:val="0"/>
          <w:w w:val="100"/>
          <w:position w:val="0"/>
        </w:rPr>
        <w:t>万元。</w:t>
      </w:r>
    </w:p>
    <w:p>
      <w:pPr>
        <w:pStyle w:val="Style18"/>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28,399.006</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的比例以资本公积转增股本，按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万元。该增资事项完 成后，公司的股本增加为人民币</w:t>
      </w:r>
      <w:r>
        <w:rPr>
          <w:rFonts w:ascii="Times New Roman" w:eastAsia="Times New Roman" w:hAnsi="Times New Roman" w:cs="Times New Roman"/>
          <w:color w:val="000000"/>
          <w:spacing w:val="0"/>
          <w:w w:val="100"/>
          <w:position w:val="0"/>
          <w:sz w:val="18"/>
          <w:szCs w:val="18"/>
        </w:rPr>
        <w:t>42,598.509</w:t>
      </w:r>
      <w:r>
        <w:rPr>
          <w:color w:val="000000"/>
          <w:spacing w:val="0"/>
          <w:w w:val="100"/>
          <w:position w:val="0"/>
        </w:rPr>
        <w:t>万元。</w:t>
      </w:r>
    </w:p>
    <w:p>
      <w:pPr>
        <w:pStyle w:val="Style18"/>
        <w:keepNext w:val="0"/>
        <w:keepLines w:val="0"/>
        <w:widowControl w:val="0"/>
        <w:shd w:val="clear" w:color="auto" w:fill="auto"/>
        <w:bidi w:val="0"/>
        <w:spacing w:before="0" w:after="140" w:line="336"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日，经北京市工商行政管理局核准变更登记，公司名称由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北京东华合创数码科技股份有限公司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 华软件股份公司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日下发的《关于核准东华软件股份公司发行股份购买资产的批复》（文号：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）的规定，按照公司与北京神州新桥科技有限公司自然人股东张秀珍、张建华、江海标、王俭、吕兴 </w:t>
      </w:r>
      <w:r>
        <w:rPr>
          <w:color w:val="000000"/>
          <w:spacing w:val="0"/>
          <w:w w:val="100"/>
          <w:position w:val="0"/>
        </w:rPr>
        <w:t>海五人确定的交易价格</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万元，公司以</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股的价格向张秀珍、张建华、江海标、王俭、吕兴海五人合计发行股份 </w:t>
      </w:r>
      <w:r>
        <w:rPr>
          <w:rFonts w:ascii="Times New Roman" w:eastAsia="Times New Roman" w:hAnsi="Times New Roman" w:cs="Times New Roman"/>
          <w:color w:val="000000"/>
          <w:spacing w:val="0"/>
          <w:w w:val="100"/>
          <w:position w:val="0"/>
          <w:sz w:val="18"/>
          <w:szCs w:val="18"/>
        </w:rPr>
        <w:t>16,301,577</w:t>
      </w:r>
      <w:r>
        <w:rPr>
          <w:color w:val="000000"/>
          <w:spacing w:val="0"/>
          <w:w w:val="100"/>
          <w:position w:val="0"/>
        </w:rPr>
        <w:t>股，作为公司收购北京神州新桥科技有限公司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股权的支付对价。根据中登深圳分公司出具的《证券登记确认 书》，公司于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日办理完毕本次发行股份的证券登记。经过上述股份变更事项后，公司股本为人民币</w:t>
      </w:r>
      <w:r>
        <w:rPr>
          <w:rFonts w:ascii="Times New Roman" w:eastAsia="Times New Roman" w:hAnsi="Times New Roman" w:cs="Times New Roman"/>
          <w:color w:val="000000"/>
          <w:spacing w:val="0"/>
          <w:w w:val="100"/>
          <w:position w:val="0"/>
          <w:sz w:val="18"/>
          <w:szCs w:val="18"/>
        </w:rPr>
        <w:t xml:space="preserve">44,228.6667 </w:t>
      </w:r>
      <w:r>
        <w:rPr>
          <w:color w:val="000000"/>
          <w:spacing w:val="0"/>
          <w:w w:val="100"/>
          <w:position w:val="0"/>
        </w:rPr>
        <w:t>万元。</w:t>
      </w:r>
    </w:p>
    <w:p>
      <w:pPr>
        <w:pStyle w:val="Style18"/>
        <w:keepNext w:val="0"/>
        <w:keepLines w:val="0"/>
        <w:widowControl w:val="0"/>
        <w:shd w:val="clear" w:color="auto" w:fill="auto"/>
        <w:bidi w:val="0"/>
        <w:spacing w:before="0" w:after="160" w:line="317" w:lineRule="exact"/>
        <w:ind w:left="0" w:right="0" w:firstLine="38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年度股东大会表决通过，以公司总股本</w:t>
      </w:r>
      <w:r>
        <w:rPr>
          <w:rFonts w:ascii="Times New Roman" w:eastAsia="Times New Roman" w:hAnsi="Times New Roman" w:cs="Times New Roman"/>
          <w:color w:val="000000"/>
          <w:spacing w:val="0"/>
          <w:w w:val="100"/>
          <w:position w:val="0"/>
          <w:sz w:val="18"/>
          <w:szCs w:val="18"/>
        </w:rPr>
        <w:t>442,286,667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股红股，共增加股本</w:t>
      </w:r>
      <w:r>
        <w:rPr>
          <w:rFonts w:ascii="Times New Roman" w:eastAsia="Times New Roman" w:hAnsi="Times New Roman" w:cs="Times New Roman"/>
          <w:color w:val="000000"/>
          <w:spacing w:val="0"/>
          <w:w w:val="100"/>
          <w:position w:val="0"/>
          <w:sz w:val="18"/>
          <w:szCs w:val="18"/>
        </w:rPr>
        <w:t>8,845.7333</w:t>
      </w:r>
      <w:r>
        <w:rPr>
          <w:color w:val="000000"/>
          <w:spacing w:val="0"/>
          <w:w w:val="100"/>
          <w:position w:val="0"/>
        </w:rPr>
        <w:t>万元，变更后公司股本为人民币</w:t>
      </w:r>
      <w:r>
        <w:rPr>
          <w:rFonts w:ascii="Times New Roman" w:eastAsia="Times New Roman" w:hAnsi="Times New Roman" w:cs="Times New Roman"/>
          <w:color w:val="000000"/>
          <w:spacing w:val="0"/>
          <w:w w:val="100"/>
          <w:position w:val="0"/>
          <w:sz w:val="18"/>
          <w:szCs w:val="18"/>
        </w:rPr>
        <w:t>53,074.4</w:t>
      </w:r>
      <w:r>
        <w:rPr>
          <w:color w:val="000000"/>
          <w:spacing w:val="0"/>
          <w:w w:val="100"/>
          <w:position w:val="0"/>
        </w:rPr>
        <w:t>万元。</w:t>
      </w:r>
    </w:p>
    <w:p>
      <w:pPr>
        <w:pStyle w:val="Style18"/>
        <w:keepNext w:val="0"/>
        <w:keepLines w:val="0"/>
        <w:widowControl w:val="0"/>
        <w:shd w:val="clear" w:color="auto" w:fill="auto"/>
        <w:bidi w:val="0"/>
        <w:spacing w:before="0" w:after="160" w:line="322" w:lineRule="exact"/>
        <w:ind w:left="0" w:right="0" w:firstLine="38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年度股东大会表决通过，以公司总股本</w:t>
      </w:r>
      <w:r>
        <w:rPr>
          <w:rFonts w:ascii="Times New Roman" w:eastAsia="Times New Roman" w:hAnsi="Times New Roman" w:cs="Times New Roman"/>
          <w:color w:val="000000"/>
          <w:spacing w:val="0"/>
          <w:w w:val="100"/>
          <w:position w:val="0"/>
          <w:sz w:val="18"/>
          <w:szCs w:val="18"/>
        </w:rPr>
        <w:t>530,744,000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股红股，共增加股本</w:t>
      </w:r>
      <w:r>
        <w:rPr>
          <w:rFonts w:ascii="Times New Roman" w:eastAsia="Times New Roman" w:hAnsi="Times New Roman" w:cs="Times New Roman"/>
          <w:color w:val="000000"/>
          <w:spacing w:val="0"/>
          <w:w w:val="100"/>
          <w:position w:val="0"/>
          <w:sz w:val="18"/>
          <w:szCs w:val="18"/>
        </w:rPr>
        <w:t>15,922.3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万元，变更后公司股本为人民币</w:t>
      </w:r>
      <w:r>
        <w:rPr>
          <w:rFonts w:ascii="Times New Roman" w:eastAsia="Times New Roman" w:hAnsi="Times New Roman" w:cs="Times New Roman"/>
          <w:color w:val="000000"/>
          <w:spacing w:val="0"/>
          <w:w w:val="100"/>
          <w:position w:val="0"/>
          <w:sz w:val="18"/>
          <w:szCs w:val="18"/>
        </w:rPr>
        <w:t>68,996.72</w:t>
      </w:r>
      <w:r>
        <w:rPr>
          <w:color w:val="000000"/>
          <w:spacing w:val="0"/>
          <w:w w:val="100"/>
          <w:position w:val="0"/>
        </w:rPr>
        <w:t>万元。</w:t>
      </w:r>
    </w:p>
    <w:p>
      <w:pPr>
        <w:pStyle w:val="Style18"/>
        <w:keepNext w:val="0"/>
        <w:keepLines w:val="0"/>
        <w:widowControl w:val="0"/>
        <w:shd w:val="clear" w:color="auto" w:fill="auto"/>
        <w:bidi w:val="0"/>
        <w:spacing w:before="0" w:after="160" w:line="322" w:lineRule="exact"/>
        <w:ind w:left="0" w:right="0" w:firstLine="380"/>
        <w:jc w:val="left"/>
      </w:pPr>
      <w:r>
        <w:rPr>
          <w:color w:val="000000"/>
          <w:spacing w:val="0"/>
          <w:w w:val="100"/>
          <w:position w:val="0"/>
        </w:rPr>
        <w:t>根据公司股票期权激励计划的规定，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月公司股票期权激励计划第一期行权的</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名激励对象缴纳出资增加注册 资本</w:t>
      </w:r>
      <w:r>
        <w:rPr>
          <w:rFonts w:ascii="Times New Roman" w:eastAsia="Times New Roman" w:hAnsi="Times New Roman" w:cs="Times New Roman"/>
          <w:color w:val="000000"/>
          <w:spacing w:val="0"/>
          <w:w w:val="100"/>
          <w:position w:val="0"/>
          <w:sz w:val="18"/>
          <w:szCs w:val="18"/>
        </w:rPr>
        <w:t>4,336,410.00</w:t>
      </w:r>
      <w:r>
        <w:rPr>
          <w:color w:val="000000"/>
          <w:spacing w:val="0"/>
          <w:w w:val="100"/>
          <w:position w:val="0"/>
        </w:rPr>
        <w:t>元，变更后公司股本为人民币</w:t>
      </w:r>
      <w:r>
        <w:rPr>
          <w:rFonts w:ascii="Times New Roman" w:eastAsia="Times New Roman" w:hAnsi="Times New Roman" w:cs="Times New Roman"/>
          <w:color w:val="000000"/>
          <w:spacing w:val="0"/>
          <w:w w:val="100"/>
          <w:position w:val="0"/>
          <w:sz w:val="18"/>
          <w:szCs w:val="18"/>
        </w:rPr>
        <w:t>694,303,610</w:t>
      </w:r>
      <w:r>
        <w:rPr>
          <w:color w:val="000000"/>
          <w:spacing w:val="0"/>
          <w:w w:val="100"/>
          <w:position w:val="0"/>
        </w:rPr>
        <w:t>元。</w:t>
      </w:r>
    </w:p>
    <w:p>
      <w:pPr>
        <w:pStyle w:val="Style18"/>
        <w:keepNext w:val="0"/>
        <w:keepLines w:val="0"/>
        <w:widowControl w:val="0"/>
        <w:shd w:val="clear" w:color="auto" w:fill="auto"/>
        <w:bidi w:val="0"/>
        <w:spacing w:before="0" w:after="160" w:line="317" w:lineRule="exact"/>
        <w:ind w:left="0" w:right="0" w:firstLine="380"/>
        <w:jc w:val="left"/>
      </w:pPr>
      <w:r>
        <w:rPr>
          <w:color w:val="000000"/>
          <w:spacing w:val="0"/>
          <w:w w:val="100"/>
          <w:position w:val="0"/>
        </w:rPr>
        <w:t>根据公司股票期权激励计划的规定，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月股票期权激励计划第一期行权的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名激励对象和第二期行权的</w:t>
      </w: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名激励 对象出资增加注册资本</w:t>
      </w:r>
      <w:r>
        <w:rPr>
          <w:rFonts w:ascii="Times New Roman" w:eastAsia="Times New Roman" w:hAnsi="Times New Roman" w:cs="Times New Roman"/>
          <w:color w:val="000000"/>
          <w:spacing w:val="0"/>
          <w:w w:val="100"/>
          <w:position w:val="0"/>
          <w:sz w:val="18"/>
          <w:szCs w:val="18"/>
        </w:rPr>
        <w:t>4,295,460.00</w:t>
      </w:r>
      <w:r>
        <w:rPr>
          <w:color w:val="000000"/>
          <w:spacing w:val="0"/>
          <w:w w:val="100"/>
          <w:position w:val="0"/>
        </w:rPr>
        <w:t>元，变更后公司股本为人民币</w:t>
      </w:r>
      <w:r>
        <w:rPr>
          <w:rFonts w:ascii="Times New Roman" w:eastAsia="Times New Roman" w:hAnsi="Times New Roman" w:cs="Times New Roman"/>
          <w:color w:val="000000"/>
          <w:spacing w:val="0"/>
          <w:w w:val="100"/>
          <w:position w:val="0"/>
          <w:sz w:val="18"/>
          <w:szCs w:val="18"/>
        </w:rPr>
        <w:t>698,599,070</w:t>
      </w:r>
      <w:r>
        <w:rPr>
          <w:color w:val="000000"/>
          <w:spacing w:val="0"/>
          <w:w w:val="100"/>
          <w:position w:val="0"/>
        </w:rPr>
        <w:t>元。</w:t>
      </w:r>
    </w:p>
    <w:p>
      <w:pPr>
        <w:pStyle w:val="Style18"/>
        <w:keepNext w:val="0"/>
        <w:keepLines w:val="0"/>
        <w:widowControl w:val="0"/>
        <w:shd w:val="clear" w:color="auto" w:fill="auto"/>
        <w:bidi w:val="0"/>
        <w:spacing w:before="0" w:after="160" w:line="320"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[2013]845</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万张可转换公 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万元。转股起止日：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日，可转换公司债券已转股</w:t>
      </w:r>
      <w:r>
        <w:rPr>
          <w:rFonts w:ascii="Times New Roman" w:eastAsia="Times New Roman" w:hAnsi="Times New Roman" w:cs="Times New Roman"/>
          <w:color w:val="000000"/>
          <w:spacing w:val="0"/>
          <w:w w:val="100"/>
          <w:position w:val="0"/>
          <w:sz w:val="18"/>
          <w:szCs w:val="18"/>
        </w:rPr>
        <w:t>36,442,301</w:t>
      </w:r>
      <w:r>
        <w:rPr>
          <w:color w:val="000000"/>
          <w:spacing w:val="0"/>
          <w:w w:val="100"/>
          <w:position w:val="0"/>
        </w:rPr>
        <w:t>股，转股后公司总股本为</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股。根据公司于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度股东大会决议，截止股权登记日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共计转增</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股。变更后股本为人民币</w:t>
      </w:r>
      <w:r>
        <w:rPr>
          <w:rFonts w:ascii="Times New Roman" w:eastAsia="Times New Roman" w:hAnsi="Times New Roman" w:cs="Times New Roman"/>
          <w:color w:val="000000"/>
          <w:spacing w:val="0"/>
          <w:w w:val="100"/>
          <w:position w:val="0"/>
          <w:sz w:val="18"/>
          <w:szCs w:val="18"/>
        </w:rPr>
        <w:t>1,470,082,742</w:t>
      </w:r>
      <w:r>
        <w:rPr>
          <w:color w:val="000000"/>
          <w:spacing w:val="0"/>
          <w:w w:val="100"/>
          <w:position w:val="0"/>
        </w:rPr>
        <w:t>元。</w:t>
      </w:r>
    </w:p>
    <w:p>
      <w:pPr>
        <w:pStyle w:val="Style18"/>
        <w:keepNext w:val="0"/>
        <w:keepLines w:val="0"/>
        <w:widowControl w:val="0"/>
        <w:shd w:val="clear" w:color="auto" w:fill="auto"/>
        <w:bidi w:val="0"/>
        <w:spacing w:before="0" w:after="160" w:line="321"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年第一次临时股东大会决议，经中国证券监督管理委员会证监许可</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号《关于核准东华软件股份公司向黄麟雏等发行股份购买资产并募集配套资金的批复》核准，公司获准向北京威锐达测 控系统有限公司股东黄麟雏等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名自然人发行人民币普通股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29,212,592</w:t>
      </w:r>
      <w:r>
        <w:rPr>
          <w:color w:val="000000"/>
          <w:spacing w:val="0"/>
          <w:w w:val="100"/>
          <w:position w:val="0"/>
        </w:rPr>
        <w:t>股，以及配融资支付现金，购买黄麟雏等</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名自然人持有的北京威锐达测控系统有限公司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的股权。公司募集配套资金增加注册资本人民币</w:t>
      </w:r>
      <w:r>
        <w:rPr>
          <w:rFonts w:ascii="Times New Roman" w:eastAsia="Times New Roman" w:hAnsi="Times New Roman" w:cs="Times New Roman"/>
          <w:color w:val="000000"/>
          <w:spacing w:val="0"/>
          <w:w w:val="100"/>
          <w:position w:val="0"/>
          <w:sz w:val="18"/>
          <w:szCs w:val="18"/>
        </w:rPr>
        <w:t>10,712,789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日，公司发行的可转换公司债券共计转股</w:t>
      </w:r>
      <w:r>
        <w:rPr>
          <w:rFonts w:ascii="Times New Roman" w:eastAsia="Times New Roman" w:hAnsi="Times New Roman" w:cs="Times New Roman"/>
          <w:color w:val="000000"/>
          <w:spacing w:val="0"/>
          <w:w w:val="100"/>
          <w:position w:val="0"/>
          <w:sz w:val="18"/>
          <w:szCs w:val="18"/>
        </w:rPr>
        <w:t>4,798,825</w:t>
      </w:r>
      <w:r>
        <w:rPr>
          <w:color w:val="000000"/>
          <w:spacing w:val="0"/>
          <w:w w:val="100"/>
          <w:position w:val="0"/>
        </w:rPr>
        <w:t xml:space="preserve">股。经过上述变更后，公司的股本总额为人民币 </w:t>
      </w:r>
      <w:r>
        <w:rPr>
          <w:rFonts w:ascii="Times New Roman" w:eastAsia="Times New Roman" w:hAnsi="Times New Roman" w:cs="Times New Roman"/>
          <w:color w:val="000000"/>
          <w:spacing w:val="0"/>
          <w:w w:val="100"/>
          <w:position w:val="0"/>
          <w:sz w:val="18"/>
          <w:szCs w:val="18"/>
        </w:rPr>
        <w:t>1,514,806,948</w:t>
      </w:r>
      <w:r>
        <w:rPr>
          <w:color w:val="000000"/>
          <w:spacing w:val="0"/>
          <w:w w:val="100"/>
          <w:position w:val="0"/>
        </w:rPr>
        <w:t>元。</w:t>
      </w:r>
    </w:p>
    <w:p>
      <w:pPr>
        <w:pStyle w:val="Style18"/>
        <w:keepNext w:val="0"/>
        <w:keepLines w:val="0"/>
        <w:widowControl w:val="0"/>
        <w:shd w:val="clear" w:color="auto" w:fill="auto"/>
        <w:bidi w:val="0"/>
        <w:spacing w:before="0" w:after="160" w:line="322"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月，公司股权激励第二期行权的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名激励对象缴纳出资增加注册资本人民币</w:t>
      </w:r>
      <w:r>
        <w:rPr>
          <w:rFonts w:ascii="Times New Roman" w:eastAsia="Times New Roman" w:hAnsi="Times New Roman" w:cs="Times New Roman"/>
          <w:color w:val="000000"/>
          <w:spacing w:val="0"/>
          <w:w w:val="100"/>
          <w:position w:val="0"/>
          <w:sz w:val="18"/>
          <w:szCs w:val="18"/>
        </w:rPr>
        <w:t>62,400.00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月，公司股权 激励第三期行权的</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5,589,480</w:t>
      </w:r>
      <w:r>
        <w:rPr>
          <w:color w:val="000000"/>
          <w:spacing w:val="0"/>
          <w:w w:val="100"/>
          <w:position w:val="0"/>
        </w:rPr>
        <w:t>元，增加注册资本</w:t>
      </w:r>
      <w:r>
        <w:rPr>
          <w:rFonts w:ascii="Times New Roman" w:eastAsia="Times New Roman" w:hAnsi="Times New Roman" w:cs="Times New Roman"/>
          <w:color w:val="000000"/>
          <w:spacing w:val="0"/>
          <w:w w:val="100"/>
          <w:position w:val="0"/>
          <w:sz w:val="18"/>
          <w:szCs w:val="18"/>
        </w:rPr>
        <w:t>5,589,480</w:t>
      </w:r>
      <w:r>
        <w:rPr>
          <w:color w:val="000000"/>
          <w:spacing w:val="0"/>
          <w:w w:val="100"/>
          <w:position w:val="0"/>
        </w:rPr>
        <w:t>元。</w:t>
      </w:r>
    </w:p>
    <w:p>
      <w:pPr>
        <w:pStyle w:val="Style18"/>
        <w:keepNext w:val="0"/>
        <w:keepLines w:val="0"/>
        <w:widowControl w:val="0"/>
        <w:shd w:val="clear" w:color="auto" w:fill="auto"/>
        <w:bidi w:val="0"/>
        <w:spacing w:before="0" w:after="160" w:line="324"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年第三次临时股东大会决议，经中国证券监督管理委员会证监许可 </w:t>
      </w:r>
      <w:r>
        <w:rPr>
          <w:rFonts w:ascii="Times New Roman" w:eastAsia="Times New Roman" w:hAnsi="Times New Roman" w:cs="Times New Roman"/>
          <w:color w:val="000000"/>
          <w:spacing w:val="0"/>
          <w:w w:val="100"/>
          <w:position w:val="0"/>
          <w:sz w:val="18"/>
          <w:szCs w:val="18"/>
        </w:rPr>
        <w:t>[2015]1010</w:t>
      </w:r>
      <w:r>
        <w:rPr>
          <w:color w:val="000000"/>
          <w:spacing w:val="0"/>
          <w:w w:val="100"/>
          <w:position w:val="0"/>
        </w:rPr>
        <w:t>号《关于核准东华软件股份公司向章云芳等发行股份购买资产并募集配套资金的批复》核准，根据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 分配方案情况，公司定向增发人民币普通股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30,139,931</w:t>
      </w:r>
      <w:r>
        <w:rPr>
          <w:color w:val="000000"/>
          <w:spacing w:val="0"/>
          <w:w w:val="100"/>
          <w:position w:val="0"/>
        </w:rPr>
        <w:t>股，增加注册资本</w:t>
      </w:r>
      <w:r>
        <w:rPr>
          <w:rFonts w:ascii="Times New Roman" w:eastAsia="Times New Roman" w:hAnsi="Times New Roman" w:cs="Times New Roman"/>
          <w:color w:val="000000"/>
          <w:spacing w:val="0"/>
          <w:w w:val="100"/>
          <w:position w:val="0"/>
          <w:sz w:val="18"/>
          <w:szCs w:val="18"/>
        </w:rPr>
        <w:t>30,139,931</w:t>
      </w:r>
      <w:r>
        <w:rPr>
          <w:color w:val="000000"/>
          <w:spacing w:val="0"/>
          <w:w w:val="100"/>
          <w:position w:val="0"/>
        </w:rPr>
        <w:t>元；以及配套融资支付现金， 购买章云芳等所持有的深圳市至高通信技术发展有限公司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的股权，公司募集配套资金增加注册资本人民币</w:t>
      </w:r>
      <w:r>
        <w:rPr>
          <w:rFonts w:ascii="Times New Roman" w:eastAsia="Times New Roman" w:hAnsi="Times New Roman" w:cs="Times New Roman"/>
          <w:color w:val="000000"/>
          <w:spacing w:val="0"/>
          <w:w w:val="100"/>
          <w:position w:val="0"/>
          <w:sz w:val="18"/>
          <w:szCs w:val="18"/>
        </w:rPr>
        <w:t xml:space="preserve">6,894,174.00 </w:t>
      </w:r>
      <w:r>
        <w:rPr>
          <w:color w:val="000000"/>
          <w:spacing w:val="0"/>
          <w:w w:val="100"/>
          <w:position w:val="0"/>
        </w:rPr>
        <w:t>元。</w:t>
      </w:r>
    </w:p>
    <w:p>
      <w:pPr>
        <w:pStyle w:val="Style18"/>
        <w:keepNext w:val="0"/>
        <w:keepLines w:val="0"/>
        <w:widowControl w:val="0"/>
        <w:shd w:val="clear" w:color="auto" w:fill="auto"/>
        <w:bidi w:val="0"/>
        <w:spacing w:before="0" w:after="160" w:line="322"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月，公司股权激励第三期行权的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72,800.00</w:t>
      </w:r>
      <w:r>
        <w:rPr>
          <w:color w:val="000000"/>
          <w:spacing w:val="0"/>
          <w:w w:val="100"/>
          <w:position w:val="0"/>
        </w:rPr>
        <w:t>元。</w:t>
      </w:r>
    </w:p>
    <w:p>
      <w:pPr>
        <w:pStyle w:val="Style18"/>
        <w:keepNext w:val="0"/>
        <w:keepLines w:val="0"/>
        <w:widowControl w:val="0"/>
        <w:shd w:val="clear" w:color="auto" w:fill="auto"/>
        <w:bidi w:val="0"/>
        <w:spacing w:before="0" w:after="160" w:line="32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日，公司发行的可转换公司债券共计转股</w:t>
      </w:r>
      <w:r>
        <w:rPr>
          <w:rFonts w:ascii="Times New Roman" w:eastAsia="Times New Roman" w:hAnsi="Times New Roman" w:cs="Times New Roman"/>
          <w:color w:val="000000"/>
          <w:spacing w:val="0"/>
          <w:w w:val="100"/>
          <w:position w:val="0"/>
          <w:sz w:val="18"/>
          <w:szCs w:val="18"/>
        </w:rPr>
        <w:t>6,995,967</w:t>
      </w:r>
      <w:r>
        <w:rPr>
          <w:color w:val="000000"/>
          <w:spacing w:val="0"/>
          <w:w w:val="100"/>
          <w:position w:val="0"/>
        </w:rPr>
        <w:t>股。</w:t>
      </w:r>
    </w:p>
    <w:p>
      <w:pPr>
        <w:pStyle w:val="Style18"/>
        <w:keepNext w:val="0"/>
        <w:keepLines w:val="0"/>
        <w:widowControl w:val="0"/>
        <w:shd w:val="clear" w:color="auto" w:fill="auto"/>
        <w:bidi w:val="0"/>
        <w:spacing w:before="0" w:after="160" w:line="32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月，公司股权激励第四期行权的</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5,332,080.00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年度经过上述变更 后，公司的股本变更为</w:t>
      </w:r>
      <w:r>
        <w:rPr>
          <w:rFonts w:ascii="Times New Roman" w:eastAsia="Times New Roman" w:hAnsi="Times New Roman" w:cs="Times New Roman"/>
          <w:color w:val="000000"/>
          <w:spacing w:val="0"/>
          <w:w w:val="100"/>
          <w:position w:val="0"/>
          <w:sz w:val="18"/>
          <w:szCs w:val="18"/>
        </w:rPr>
        <w:t>1,569,893,780.00</w:t>
      </w:r>
      <w:r>
        <w:rPr>
          <w:color w:val="000000"/>
          <w:spacing w:val="0"/>
          <w:w w:val="100"/>
          <w:position w:val="0"/>
        </w:rPr>
        <w:t>元。</w:t>
      </w:r>
    </w:p>
    <w:p>
      <w:pPr>
        <w:pStyle w:val="Style18"/>
        <w:keepNext w:val="0"/>
        <w:keepLines w:val="0"/>
        <w:widowControl w:val="0"/>
        <w:shd w:val="clear" w:color="auto" w:fill="auto"/>
        <w:bidi w:val="0"/>
        <w:spacing w:before="0" w:after="160" w:line="326" w:lineRule="exact"/>
        <w:ind w:left="0" w:right="0" w:firstLine="38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元为基数，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股，共增加股本</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元。该增资事项完成后，公司的股本变更为人民币</w:t>
      </w:r>
      <w:r>
        <w:rPr>
          <w:rFonts w:ascii="Times New Roman" w:eastAsia="Times New Roman" w:hAnsi="Times New Roman" w:cs="Times New Roman"/>
          <w:color w:val="000000"/>
          <w:spacing w:val="0"/>
          <w:w w:val="100"/>
          <w:position w:val="0"/>
          <w:sz w:val="18"/>
          <w:szCs w:val="18"/>
        </w:rPr>
        <w:t xml:space="preserve">3,139,787,560.00 </w:t>
      </w:r>
      <w:r>
        <w:rPr>
          <w:color w:val="000000"/>
          <w:spacing w:val="0"/>
          <w:w w:val="100"/>
          <w:position w:val="0"/>
        </w:rPr>
        <w:t>元。</w:t>
      </w:r>
    </w:p>
    <w:p>
      <w:pPr>
        <w:pStyle w:val="Style18"/>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日，深圳市至高通信技术发展有限公司因未完成业绩承诺，公司回购并注销章云芳等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人应补偿的股份数量 </w:t>
      </w:r>
      <w:r>
        <w:rPr>
          <w:rFonts w:ascii="Times New Roman" w:eastAsia="Times New Roman" w:hAnsi="Times New Roman" w:cs="Times New Roman"/>
          <w:color w:val="000000"/>
          <w:spacing w:val="0"/>
          <w:w w:val="100"/>
          <w:position w:val="0"/>
          <w:sz w:val="18"/>
          <w:szCs w:val="18"/>
        </w:rPr>
        <w:t>24,305,185</w:t>
      </w:r>
      <w:r>
        <w:rPr>
          <w:color w:val="000000"/>
          <w:spacing w:val="0"/>
          <w:w w:val="100"/>
          <w:position w:val="0"/>
        </w:rPr>
        <w:t>股，公司的股本变更为人民币</w:t>
      </w:r>
      <w:r>
        <w:rPr>
          <w:rFonts w:ascii="Times New Roman" w:eastAsia="Times New Roman" w:hAnsi="Times New Roman" w:cs="Times New Roman"/>
          <w:color w:val="000000"/>
          <w:spacing w:val="0"/>
          <w:w w:val="100"/>
          <w:position w:val="0"/>
          <w:sz w:val="18"/>
          <w:szCs w:val="18"/>
        </w:rPr>
        <w:t>3,115,482,375.00</w:t>
      </w:r>
      <w:r>
        <w:rPr>
          <w:color w:val="000000"/>
          <w:spacing w:val="0"/>
          <w:w w:val="100"/>
          <w:position w:val="0"/>
        </w:rPr>
        <w:t>元。</w:t>
      </w:r>
    </w:p>
    <w:p>
      <w:pPr>
        <w:pStyle w:val="Style18"/>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年第四次临时股东大会审议通过，经中国证券监督管理委员会《关于核 准东华软件股份公司非公开发行股票的批复》（证监许可</w:t>
      </w:r>
      <w:r>
        <w:rPr>
          <w:rFonts w:ascii="Times New Roman" w:eastAsia="Times New Roman" w:hAnsi="Times New Roman" w:cs="Times New Roman"/>
          <w:color w:val="000000"/>
          <w:spacing w:val="0"/>
          <w:w w:val="100"/>
          <w:position w:val="0"/>
          <w:sz w:val="18"/>
          <w:szCs w:val="18"/>
        </w:rPr>
        <w:t>[2020]2611</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日完成向发行对象发行 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股。该增资事项完成后，公司的股本增加为人民币</w:t>
      </w:r>
      <w:r>
        <w:rPr>
          <w:rFonts w:ascii="Times New Roman" w:eastAsia="Times New Roman" w:hAnsi="Times New Roman" w:cs="Times New Roman"/>
          <w:color w:val="000000"/>
          <w:spacing w:val="0"/>
          <w:w w:val="100"/>
          <w:position w:val="0"/>
          <w:sz w:val="18"/>
          <w:szCs w:val="18"/>
        </w:rPr>
        <w:t>3,205,482,375.00</w:t>
      </w:r>
      <w:r>
        <w:rPr>
          <w:color w:val="000000"/>
          <w:spacing w:val="0"/>
          <w:w w:val="100"/>
          <w:position w:val="0"/>
        </w:rPr>
        <w:t>元。</w:t>
      </w:r>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公司的母公司为北京东华诚信电脑科技发展有限公司，公司的实际控制人为薛向东先生及其家族。</w:t>
      </w:r>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公司业务性质和主要经营活动：</w:t>
      </w:r>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本公司属软件和信息技术服务业，主要产品和服务为行业应用软件开发、计算机信息系统集成及相关服务业务等。</w:t>
      </w:r>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公司的经营范围包括：技术开发、技术咨询、技术服务、技术推广、技术转让；计算机系统服务；数据处理；基础软件 服务、应用软件服务、公共软件服务；销售计算机软、硬件及外围设备、通讯设备、医疗器械</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类；承接工业控制与自动化 系统工程、计算机通讯工程、智能楼宇及数据中心计算机系统工程；货物进出口、技术进出口、代理进出口；经营电信业务。</w:t>
      </w:r>
    </w:p>
    <w:p>
      <w:pPr>
        <w:pStyle w:val="Style18"/>
        <w:keepNext w:val="0"/>
        <w:keepLines w:val="0"/>
        <w:widowControl w:val="0"/>
        <w:shd w:val="clear" w:color="auto" w:fill="auto"/>
        <w:tabs>
          <w:tab w:pos="738" w:val="left"/>
        </w:tabs>
        <w:bidi w:val="0"/>
        <w:spacing w:before="0" w:after="140" w:line="322" w:lineRule="exact"/>
        <w:ind w:left="0" w:right="0" w:firstLine="380"/>
        <w:jc w:val="left"/>
      </w:pPr>
      <w:bookmarkStart w:id="761" w:name="bookmark761"/>
      <w:r>
        <w:rPr>
          <w:rFonts w:ascii="Times New Roman" w:eastAsia="Times New Roman" w:hAnsi="Times New Roman" w:cs="Times New Roman"/>
          <w:b/>
          <w:bCs/>
          <w:color w:val="000000"/>
          <w:spacing w:val="0"/>
          <w:w w:val="100"/>
          <w:position w:val="0"/>
          <w:sz w:val="18"/>
          <w:szCs w:val="18"/>
        </w:rPr>
        <w:t>2</w:t>
      </w:r>
      <w:bookmarkEnd w:id="761"/>
      <w:r>
        <w:rPr>
          <w:b/>
          <w:bCs/>
          <w:color w:val="000000"/>
          <w:spacing w:val="0"/>
          <w:w w:val="100"/>
          <w:position w:val="0"/>
        </w:rPr>
        <w:t>、</w:t>
        <w:tab/>
        <w:t>财务报表的批准报出</w:t>
      </w:r>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18"/>
        <w:keepNext w:val="0"/>
        <w:keepLines w:val="0"/>
        <w:widowControl w:val="0"/>
        <w:shd w:val="clear" w:color="auto" w:fill="auto"/>
        <w:tabs>
          <w:tab w:pos="738" w:val="left"/>
        </w:tabs>
        <w:bidi w:val="0"/>
        <w:spacing w:before="0" w:after="140" w:line="322" w:lineRule="exact"/>
        <w:ind w:left="0" w:right="0" w:firstLine="380"/>
        <w:jc w:val="left"/>
      </w:pPr>
      <w:bookmarkStart w:id="762" w:name="bookmark762"/>
      <w:r>
        <w:rPr>
          <w:rFonts w:ascii="Times New Roman" w:eastAsia="Times New Roman" w:hAnsi="Times New Roman" w:cs="Times New Roman"/>
          <w:b/>
          <w:bCs/>
          <w:color w:val="000000"/>
          <w:spacing w:val="0"/>
          <w:w w:val="100"/>
          <w:position w:val="0"/>
          <w:sz w:val="18"/>
          <w:szCs w:val="18"/>
        </w:rPr>
        <w:t>3</w:t>
      </w:r>
      <w:bookmarkEnd w:id="762"/>
      <w:r>
        <w:rPr>
          <w:b/>
          <w:bCs/>
          <w:color w:val="000000"/>
          <w:spacing w:val="0"/>
          <w:w w:val="100"/>
          <w:position w:val="0"/>
        </w:rPr>
        <w:t>、</w:t>
        <w:tab/>
        <w:t>合并财务报表范围</w:t>
      </w:r>
    </w:p>
    <w:p>
      <w:pPr>
        <w:pStyle w:val="Style18"/>
        <w:keepNext w:val="0"/>
        <w:keepLines w:val="0"/>
        <w:widowControl w:val="0"/>
        <w:shd w:val="clear" w:color="auto" w:fill="auto"/>
        <w:bidi w:val="0"/>
        <w:spacing w:before="0" w:after="380" w:line="336" w:lineRule="exact"/>
        <w:ind w:left="0" w:right="0" w:firstLine="38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家子公司，减少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家子公司，其中由子公司转为孙公司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家。合并范 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tabs>
          <w:tab w:pos="498" w:val="left"/>
        </w:tabs>
        <w:bidi w:val="0"/>
        <w:spacing w:before="0" w:after="38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四</w:t>
      </w:r>
      <w:bookmarkEnd w:id="765"/>
      <w:r>
        <w:rPr>
          <w:color w:val="000000"/>
          <w:spacing w:val="0"/>
          <w:w w:val="100"/>
          <w:position w:val="0"/>
        </w:rPr>
        <w:t>、</w:t>
        <w:tab/>
        <w:t>财务报表的编制基础</w:t>
      </w:r>
      <w:bookmarkEnd w:id="763"/>
      <w:bookmarkEnd w:id="764"/>
      <w:bookmarkEnd w:id="766"/>
    </w:p>
    <w:p>
      <w:pPr>
        <w:pStyle w:val="Style29"/>
        <w:keepNext/>
        <w:keepLines/>
        <w:widowControl w:val="0"/>
        <w:shd w:val="clear" w:color="auto" w:fill="auto"/>
        <w:tabs>
          <w:tab w:pos="394"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color w:val="000000"/>
          <w:spacing w:val="0"/>
          <w:w w:val="100"/>
          <w:position w:val="0"/>
        </w:rPr>
        <w:t>、</w:t>
        <w:tab/>
        <w:t>编制基础</w:t>
      </w:r>
      <w:bookmarkEnd w:id="767"/>
      <w:bookmarkEnd w:id="768"/>
      <w:bookmarkEnd w:id="770"/>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29"/>
        <w:keepNext/>
        <w:keepLines/>
        <w:widowControl w:val="0"/>
        <w:shd w:val="clear" w:color="auto" w:fill="auto"/>
        <w:tabs>
          <w:tab w:pos="394"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持续经营</w:t>
      </w:r>
      <w:bookmarkEnd w:id="771"/>
      <w:bookmarkEnd w:id="772"/>
      <w:bookmarkEnd w:id="774"/>
    </w:p>
    <w:p>
      <w:pPr>
        <w:pStyle w:val="Style18"/>
        <w:keepNext w:val="0"/>
        <w:keepLines w:val="0"/>
        <w:widowControl w:val="0"/>
        <w:shd w:val="clear" w:color="auto" w:fill="auto"/>
        <w:bidi w:val="0"/>
        <w:spacing w:before="0" w:after="380" w:line="336" w:lineRule="exact"/>
        <w:ind w:left="0" w:right="0" w:firstLine="38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4"/>
        <w:keepNext/>
        <w:keepLines/>
        <w:widowControl w:val="0"/>
        <w:shd w:val="clear" w:color="auto" w:fill="auto"/>
        <w:tabs>
          <w:tab w:pos="517"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五</w:t>
      </w:r>
      <w:bookmarkEnd w:id="777"/>
      <w:r>
        <w:rPr>
          <w:color w:val="000000"/>
          <w:spacing w:val="0"/>
          <w:w w:val="100"/>
          <w:position w:val="0"/>
        </w:rPr>
        <w:t>、</w:t>
        <w:tab/>
        <w:t>重要会计政策及会计估计</w:t>
      </w:r>
      <w:bookmarkEnd w:id="775"/>
      <w:bookmarkEnd w:id="776"/>
      <w:bookmarkEnd w:id="778"/>
    </w:p>
    <w:p>
      <w:pPr>
        <w:pStyle w:val="Style18"/>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本公司根据生产经营特点，依据相关企业会计准则的规定，制定了具体会计政策和会计估计，主要体现在附注四、（十 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金融工具减值；四、（十三）应收账款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坏账准备；四、（二十三）固定资产折旧；四、（二十七）无形资产摊销； 四、（三十五）收入的确认等。</w:t>
      </w:r>
    </w:p>
    <w:p>
      <w:pPr>
        <w:pStyle w:val="Style29"/>
        <w:keepNext/>
        <w:keepLines/>
        <w:widowControl w:val="0"/>
        <w:shd w:val="clear" w:color="auto" w:fill="auto"/>
        <w:tabs>
          <w:tab w:pos="370"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w:t>
        <w:tab/>
        <w:t>遵循企业会计准则的声明</w:t>
      </w:r>
      <w:bookmarkEnd w:id="779"/>
      <w:bookmarkEnd w:id="780"/>
      <w:bookmarkEnd w:id="782"/>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color w:val="000000"/>
          <w:spacing w:val="0"/>
          <w:w w:val="100"/>
          <w:position w:val="0"/>
        </w:rPr>
        <w:t>、</w:t>
        <w:tab/>
        <w:t>会计期间</w:t>
      </w:r>
      <w:bookmarkEnd w:id="783"/>
      <w:bookmarkEnd w:id="784"/>
      <w:bookmarkEnd w:id="786"/>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营业周期</w:t>
      </w:r>
      <w:bookmarkEnd w:id="787"/>
      <w:bookmarkEnd w:id="788"/>
      <w:bookmarkEnd w:id="790"/>
    </w:p>
    <w:p>
      <w:pPr>
        <w:pStyle w:val="Style18"/>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 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4</w:t>
      </w:r>
      <w:bookmarkEnd w:id="793"/>
      <w:r>
        <w:rPr>
          <w:color w:val="000000"/>
          <w:spacing w:val="0"/>
          <w:w w:val="100"/>
          <w:position w:val="0"/>
        </w:rPr>
        <w:t>、</w:t>
        <w:tab/>
        <w:t>记账本位币</w:t>
      </w:r>
      <w:bookmarkEnd w:id="791"/>
      <w:bookmarkEnd w:id="792"/>
      <w:bookmarkEnd w:id="794"/>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采用人民币为记账本位币。境外子公司以其经营所处的主要经济环境中的货币为记账本位币，编制财务报表时折算为人 民币。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5</w:t>
      </w:r>
      <w:bookmarkEnd w:id="797"/>
      <w:r>
        <w:rPr>
          <w:color w:val="000000"/>
          <w:spacing w:val="0"/>
          <w:w w:val="100"/>
          <w:position w:val="0"/>
        </w:rPr>
        <w:t>、</w:t>
        <w:tab/>
        <w:t>同一控制下和非同一控制下企业合并的会计处理方法</w:t>
      </w:r>
      <w:bookmarkEnd w:id="795"/>
      <w:bookmarkEnd w:id="796"/>
      <w:bookmarkEnd w:id="798"/>
    </w:p>
    <w:p>
      <w:pPr>
        <w:pStyle w:val="Style18"/>
        <w:keepNext w:val="0"/>
        <w:keepLines w:val="0"/>
        <w:widowControl w:val="0"/>
        <w:numPr>
          <w:ilvl w:val="0"/>
          <w:numId w:val="23"/>
        </w:numPr>
        <w:shd w:val="clear" w:color="auto" w:fill="auto"/>
        <w:tabs>
          <w:tab w:pos="675" w:val="left"/>
        </w:tabs>
        <w:bidi w:val="0"/>
        <w:spacing w:before="0" w:after="140" w:line="322" w:lineRule="exact"/>
        <w:ind w:left="0" w:right="0" w:firstLine="380"/>
        <w:jc w:val="both"/>
      </w:pPr>
      <w:bookmarkStart w:id="799" w:name="bookmark799"/>
      <w:bookmarkEnd w:id="799"/>
      <w:r>
        <w:rPr>
          <w:b/>
          <w:bCs/>
          <w:color w:val="000000"/>
          <w:spacing w:val="0"/>
          <w:w w:val="100"/>
          <w:position w:val="0"/>
        </w:rPr>
        <w:t>分步实现企业合并过程中的各项交易的条款、条件以及经济影响符合以下一种或多种情况，将多次交易事项作为一揽 子交易进行会计处理</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18"/>
        <w:keepNext w:val="0"/>
        <w:keepLines w:val="0"/>
        <w:widowControl w:val="0"/>
        <w:shd w:val="clear" w:color="auto" w:fill="auto"/>
        <w:tabs>
          <w:tab w:pos="825" w:val="left"/>
        </w:tabs>
        <w:bidi w:val="0"/>
        <w:spacing w:before="0" w:after="260" w:line="322" w:lineRule="exact"/>
        <w:ind w:left="0" w:right="0" w:firstLine="38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18"/>
        <w:keepNext w:val="0"/>
        <w:keepLines w:val="0"/>
        <w:widowControl w:val="0"/>
        <w:numPr>
          <w:ilvl w:val="0"/>
          <w:numId w:val="23"/>
        </w:numPr>
        <w:shd w:val="clear" w:color="auto" w:fill="auto"/>
        <w:tabs>
          <w:tab w:pos="700" w:val="left"/>
        </w:tabs>
        <w:bidi w:val="0"/>
        <w:spacing w:before="0" w:after="0" w:line="374" w:lineRule="auto"/>
        <w:ind w:left="0" w:right="0" w:firstLine="380"/>
        <w:jc w:val="both"/>
      </w:pPr>
      <w:bookmarkStart w:id="804" w:name="bookmark804"/>
      <w:bookmarkEnd w:id="804"/>
      <w:r>
        <w:rPr>
          <w:b/>
          <w:bCs/>
          <w:color w:val="000000"/>
          <w:spacing w:val="0"/>
          <w:w w:val="100"/>
          <w:position w:val="0"/>
        </w:rPr>
        <w:t>同一控制下的企业合并</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8"/>
        <w:keepNext w:val="0"/>
        <w:keepLines w:val="0"/>
        <w:widowControl w:val="0"/>
        <w:shd w:val="clear" w:color="auto" w:fill="auto"/>
        <w:bidi w:val="0"/>
        <w:spacing w:before="0" w:after="140" w:line="331" w:lineRule="exact"/>
        <w:ind w:left="0" w:right="0" w:firstLine="38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8"/>
        <w:keepNext w:val="0"/>
        <w:keepLines w:val="0"/>
        <w:widowControl w:val="0"/>
        <w:shd w:val="clear" w:color="auto" w:fill="auto"/>
        <w:bidi w:val="0"/>
        <w:spacing w:before="0" w:after="260" w:line="322" w:lineRule="exact"/>
        <w:ind w:left="0" w:right="0" w:firstLine="38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8"/>
        <w:keepNext w:val="0"/>
        <w:keepLines w:val="0"/>
        <w:widowControl w:val="0"/>
        <w:numPr>
          <w:ilvl w:val="0"/>
          <w:numId w:val="23"/>
        </w:numPr>
        <w:shd w:val="clear" w:color="auto" w:fill="auto"/>
        <w:tabs>
          <w:tab w:pos="688" w:val="left"/>
        </w:tabs>
        <w:bidi w:val="0"/>
        <w:spacing w:before="0" w:after="140" w:line="321" w:lineRule="exact"/>
        <w:ind w:left="0" w:right="0" w:firstLine="380"/>
        <w:jc w:val="both"/>
      </w:pPr>
      <w:bookmarkStart w:id="805" w:name="bookmark805"/>
      <w:bookmarkEnd w:id="805"/>
      <w:r>
        <w:rPr>
          <w:b/>
          <w:bCs/>
          <w:color w:val="000000"/>
          <w:spacing w:val="0"/>
          <w:w w:val="100"/>
          <w:position w:val="0"/>
        </w:rPr>
        <w:t>非同一控制下的企业合并</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18"/>
        <w:keepNext w:val="0"/>
        <w:keepLines w:val="0"/>
        <w:widowControl w:val="0"/>
        <w:shd w:val="clear" w:color="auto" w:fill="auto"/>
        <w:tabs>
          <w:tab w:pos="813" w:val="left"/>
        </w:tabs>
        <w:bidi w:val="0"/>
        <w:spacing w:before="0" w:after="140" w:line="321" w:lineRule="exact"/>
        <w:ind w:left="0" w:right="0" w:firstLine="38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企业合并合同或协议已获本公司内部权力机构通过。</w:t>
      </w:r>
    </w:p>
    <w:p>
      <w:pPr>
        <w:pStyle w:val="Style18"/>
        <w:keepNext w:val="0"/>
        <w:keepLines w:val="0"/>
        <w:widowControl w:val="0"/>
        <w:shd w:val="clear" w:color="auto" w:fill="auto"/>
        <w:tabs>
          <w:tab w:pos="813" w:val="left"/>
        </w:tabs>
        <w:bidi w:val="0"/>
        <w:spacing w:before="0" w:after="140" w:line="321" w:lineRule="exact"/>
        <w:ind w:left="0" w:right="0" w:firstLine="38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企业合并事项需要经过国家有关主管部门审批的，已获得批准。</w:t>
      </w:r>
    </w:p>
    <w:p>
      <w:pPr>
        <w:pStyle w:val="Style18"/>
        <w:keepNext w:val="0"/>
        <w:keepLines w:val="0"/>
        <w:widowControl w:val="0"/>
        <w:shd w:val="clear" w:color="auto" w:fill="auto"/>
        <w:tabs>
          <w:tab w:pos="813" w:val="left"/>
        </w:tabs>
        <w:bidi w:val="0"/>
        <w:spacing w:before="0" w:after="140" w:line="321" w:lineRule="exact"/>
        <w:ind w:left="0" w:right="0" w:firstLine="38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已办理了必要的财产权转移手续。</w:t>
      </w:r>
    </w:p>
    <w:p>
      <w:pPr>
        <w:pStyle w:val="Style18"/>
        <w:keepNext w:val="0"/>
        <w:keepLines w:val="0"/>
        <w:widowControl w:val="0"/>
        <w:shd w:val="clear" w:color="auto" w:fill="auto"/>
        <w:tabs>
          <w:tab w:pos="813" w:val="left"/>
        </w:tabs>
        <w:bidi w:val="0"/>
        <w:spacing w:before="0" w:after="140" w:line="321" w:lineRule="exact"/>
        <w:ind w:left="0" w:right="0" w:firstLine="3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本公司已支付了合并价款的大部分，并且有能力、有计划支付剩余款项。</w:t>
      </w:r>
    </w:p>
    <w:p>
      <w:pPr>
        <w:pStyle w:val="Style18"/>
        <w:keepNext w:val="0"/>
        <w:keepLines w:val="0"/>
        <w:widowControl w:val="0"/>
        <w:shd w:val="clear" w:color="auto" w:fill="auto"/>
        <w:tabs>
          <w:tab w:pos="813" w:val="left"/>
        </w:tabs>
        <w:bidi w:val="0"/>
        <w:spacing w:before="0" w:after="140" w:line="321" w:lineRule="exact"/>
        <w:ind w:left="0" w:right="0" w:firstLine="3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本公司实际上已经控制了被购买方的财务和经营政策，并享有相应的利益、承担相应的风险。</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8"/>
        <w:keepNext w:val="0"/>
        <w:keepLines w:val="0"/>
        <w:widowControl w:val="0"/>
        <w:shd w:val="clear" w:color="auto" w:fill="auto"/>
        <w:bidi w:val="0"/>
        <w:spacing w:before="0" w:after="140" w:line="321" w:lineRule="exact"/>
        <w:ind w:left="0" w:right="0" w:firstLine="38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8"/>
        <w:keepNext w:val="0"/>
        <w:keepLines w:val="0"/>
        <w:widowControl w:val="0"/>
        <w:numPr>
          <w:ilvl w:val="0"/>
          <w:numId w:val="23"/>
        </w:numPr>
        <w:shd w:val="clear" w:color="auto" w:fill="auto"/>
        <w:tabs>
          <w:tab w:pos="688" w:val="left"/>
        </w:tabs>
        <w:bidi w:val="0"/>
        <w:spacing w:before="0" w:after="140" w:line="321" w:lineRule="exact"/>
        <w:ind w:left="0" w:right="0" w:firstLine="380"/>
        <w:jc w:val="both"/>
      </w:pPr>
      <w:bookmarkStart w:id="811" w:name="bookmark811"/>
      <w:bookmarkEnd w:id="811"/>
      <w:r>
        <w:rPr>
          <w:b/>
          <w:bCs/>
          <w:color w:val="000000"/>
          <w:spacing w:val="0"/>
          <w:w w:val="100"/>
          <w:position w:val="0"/>
        </w:rPr>
        <w:t>为合并发生的相关费用</w:t>
      </w:r>
    </w:p>
    <w:p>
      <w:pPr>
        <w:pStyle w:val="Style18"/>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9"/>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6</w:t>
      </w:r>
      <w:bookmarkEnd w:id="814"/>
      <w:r>
        <w:rPr>
          <w:color w:val="000000"/>
          <w:spacing w:val="0"/>
          <w:w w:val="100"/>
          <w:position w:val="0"/>
        </w:rPr>
        <w:t>、合并财务报表的编制方法</w:t>
      </w:r>
      <w:bookmarkEnd w:id="812"/>
      <w:bookmarkEnd w:id="813"/>
      <w:bookmarkEnd w:id="815"/>
    </w:p>
    <w:p>
      <w:pPr>
        <w:pStyle w:val="Style18"/>
        <w:keepNext w:val="0"/>
        <w:keepLines w:val="0"/>
        <w:widowControl w:val="0"/>
        <w:numPr>
          <w:ilvl w:val="0"/>
          <w:numId w:val="25"/>
        </w:numPr>
        <w:shd w:val="clear" w:color="auto" w:fill="auto"/>
        <w:tabs>
          <w:tab w:pos="674" w:val="left"/>
        </w:tabs>
        <w:bidi w:val="0"/>
        <w:spacing w:before="0" w:after="140" w:line="321" w:lineRule="exact"/>
        <w:ind w:left="0" w:right="0" w:firstLine="380"/>
        <w:jc w:val="both"/>
      </w:pPr>
      <w:bookmarkStart w:id="816" w:name="bookmark816"/>
      <w:bookmarkEnd w:id="816"/>
      <w:r>
        <w:rPr>
          <w:b/>
          <w:bCs/>
          <w:color w:val="000000"/>
          <w:spacing w:val="0"/>
          <w:w w:val="100"/>
          <w:position w:val="0"/>
        </w:rPr>
        <w:t>合并范围</w:t>
      </w:r>
    </w:p>
    <w:p>
      <w:pPr>
        <w:pStyle w:val="Style18"/>
        <w:keepNext w:val="0"/>
        <w:keepLines w:val="0"/>
        <w:widowControl w:val="0"/>
        <w:shd w:val="clear" w:color="auto" w:fill="auto"/>
        <w:bidi w:val="0"/>
        <w:spacing w:before="0" w:after="140" w:line="321"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18"/>
        <w:keepNext w:val="0"/>
        <w:keepLines w:val="0"/>
        <w:widowControl w:val="0"/>
        <w:numPr>
          <w:ilvl w:val="0"/>
          <w:numId w:val="25"/>
        </w:numPr>
        <w:shd w:val="clear" w:color="auto" w:fill="auto"/>
        <w:tabs>
          <w:tab w:pos="688" w:val="left"/>
        </w:tabs>
        <w:bidi w:val="0"/>
        <w:spacing w:before="0" w:after="140" w:line="321" w:lineRule="exact"/>
        <w:ind w:left="0" w:right="0" w:firstLine="380"/>
        <w:jc w:val="both"/>
      </w:pPr>
      <w:bookmarkStart w:id="817" w:name="bookmark817"/>
      <w:bookmarkEnd w:id="817"/>
      <w:r>
        <w:rPr>
          <w:b/>
          <w:bCs/>
          <w:color w:val="000000"/>
          <w:spacing w:val="0"/>
          <w:w w:val="100"/>
          <w:position w:val="0"/>
        </w:rPr>
        <w:t>合并程序</w:t>
      </w:r>
    </w:p>
    <w:p>
      <w:pPr>
        <w:pStyle w:val="Style18"/>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8"/>
        <w:keepNext w:val="0"/>
        <w:keepLines w:val="0"/>
        <w:widowControl w:val="0"/>
        <w:shd w:val="clear" w:color="auto" w:fill="auto"/>
        <w:bidi w:val="0"/>
        <w:spacing w:before="0" w:after="140" w:line="288"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8"/>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 xml:space="preserve">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w:t>
      </w:r>
      <w:r>
        <w:rPr>
          <w:color w:val="000000"/>
          <w:spacing w:val="0"/>
          <w:w w:val="100"/>
          <w:position w:val="0"/>
        </w:rPr>
        <w:t>定不同时，从企业集团的角度对该交易予以调整。</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8"/>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对于非同一控制下企业合并取得的子公司，以购买日可辨认净资产公允价值为基础对其财务报表进行调整</w:t>
      </w:r>
    </w:p>
    <w:p>
      <w:pPr>
        <w:pStyle w:val="Style18"/>
        <w:keepNext w:val="0"/>
        <w:keepLines w:val="0"/>
        <w:widowControl w:val="0"/>
        <w:shd w:val="clear" w:color="auto" w:fill="auto"/>
        <w:tabs>
          <w:tab w:pos="752" w:val="left"/>
        </w:tabs>
        <w:bidi w:val="0"/>
        <w:spacing w:before="0" w:after="140" w:line="322" w:lineRule="exact"/>
        <w:ind w:left="0" w:right="0" w:firstLine="36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18"/>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8"/>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8"/>
        <w:keepNext w:val="0"/>
        <w:keepLines w:val="0"/>
        <w:widowControl w:val="0"/>
        <w:shd w:val="clear" w:color="auto" w:fill="auto"/>
        <w:tabs>
          <w:tab w:pos="772" w:val="left"/>
        </w:tabs>
        <w:bidi w:val="0"/>
        <w:spacing w:before="0" w:after="280" w:line="322" w:lineRule="exact"/>
        <w:ind w:left="0" w:right="0" w:firstLine="38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18"/>
        <w:keepNext w:val="0"/>
        <w:keepLines w:val="0"/>
        <w:widowControl w:val="0"/>
        <w:shd w:val="clear" w:color="auto" w:fill="auto"/>
        <w:tabs>
          <w:tab w:pos="676" w:val="left"/>
        </w:tabs>
        <w:bidi w:val="0"/>
        <w:spacing w:before="0" w:after="0" w:line="374" w:lineRule="auto"/>
        <w:ind w:left="0" w:right="0" w:firstLine="380"/>
        <w:jc w:val="both"/>
      </w:pPr>
      <w:bookmarkStart w:id="820" w:name="bookmark820"/>
      <w:r>
        <w:rPr>
          <w:rFonts w:ascii="Times New Roman" w:eastAsia="Times New Roman" w:hAnsi="Times New Roman" w:cs="Times New Roman"/>
          <w:color w:val="000000"/>
          <w:spacing w:val="0"/>
          <w:w w:val="100"/>
          <w:position w:val="0"/>
          <w:sz w:val="18"/>
          <w:szCs w:val="18"/>
        </w:rPr>
        <w:t>1</w:t>
      </w:r>
      <w:bookmarkEnd w:id="820"/>
      <w:r>
        <w:rPr>
          <w:color w:val="000000"/>
          <w:spacing w:val="0"/>
          <w:w w:val="100"/>
          <w:position w:val="0"/>
        </w:rPr>
        <w:t>）</w:t>
        <w:tab/>
        <w:t>一般处理方法</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8"/>
        <w:keepNext w:val="0"/>
        <w:keepLines w:val="0"/>
        <w:widowControl w:val="0"/>
        <w:shd w:val="clear" w:color="auto" w:fill="auto"/>
        <w:bidi w:val="0"/>
        <w:spacing w:before="0" w:after="280" w:line="32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8"/>
        <w:keepNext w:val="0"/>
        <w:keepLines w:val="0"/>
        <w:widowControl w:val="0"/>
        <w:shd w:val="clear" w:color="auto" w:fill="auto"/>
        <w:tabs>
          <w:tab w:pos="695" w:val="left"/>
        </w:tabs>
        <w:bidi w:val="0"/>
        <w:spacing w:before="0" w:after="0" w:line="374" w:lineRule="auto"/>
        <w:ind w:left="0" w:right="0" w:firstLine="380"/>
        <w:jc w:val="both"/>
      </w:pPr>
      <w:bookmarkStart w:id="821" w:name="bookmark821"/>
      <w:r>
        <w:rPr>
          <w:rFonts w:ascii="Times New Roman" w:eastAsia="Times New Roman" w:hAnsi="Times New Roman" w:cs="Times New Roman"/>
          <w:color w:val="000000"/>
          <w:spacing w:val="0"/>
          <w:w w:val="100"/>
          <w:position w:val="0"/>
          <w:sz w:val="18"/>
          <w:szCs w:val="18"/>
        </w:rPr>
        <w:t>2</w:t>
      </w:r>
      <w:bookmarkEnd w:id="821"/>
      <w:r>
        <w:rPr>
          <w:color w:val="000000"/>
          <w:spacing w:val="0"/>
          <w:w w:val="100"/>
          <w:position w:val="0"/>
        </w:rPr>
        <w:t>）</w:t>
        <w:tab/>
        <w:t>分步处置子公司</w:t>
      </w:r>
    </w:p>
    <w:p>
      <w:pPr>
        <w:pStyle w:val="Style18"/>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8"/>
        <w:keepNext w:val="0"/>
        <w:keepLines w:val="0"/>
        <w:widowControl w:val="0"/>
        <w:numPr>
          <w:ilvl w:val="0"/>
          <w:numId w:val="27"/>
        </w:numPr>
        <w:shd w:val="clear" w:color="auto" w:fill="auto"/>
        <w:bidi w:val="0"/>
        <w:spacing w:before="0" w:after="140" w:line="240" w:lineRule="auto"/>
        <w:ind w:left="0" w:right="0" w:firstLine="380"/>
        <w:jc w:val="both"/>
      </w:pPr>
      <w:bookmarkStart w:id="822" w:name="bookmark822"/>
      <w:bookmarkEnd w:id="822"/>
      <w:r>
        <w:rPr>
          <w:color w:val="000000"/>
          <w:spacing w:val="0"/>
          <w:w w:val="100"/>
          <w:position w:val="0"/>
        </w:rPr>
        <w:t>这些交易是同时或者在考虑了彼此影响的情况下订立的;</w:t>
      </w:r>
    </w:p>
    <w:p>
      <w:pPr>
        <w:pStyle w:val="Style18"/>
        <w:keepNext w:val="0"/>
        <w:keepLines w:val="0"/>
        <w:widowControl w:val="0"/>
        <w:numPr>
          <w:ilvl w:val="0"/>
          <w:numId w:val="27"/>
        </w:numPr>
        <w:shd w:val="clear" w:color="auto" w:fill="auto"/>
        <w:tabs>
          <w:tab w:pos="729" w:val="left"/>
        </w:tabs>
        <w:bidi w:val="0"/>
        <w:spacing w:before="0" w:after="140" w:line="322" w:lineRule="exact"/>
        <w:ind w:left="0" w:right="0" w:firstLine="380"/>
        <w:jc w:val="both"/>
      </w:pPr>
      <w:bookmarkStart w:id="823" w:name="bookmark823"/>
      <w:bookmarkEnd w:id="823"/>
      <w:r>
        <w:rPr>
          <w:color w:val="000000"/>
          <w:spacing w:val="0"/>
          <w:w w:val="100"/>
          <w:position w:val="0"/>
        </w:rPr>
        <w:t>这些交易整体才能达成一项完整的商业结果；</w:t>
      </w:r>
    </w:p>
    <w:p>
      <w:pPr>
        <w:pStyle w:val="Style18"/>
        <w:keepNext w:val="0"/>
        <w:keepLines w:val="0"/>
        <w:widowControl w:val="0"/>
        <w:numPr>
          <w:ilvl w:val="0"/>
          <w:numId w:val="27"/>
        </w:numPr>
        <w:shd w:val="clear" w:color="auto" w:fill="auto"/>
        <w:tabs>
          <w:tab w:pos="729" w:val="left"/>
        </w:tabs>
        <w:bidi w:val="0"/>
        <w:spacing w:before="0" w:after="140" w:line="322" w:lineRule="exact"/>
        <w:ind w:left="0" w:right="0" w:firstLine="380"/>
        <w:jc w:val="both"/>
      </w:pPr>
      <w:bookmarkStart w:id="824" w:name="bookmark824"/>
      <w:bookmarkEnd w:id="824"/>
      <w:r>
        <w:rPr>
          <w:color w:val="000000"/>
          <w:spacing w:val="0"/>
          <w:w w:val="100"/>
          <w:position w:val="0"/>
        </w:rPr>
        <w:t>一项交易的发生取决于其他至少一项交易的发生；</w:t>
      </w:r>
    </w:p>
    <w:p>
      <w:pPr>
        <w:pStyle w:val="Style18"/>
        <w:keepNext w:val="0"/>
        <w:keepLines w:val="0"/>
        <w:widowControl w:val="0"/>
        <w:numPr>
          <w:ilvl w:val="0"/>
          <w:numId w:val="27"/>
        </w:numPr>
        <w:shd w:val="clear" w:color="auto" w:fill="auto"/>
        <w:tabs>
          <w:tab w:pos="738" w:val="left"/>
        </w:tabs>
        <w:bidi w:val="0"/>
        <w:spacing w:before="0" w:after="140" w:line="322" w:lineRule="exact"/>
        <w:ind w:left="0" w:right="0" w:firstLine="380"/>
        <w:jc w:val="both"/>
      </w:pPr>
      <w:bookmarkStart w:id="825" w:name="bookmark825"/>
      <w:bookmarkEnd w:id="825"/>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18"/>
        <w:keepNext w:val="0"/>
        <w:keepLines w:val="0"/>
        <w:widowControl w:val="0"/>
        <w:shd w:val="clear" w:color="auto" w:fill="auto"/>
        <w:bidi w:val="0"/>
        <w:spacing w:before="0" w:after="880" w:line="319"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9"/>
        <w:keepNext/>
        <w:keepLines/>
        <w:widowControl w:val="0"/>
        <w:shd w:val="clear" w:color="auto" w:fill="auto"/>
        <w:bidi w:val="0"/>
        <w:spacing w:before="0" w:after="28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7</w:t>
      </w:r>
      <w:bookmarkEnd w:id="830"/>
      <w:r>
        <w:rPr>
          <w:color w:val="000000"/>
          <w:spacing w:val="0"/>
          <w:w w:val="100"/>
          <w:position w:val="0"/>
        </w:rPr>
        <w:t>、合营安排分类及共同经营会计处理方法</w:t>
      </w:r>
      <w:bookmarkEnd w:id="828"/>
      <w:bookmarkEnd w:id="829"/>
      <w:bookmarkEnd w:id="831"/>
    </w:p>
    <w:p>
      <w:pPr>
        <w:pStyle w:val="Style18"/>
        <w:keepNext w:val="0"/>
        <w:keepLines w:val="0"/>
        <w:widowControl w:val="0"/>
        <w:numPr>
          <w:ilvl w:val="0"/>
          <w:numId w:val="29"/>
        </w:numPr>
        <w:shd w:val="clear" w:color="auto" w:fill="auto"/>
        <w:tabs>
          <w:tab w:pos="686" w:val="left"/>
        </w:tabs>
        <w:bidi w:val="0"/>
        <w:spacing w:before="0" w:after="140" w:line="322" w:lineRule="exact"/>
        <w:ind w:left="0" w:right="0" w:firstLine="380"/>
        <w:jc w:val="both"/>
      </w:pPr>
      <w:bookmarkStart w:id="832" w:name="bookmark832"/>
      <w:bookmarkEnd w:id="832"/>
      <w:r>
        <w:rPr>
          <w:b/>
          <w:bCs/>
          <w:color w:val="000000"/>
          <w:spacing w:val="0"/>
          <w:w w:val="100"/>
          <w:position w:val="0"/>
        </w:rPr>
        <w:t>合营安排的分类</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18"/>
        <w:keepNext w:val="0"/>
        <w:keepLines w:val="0"/>
        <w:widowControl w:val="0"/>
        <w:shd w:val="clear" w:color="auto" w:fill="auto"/>
        <w:tabs>
          <w:tab w:pos="896" w:val="left"/>
        </w:tabs>
        <w:bidi w:val="0"/>
        <w:spacing w:before="0" w:after="140" w:line="331" w:lineRule="exact"/>
        <w:ind w:left="0" w:right="0" w:firstLine="38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其他相关事实和情况表明，合营方对该安排中的相关资产和负债分别享有权利和承担义务，如合营方享有与合营 安排相关的几乎所有产出，并且该安排中负债的清偿持续依赖于合营方的支持。</w:t>
      </w:r>
    </w:p>
    <w:p>
      <w:pPr>
        <w:pStyle w:val="Style18"/>
        <w:keepNext w:val="0"/>
        <w:keepLines w:val="0"/>
        <w:widowControl w:val="0"/>
        <w:numPr>
          <w:ilvl w:val="0"/>
          <w:numId w:val="29"/>
        </w:numPr>
        <w:shd w:val="clear" w:color="auto" w:fill="auto"/>
        <w:tabs>
          <w:tab w:pos="700" w:val="left"/>
        </w:tabs>
        <w:bidi w:val="0"/>
        <w:spacing w:before="0" w:after="140" w:line="322" w:lineRule="exact"/>
        <w:ind w:left="0" w:right="0" w:firstLine="380"/>
        <w:jc w:val="both"/>
      </w:pPr>
      <w:bookmarkStart w:id="836" w:name="bookmark836"/>
      <w:bookmarkEnd w:id="836"/>
      <w:r>
        <w:rPr>
          <w:b/>
          <w:bCs/>
          <w:color w:val="000000"/>
          <w:spacing w:val="0"/>
          <w:w w:val="100"/>
          <w:position w:val="0"/>
        </w:rPr>
        <w:t>共同经营会计处理方法</w:t>
      </w:r>
    </w:p>
    <w:p>
      <w:pPr>
        <w:pStyle w:val="Style18"/>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本公司确认共同经营中利益份额中与本公司相关的下列项目，并按照相关企业会计准则的规定进行会计处理：</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18"/>
        <w:keepNext w:val="0"/>
        <w:keepLines w:val="0"/>
        <w:widowControl w:val="0"/>
        <w:shd w:val="clear" w:color="auto" w:fill="auto"/>
        <w:tabs>
          <w:tab w:pos="825" w:val="left"/>
        </w:tabs>
        <w:bidi w:val="0"/>
        <w:spacing w:before="0" w:after="140" w:line="322" w:lineRule="exact"/>
        <w:ind w:left="0" w:right="0" w:firstLine="38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18"/>
        <w:keepNext w:val="0"/>
        <w:keepLines w:val="0"/>
        <w:widowControl w:val="0"/>
        <w:shd w:val="clear" w:color="auto" w:fill="auto"/>
        <w:tabs>
          <w:tab w:pos="803" w:val="left"/>
        </w:tabs>
        <w:bidi w:val="0"/>
        <w:spacing w:before="0" w:after="160" w:line="324" w:lineRule="exact"/>
        <w:ind w:left="0" w:right="0" w:firstLine="38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18"/>
        <w:keepNext w:val="0"/>
        <w:keepLines w:val="0"/>
        <w:widowControl w:val="0"/>
        <w:shd w:val="clear" w:color="auto" w:fill="auto"/>
        <w:tabs>
          <w:tab w:pos="803" w:val="left"/>
        </w:tabs>
        <w:bidi w:val="0"/>
        <w:spacing w:before="0" w:after="160" w:line="324" w:lineRule="exact"/>
        <w:ind w:left="0" w:right="0" w:firstLine="38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18"/>
        <w:keepNext w:val="0"/>
        <w:keepLines w:val="0"/>
        <w:widowControl w:val="0"/>
        <w:shd w:val="clear" w:color="auto" w:fill="auto"/>
        <w:bidi w:val="0"/>
        <w:spacing w:before="0" w:after="160" w:line="324"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18"/>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 的，本公司按承担的份额确认该部分损失。</w:t>
      </w:r>
    </w:p>
    <w:p>
      <w:pPr>
        <w:pStyle w:val="Style18"/>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9"/>
        <w:keepNext/>
        <w:keepLines/>
        <w:widowControl w:val="0"/>
        <w:shd w:val="clear" w:color="auto" w:fill="auto"/>
        <w:bidi w:val="0"/>
        <w:spacing w:before="0" w:after="32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8</w:t>
      </w:r>
      <w:bookmarkEnd w:id="844"/>
      <w:r>
        <w:rPr>
          <w:color w:val="000000"/>
          <w:spacing w:val="0"/>
          <w:w w:val="100"/>
          <w:position w:val="0"/>
        </w:rPr>
        <w:t>、现金及现金等价物的确定标准</w:t>
      </w:r>
      <w:bookmarkEnd w:id="842"/>
      <w:bookmarkEnd w:id="843"/>
      <w:bookmarkEnd w:id="845"/>
    </w:p>
    <w:p>
      <w:pPr>
        <w:pStyle w:val="Style18"/>
        <w:keepNext w:val="0"/>
        <w:keepLines w:val="0"/>
        <w:widowControl w:val="0"/>
        <w:shd w:val="clear" w:color="auto" w:fill="auto"/>
        <w:bidi w:val="0"/>
        <w:spacing w:before="0" w:after="320" w:line="226" w:lineRule="exact"/>
        <w:ind w:left="0" w:right="0" w:firstLine="38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9"/>
        <w:keepNext/>
        <w:keepLines/>
        <w:widowControl w:val="0"/>
        <w:shd w:val="clear" w:color="auto" w:fill="auto"/>
        <w:bidi w:val="0"/>
        <w:spacing w:before="0" w:after="32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9</w:t>
      </w:r>
      <w:bookmarkEnd w:id="848"/>
      <w:r>
        <w:rPr>
          <w:color w:val="000000"/>
          <w:spacing w:val="0"/>
          <w:w w:val="100"/>
          <w:position w:val="0"/>
        </w:rPr>
        <w:t>、外币业务和外币报表折算</w:t>
      </w:r>
      <w:bookmarkEnd w:id="846"/>
      <w:bookmarkEnd w:id="847"/>
      <w:bookmarkEnd w:id="849"/>
    </w:p>
    <w:p>
      <w:pPr>
        <w:pStyle w:val="Style18"/>
        <w:keepNext w:val="0"/>
        <w:keepLines w:val="0"/>
        <w:widowControl w:val="0"/>
        <w:numPr>
          <w:ilvl w:val="0"/>
          <w:numId w:val="31"/>
        </w:numPr>
        <w:shd w:val="clear" w:color="auto" w:fill="auto"/>
        <w:tabs>
          <w:tab w:pos="1690" w:val="left"/>
        </w:tabs>
        <w:bidi w:val="0"/>
        <w:spacing w:before="0" w:after="160" w:line="232" w:lineRule="exact"/>
        <w:ind w:left="1100" w:right="0" w:firstLine="0"/>
        <w:jc w:val="both"/>
      </w:pPr>
      <w:bookmarkStart w:id="850" w:name="bookmark850"/>
      <w:bookmarkEnd w:id="850"/>
      <w:r>
        <w:rPr>
          <w:b/>
          <w:bCs/>
          <w:color w:val="000000"/>
          <w:spacing w:val="0"/>
          <w:w w:val="100"/>
          <w:position w:val="0"/>
        </w:rPr>
        <w:t>外币业务</w:t>
      </w:r>
    </w:p>
    <w:p>
      <w:pPr>
        <w:pStyle w:val="Style18"/>
        <w:keepNext w:val="0"/>
        <w:keepLines w:val="0"/>
        <w:widowControl w:val="0"/>
        <w:shd w:val="clear" w:color="auto" w:fill="auto"/>
        <w:bidi w:val="0"/>
        <w:spacing w:before="0" w:after="160" w:line="232" w:lineRule="exact"/>
        <w:ind w:left="0" w:right="0" w:firstLine="380"/>
        <w:jc w:val="both"/>
      </w:pPr>
      <w:r>
        <w:rPr>
          <w:color w:val="000000"/>
          <w:spacing w:val="0"/>
          <w:w w:val="100"/>
          <w:position w:val="0"/>
        </w:rPr>
        <w:t>外币业务交易在初始确认时，采用交易发生日的即期汇率作为折算汇率折合成人民币记账。</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18"/>
        <w:keepNext w:val="0"/>
        <w:keepLines w:val="0"/>
        <w:widowControl w:val="0"/>
        <w:numPr>
          <w:ilvl w:val="0"/>
          <w:numId w:val="31"/>
        </w:numPr>
        <w:shd w:val="clear" w:color="auto" w:fill="auto"/>
        <w:tabs>
          <w:tab w:pos="1690" w:val="left"/>
        </w:tabs>
        <w:bidi w:val="0"/>
        <w:spacing w:before="0" w:after="160" w:line="232" w:lineRule="exact"/>
        <w:ind w:left="1100" w:right="0" w:firstLine="0"/>
        <w:jc w:val="both"/>
      </w:pPr>
      <w:bookmarkStart w:id="851" w:name="bookmark851"/>
      <w:bookmarkEnd w:id="851"/>
      <w:r>
        <w:rPr>
          <w:b/>
          <w:bCs/>
          <w:color w:val="000000"/>
          <w:spacing w:val="0"/>
          <w:w w:val="100"/>
          <w:position w:val="0"/>
        </w:rPr>
        <w:t>外币财务报表的折算</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18"/>
        <w:keepNext w:val="0"/>
        <w:keepLines w:val="0"/>
        <w:widowControl w:val="0"/>
        <w:shd w:val="clear" w:color="auto" w:fill="auto"/>
        <w:bidi w:val="0"/>
        <w:spacing w:before="0" w:after="320" w:line="232" w:lineRule="exact"/>
        <w:ind w:left="0" w:right="0" w:firstLine="38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9"/>
        <w:keepNext/>
        <w:keepLines/>
        <w:widowControl w:val="0"/>
        <w:shd w:val="clear" w:color="auto" w:fill="auto"/>
        <w:bidi w:val="0"/>
        <w:spacing w:before="0" w:after="32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2"/>
      <w:bookmarkEnd w:id="853"/>
      <w:bookmarkEnd w:id="855"/>
    </w:p>
    <w:p>
      <w:pPr>
        <w:pStyle w:val="Style18"/>
        <w:keepNext w:val="0"/>
        <w:keepLines w:val="0"/>
        <w:widowControl w:val="0"/>
        <w:shd w:val="clear" w:color="auto" w:fill="auto"/>
        <w:bidi w:val="0"/>
        <w:spacing w:before="0" w:after="160" w:line="239" w:lineRule="exact"/>
        <w:ind w:left="0" w:right="0" w:firstLine="380"/>
        <w:jc w:val="both"/>
      </w:pPr>
      <w:r>
        <w:rPr>
          <w:color w:val="000000"/>
          <w:spacing w:val="0"/>
          <w:w w:val="100"/>
          <w:position w:val="0"/>
        </w:rPr>
        <w:t>本公司在成为金融工具合同的一方时确认一项金融资产或金融负债。</w:t>
      </w:r>
    </w:p>
    <w:p>
      <w:pPr>
        <w:pStyle w:val="Style18"/>
        <w:keepNext w:val="0"/>
        <w:keepLines w:val="0"/>
        <w:widowControl w:val="0"/>
        <w:shd w:val="clear" w:color="auto" w:fill="auto"/>
        <w:bidi w:val="0"/>
        <w:spacing w:before="0" w:after="160" w:line="239" w:lineRule="exact"/>
        <w:ind w:left="0" w:right="0" w:firstLine="380"/>
        <w:jc w:val="both"/>
      </w:pPr>
      <w:r>
        <w:rPr>
          <w:color w:val="000000"/>
          <w:spacing w:val="0"/>
          <w:w w:val="100"/>
          <w:position w:val="0"/>
        </w:rPr>
        <w:t>实际利率法是指计算金融资产或金融负债的摊余成本以及将利息收入或利息费用分摊计入各会计期间的方法。</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8"/>
        <w:keepNext w:val="0"/>
        <w:keepLines w:val="0"/>
        <w:widowControl w:val="0"/>
        <w:shd w:val="clear" w:color="auto" w:fill="auto"/>
        <w:bidi w:val="0"/>
        <w:spacing w:before="0" w:after="160" w:line="245" w:lineRule="exact"/>
        <w:ind w:left="0" w:right="0" w:firstLine="38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numPr>
          <w:ilvl w:val="0"/>
          <w:numId w:val="33"/>
        </w:numPr>
        <w:shd w:val="clear" w:color="auto" w:fill="auto"/>
        <w:tabs>
          <w:tab w:pos="2071" w:val="left"/>
        </w:tabs>
        <w:bidi w:val="0"/>
        <w:spacing w:before="0" w:after="140" w:line="233" w:lineRule="exact"/>
        <w:ind w:left="1620" w:right="0" w:firstLine="0"/>
        <w:jc w:val="both"/>
        <w:rPr>
          <w:sz w:val="17"/>
          <w:szCs w:val="17"/>
        </w:rPr>
      </w:pPr>
      <w:bookmarkStart w:id="856" w:name="bookmark856"/>
      <w:bookmarkStart w:id="857" w:name="bookmark857"/>
      <w:bookmarkStart w:id="858" w:name="bookmark858"/>
      <w:bookmarkStart w:id="859" w:name="bookmark859"/>
      <w:bookmarkEnd w:id="858"/>
      <w:r>
        <w:rPr>
          <w:color w:val="000000"/>
          <w:spacing w:val="0"/>
          <w:w w:val="100"/>
          <w:position w:val="0"/>
          <w:sz w:val="17"/>
          <w:szCs w:val="17"/>
        </w:rPr>
        <w:t>金融资产的分类、确认和计量</w:t>
      </w:r>
      <w:bookmarkEnd w:id="856"/>
      <w:bookmarkEnd w:id="857"/>
      <w:bookmarkEnd w:id="859"/>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8"/>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8"/>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以摊余成本计量的金融资产包括货币资金、应收票据、应收账款、其他应收款、长期应收款等。</w:t>
      </w:r>
    </w:p>
    <w:p>
      <w:pPr>
        <w:pStyle w:val="Style18"/>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8"/>
        <w:keepNext w:val="0"/>
        <w:keepLines w:val="0"/>
        <w:widowControl w:val="0"/>
        <w:shd w:val="clear" w:color="auto" w:fill="auto"/>
        <w:bidi w:val="0"/>
        <w:spacing w:before="0" w:after="140" w:line="235" w:lineRule="exact"/>
        <w:ind w:left="0" w:right="0" w:firstLine="360"/>
        <w:jc w:val="both"/>
      </w:pPr>
      <w:bookmarkStart w:id="864" w:name="bookmark864"/>
      <w:r>
        <w:rPr>
          <w:rFonts w:ascii="Times New Roman" w:eastAsia="Times New Roman" w:hAnsi="Times New Roman" w:cs="Times New Roman"/>
          <w:color w:val="000000"/>
          <w:spacing w:val="0"/>
          <w:w w:val="100"/>
          <w:position w:val="0"/>
          <w:sz w:val="18"/>
          <w:szCs w:val="18"/>
        </w:rPr>
        <w:t>1</w:t>
      </w:r>
      <w:bookmarkEnd w:id="864"/>
      <w:r>
        <w:rPr>
          <w:color w:val="000000"/>
          <w:spacing w:val="0"/>
          <w:w w:val="100"/>
          <w:position w:val="0"/>
        </w:rPr>
        <w:t>） 对于购入或源生的已发生信用减值的金融资产，本公司自初始确认起，按照该金融资产的摊余成本和经信用调整的 实际利率计算确定其利息收入。</w:t>
      </w:r>
    </w:p>
    <w:p>
      <w:pPr>
        <w:pStyle w:val="Style18"/>
        <w:keepNext w:val="0"/>
        <w:keepLines w:val="0"/>
        <w:widowControl w:val="0"/>
        <w:shd w:val="clear" w:color="auto" w:fill="auto"/>
        <w:tabs>
          <w:tab w:pos="715" w:val="left"/>
        </w:tabs>
        <w:bidi w:val="0"/>
        <w:spacing w:before="0" w:after="140" w:line="238" w:lineRule="exact"/>
        <w:ind w:left="0" w:right="0" w:firstLine="360"/>
        <w:jc w:val="both"/>
      </w:pPr>
      <w:bookmarkStart w:id="865" w:name="bookmark865"/>
      <w:r>
        <w:rPr>
          <w:rFonts w:ascii="Times New Roman" w:eastAsia="Times New Roman" w:hAnsi="Times New Roman" w:cs="Times New Roman"/>
          <w:color w:val="000000"/>
          <w:spacing w:val="0"/>
          <w:w w:val="100"/>
          <w:position w:val="0"/>
          <w:sz w:val="18"/>
          <w:szCs w:val="18"/>
        </w:rPr>
        <w:t>2</w:t>
      </w:r>
      <w:bookmarkEnd w:id="865"/>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18"/>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8"/>
        <w:keepNext w:val="0"/>
        <w:keepLines w:val="0"/>
        <w:widowControl w:val="0"/>
        <w:shd w:val="clear" w:color="auto" w:fill="auto"/>
        <w:bidi w:val="0"/>
        <w:spacing w:before="0" w:after="140" w:line="234"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8"/>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18"/>
        <w:keepNext w:val="0"/>
        <w:keepLines w:val="0"/>
        <w:widowControl w:val="0"/>
        <w:shd w:val="clear" w:color="auto" w:fill="auto"/>
        <w:tabs>
          <w:tab w:pos="778" w:val="left"/>
        </w:tabs>
        <w:bidi w:val="0"/>
        <w:spacing w:before="0" w:after="140" w:line="233" w:lineRule="exact"/>
        <w:ind w:left="0" w:right="0" w:firstLine="36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18"/>
        <w:keepNext w:val="0"/>
        <w:keepLines w:val="0"/>
        <w:widowControl w:val="0"/>
        <w:shd w:val="clear" w:color="auto" w:fill="auto"/>
        <w:bidi w:val="0"/>
        <w:spacing w:before="0" w:after="160" w:line="233" w:lineRule="exact"/>
        <w:ind w:left="0" w:right="0" w:firstLine="360"/>
        <w:jc w:val="both"/>
      </w:pPr>
      <w:r>
        <w:rPr>
          <w:color w:val="000000"/>
          <w:spacing w:val="0"/>
          <w:w w:val="100"/>
          <w:position w:val="0"/>
        </w:rPr>
        <w:t xml:space="preserve">不符合分类为以摊余成本计量或以公允价值计量且其变动计入其他综合收益的金融资产条件、亦不指定为以公允价值计 </w:t>
      </w:r>
      <w:r>
        <w:rPr>
          <w:color w:val="000000"/>
          <w:spacing w:val="0"/>
          <w:w w:val="100"/>
          <w:position w:val="0"/>
        </w:rPr>
        <w:t>量且其变动计入其他综合收益的金融资产均分类为以公允价值计量且其变动计入当期损益的金融资产。</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8"/>
        <w:keepNext w:val="0"/>
        <w:keepLines w:val="0"/>
        <w:widowControl w:val="0"/>
        <w:shd w:val="clear" w:color="auto" w:fill="auto"/>
        <w:bidi w:val="0"/>
        <w:spacing w:before="0" w:after="160" w:line="232"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shd w:val="clear" w:color="auto" w:fill="auto"/>
        <w:bidi w:val="0"/>
        <w:spacing w:before="0" w:after="160" w:line="232" w:lineRule="exact"/>
        <w:ind w:left="0" w:right="0" w:firstLine="38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）指定为以公允价值计量且其变动计入当期损益的金融资产</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8"/>
        <w:keepNext w:val="0"/>
        <w:keepLines w:val="0"/>
        <w:widowControl w:val="0"/>
        <w:shd w:val="clear" w:color="auto" w:fill="auto"/>
        <w:bidi w:val="0"/>
        <w:spacing w:before="0" w:after="200" w:line="230" w:lineRule="exact"/>
        <w:ind w:left="0" w:right="0" w:firstLine="38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8"/>
        <w:keepNext w:val="0"/>
        <w:keepLines w:val="0"/>
        <w:widowControl w:val="0"/>
        <w:shd w:val="clear" w:color="auto" w:fill="auto"/>
        <w:tabs>
          <w:tab w:pos="727" w:val="left"/>
        </w:tabs>
        <w:bidi w:val="0"/>
        <w:spacing w:before="0" w:after="160" w:line="269" w:lineRule="auto"/>
        <w:ind w:left="0" w:right="0" w:firstLine="380"/>
        <w:jc w:val="both"/>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w:t>
        <w:tab/>
        <w:t>嵌入衍生工具不会对混合合同的现金流量产生重大改变。</w:t>
      </w:r>
    </w:p>
    <w:p>
      <w:pPr>
        <w:pStyle w:val="Style18"/>
        <w:keepNext w:val="0"/>
        <w:keepLines w:val="0"/>
        <w:widowControl w:val="0"/>
        <w:shd w:val="clear" w:color="auto" w:fill="auto"/>
        <w:tabs>
          <w:tab w:pos="702" w:val="left"/>
        </w:tabs>
        <w:bidi w:val="0"/>
        <w:spacing w:before="0" w:after="160" w:line="245" w:lineRule="exact"/>
        <w:ind w:left="0" w:right="0" w:firstLine="380"/>
        <w:jc w:val="both"/>
      </w:pPr>
      <w:bookmarkStart w:id="871" w:name="bookmark871"/>
      <w:r>
        <w:rPr>
          <w:rFonts w:ascii="Times New Roman" w:eastAsia="Times New Roman" w:hAnsi="Times New Roman" w:cs="Times New Roman"/>
          <w:color w:val="000000"/>
          <w:spacing w:val="0"/>
          <w:w w:val="100"/>
          <w:position w:val="0"/>
          <w:sz w:val="18"/>
          <w:szCs w:val="18"/>
        </w:rPr>
        <w:t>2</w:t>
      </w:r>
      <w:bookmarkEnd w:id="871"/>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18"/>
        <w:keepNext w:val="0"/>
        <w:keepLines w:val="0"/>
        <w:widowControl w:val="0"/>
        <w:shd w:val="clear" w:color="auto" w:fill="auto"/>
        <w:bidi w:val="0"/>
        <w:spacing w:before="0" w:after="200" w:line="240"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8"/>
        <w:keepNext w:val="0"/>
        <w:keepLines w:val="0"/>
        <w:widowControl w:val="0"/>
        <w:shd w:val="clear" w:color="auto" w:fill="auto"/>
        <w:bidi w:val="0"/>
        <w:spacing w:before="0" w:after="200" w:line="232" w:lineRule="exact"/>
        <w:ind w:left="0" w:right="0" w:firstLine="380"/>
        <w:jc w:val="both"/>
        <w:rPr>
          <w:sz w:val="20"/>
          <w:szCs w:val="20"/>
        </w:rPr>
      </w:pPr>
      <w:r>
        <w:rPr>
          <w:color w:val="000000"/>
          <w:spacing w:val="0"/>
          <w:w w:val="100"/>
          <w:position w:val="0"/>
          <w:sz w:val="17"/>
          <w:szCs w:val="17"/>
        </w:rPr>
        <w:t>本公司对此类金融资产根据其流动性在交易性金融资产、其他非流动金融资</w:t>
      </w:r>
      <w:r>
        <w:rPr>
          <w:color w:val="000000"/>
          <w:spacing w:val="0"/>
          <w:w w:val="100"/>
          <w:position w:val="0"/>
          <w:sz w:val="20"/>
          <w:szCs w:val="20"/>
        </w:rPr>
        <w:t>产项目列报。</w:t>
      </w:r>
    </w:p>
    <w:p>
      <w:pPr>
        <w:pStyle w:val="Style40"/>
        <w:keepNext/>
        <w:keepLines/>
        <w:widowControl w:val="0"/>
        <w:numPr>
          <w:ilvl w:val="0"/>
          <w:numId w:val="33"/>
        </w:numPr>
        <w:shd w:val="clear" w:color="auto" w:fill="auto"/>
        <w:bidi w:val="0"/>
        <w:spacing w:before="0" w:after="160" w:line="269" w:lineRule="auto"/>
        <w:ind w:left="0" w:right="0" w:firstLine="380"/>
        <w:jc w:val="both"/>
        <w:rPr>
          <w:sz w:val="17"/>
          <w:szCs w:val="17"/>
        </w:rPr>
      </w:pPr>
      <w:bookmarkStart w:id="872" w:name="bookmark872"/>
      <w:bookmarkStart w:id="873" w:name="bookmark873"/>
      <w:bookmarkStart w:id="874" w:name="bookmark874"/>
      <w:bookmarkStart w:id="875" w:name="bookmark875"/>
      <w:bookmarkEnd w:id="874"/>
      <w:r>
        <w:rPr>
          <w:color w:val="000000"/>
          <w:spacing w:val="0"/>
          <w:w w:val="100"/>
          <w:position w:val="0"/>
          <w:sz w:val="17"/>
          <w:szCs w:val="17"/>
        </w:rPr>
        <w:t>金融负债的分类、确认和计量</w:t>
      </w:r>
      <w:bookmarkEnd w:id="872"/>
      <w:bookmarkEnd w:id="873"/>
      <w:bookmarkEnd w:id="875"/>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8"/>
        <w:keepNext w:val="0"/>
        <w:keepLines w:val="0"/>
        <w:widowControl w:val="0"/>
        <w:shd w:val="clear" w:color="auto" w:fill="auto"/>
        <w:bidi w:val="0"/>
        <w:spacing w:before="0" w:after="160" w:line="232" w:lineRule="exact"/>
        <w:ind w:left="0" w:right="0" w:firstLine="380"/>
        <w:jc w:val="both"/>
      </w:pPr>
      <w:r>
        <w:rPr>
          <w:color w:val="000000"/>
          <w:spacing w:val="0"/>
          <w:w w:val="100"/>
          <w:position w:val="0"/>
        </w:rPr>
        <w:t>金融负债的后续计量取决于其分类：</w:t>
      </w:r>
    </w:p>
    <w:p>
      <w:pPr>
        <w:pStyle w:val="Style18"/>
        <w:keepNext w:val="0"/>
        <w:keepLines w:val="0"/>
        <w:widowControl w:val="0"/>
        <w:shd w:val="clear" w:color="auto" w:fill="auto"/>
        <w:tabs>
          <w:tab w:pos="823" w:val="left"/>
        </w:tabs>
        <w:bidi w:val="0"/>
        <w:spacing w:before="0" w:after="160" w:line="232" w:lineRule="exact"/>
        <w:ind w:left="0" w:right="0" w:firstLine="38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8"/>
        <w:keepNext w:val="0"/>
        <w:keepLines w:val="0"/>
        <w:widowControl w:val="0"/>
        <w:shd w:val="clear" w:color="auto" w:fill="auto"/>
        <w:bidi w:val="0"/>
        <w:spacing w:before="0" w:after="160" w:line="232" w:lineRule="exact"/>
        <w:ind w:left="0" w:right="0" w:firstLine="38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18"/>
        <w:keepNext w:val="0"/>
        <w:keepLines w:val="0"/>
        <w:widowControl w:val="0"/>
        <w:shd w:val="clear" w:color="auto" w:fill="auto"/>
        <w:bidi w:val="0"/>
        <w:spacing w:before="0" w:after="200" w:line="216" w:lineRule="exact"/>
        <w:ind w:left="0" w:right="0" w:firstLine="38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8"/>
        <w:keepNext w:val="0"/>
        <w:keepLines w:val="0"/>
        <w:widowControl w:val="0"/>
        <w:shd w:val="clear" w:color="auto" w:fill="auto"/>
        <w:tabs>
          <w:tab w:pos="727" w:val="left"/>
        </w:tabs>
        <w:bidi w:val="0"/>
        <w:spacing w:before="0" w:after="160" w:line="269" w:lineRule="auto"/>
        <w:ind w:left="0" w:right="0" w:firstLine="380"/>
        <w:jc w:val="both"/>
      </w:pPr>
      <w:bookmarkStart w:id="877" w:name="bookmark877"/>
      <w:r>
        <w:rPr>
          <w:rFonts w:ascii="Times New Roman" w:eastAsia="Times New Roman" w:hAnsi="Times New Roman" w:cs="Times New Roman"/>
          <w:color w:val="000000"/>
          <w:spacing w:val="0"/>
          <w:w w:val="100"/>
          <w:position w:val="0"/>
          <w:sz w:val="18"/>
          <w:szCs w:val="18"/>
        </w:rPr>
        <w:t>1</w:t>
      </w:r>
      <w:bookmarkEnd w:id="877"/>
      <w:r>
        <w:rPr>
          <w:color w:val="000000"/>
          <w:spacing w:val="0"/>
          <w:w w:val="100"/>
          <w:position w:val="0"/>
        </w:rPr>
        <w:t>）</w:t>
        <w:tab/>
        <w:t>能够消除或显著减少会计错配。</w:t>
      </w:r>
    </w:p>
    <w:p>
      <w:pPr>
        <w:pStyle w:val="Style18"/>
        <w:keepNext w:val="0"/>
        <w:keepLines w:val="0"/>
        <w:widowControl w:val="0"/>
        <w:shd w:val="clear" w:color="auto" w:fill="auto"/>
        <w:tabs>
          <w:tab w:pos="716" w:val="left"/>
        </w:tabs>
        <w:bidi w:val="0"/>
        <w:spacing w:before="0" w:after="160" w:line="235" w:lineRule="exact"/>
        <w:ind w:left="0" w:right="0" w:firstLine="380"/>
        <w:jc w:val="both"/>
      </w:pPr>
      <w:bookmarkStart w:id="878" w:name="bookmark878"/>
      <w:r>
        <w:rPr>
          <w:rFonts w:ascii="Times New Roman" w:eastAsia="Times New Roman" w:hAnsi="Times New Roman" w:cs="Times New Roman"/>
          <w:color w:val="000000"/>
          <w:spacing w:val="0"/>
          <w:w w:val="100"/>
          <w:position w:val="0"/>
          <w:sz w:val="18"/>
          <w:szCs w:val="18"/>
        </w:rPr>
        <w:t>2</w:t>
      </w:r>
      <w:bookmarkEnd w:id="878"/>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8"/>
        <w:keepNext w:val="0"/>
        <w:keepLines w:val="0"/>
        <w:widowControl w:val="0"/>
        <w:shd w:val="clear" w:color="auto" w:fill="auto"/>
        <w:tabs>
          <w:tab w:pos="823" w:val="left"/>
        </w:tabs>
        <w:bidi w:val="0"/>
        <w:spacing w:before="0" w:after="160" w:line="232" w:lineRule="exact"/>
        <w:ind w:left="0" w:right="0" w:firstLine="38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18"/>
        <w:keepNext w:val="0"/>
        <w:keepLines w:val="0"/>
        <w:widowControl w:val="0"/>
        <w:shd w:val="clear" w:color="auto" w:fill="auto"/>
        <w:bidi w:val="0"/>
        <w:spacing w:before="0" w:after="200" w:line="230" w:lineRule="exact"/>
        <w:ind w:left="0" w:right="0" w:firstLine="38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8"/>
        <w:keepNext w:val="0"/>
        <w:keepLines w:val="0"/>
        <w:widowControl w:val="0"/>
        <w:shd w:val="clear" w:color="auto" w:fill="auto"/>
        <w:tabs>
          <w:tab w:pos="727" w:val="left"/>
        </w:tabs>
        <w:bidi w:val="0"/>
        <w:spacing w:before="0" w:after="160" w:line="269" w:lineRule="auto"/>
        <w:ind w:left="0" w:right="0" w:firstLine="380"/>
        <w:jc w:val="both"/>
      </w:pPr>
      <w:bookmarkStart w:id="880" w:name="bookmark880"/>
      <w:r>
        <w:rPr>
          <w:rFonts w:ascii="Times New Roman" w:eastAsia="Times New Roman" w:hAnsi="Times New Roman" w:cs="Times New Roman"/>
          <w:color w:val="000000"/>
          <w:spacing w:val="0"/>
          <w:w w:val="100"/>
          <w:position w:val="0"/>
          <w:sz w:val="18"/>
          <w:szCs w:val="18"/>
        </w:rPr>
        <w:t>1</w:t>
      </w:r>
      <w:bookmarkEnd w:id="880"/>
      <w:r>
        <w:rPr>
          <w:color w:val="000000"/>
          <w:spacing w:val="0"/>
          <w:w w:val="100"/>
          <w:position w:val="0"/>
        </w:rPr>
        <w:t>）</w:t>
        <w:tab/>
        <w:t>以公允价值计量且其变动计入当期损益的金融负债。</w:t>
      </w:r>
    </w:p>
    <w:p>
      <w:pPr>
        <w:pStyle w:val="Style18"/>
        <w:keepNext w:val="0"/>
        <w:keepLines w:val="0"/>
        <w:widowControl w:val="0"/>
        <w:shd w:val="clear" w:color="auto" w:fill="auto"/>
        <w:tabs>
          <w:tab w:pos="746" w:val="left"/>
        </w:tabs>
        <w:bidi w:val="0"/>
        <w:spacing w:before="0" w:after="160" w:line="269" w:lineRule="auto"/>
        <w:ind w:left="0" w:right="0" w:firstLine="380"/>
        <w:jc w:val="both"/>
      </w:pPr>
      <w:bookmarkStart w:id="881" w:name="bookmark881"/>
      <w:r>
        <w:rPr>
          <w:rFonts w:ascii="Times New Roman" w:eastAsia="Times New Roman" w:hAnsi="Times New Roman" w:cs="Times New Roman"/>
          <w:color w:val="000000"/>
          <w:spacing w:val="0"/>
          <w:w w:val="100"/>
          <w:position w:val="0"/>
          <w:sz w:val="18"/>
          <w:szCs w:val="18"/>
        </w:rPr>
        <w:t>2</w:t>
      </w:r>
      <w:bookmarkEnd w:id="881"/>
      <w:r>
        <w:rPr>
          <w:color w:val="000000"/>
          <w:spacing w:val="0"/>
          <w:w w:val="100"/>
          <w:position w:val="0"/>
        </w:rPr>
        <w:t>）</w:t>
        <w:tab/>
        <w:t>金融资产转移不符合终止确认条件或继续涉入被转移金融资产所形成的金融负债。</w:t>
      </w:r>
    </w:p>
    <w:p>
      <w:pPr>
        <w:pStyle w:val="Style18"/>
        <w:keepNext w:val="0"/>
        <w:keepLines w:val="0"/>
        <w:widowControl w:val="0"/>
        <w:shd w:val="clear" w:color="auto" w:fill="auto"/>
        <w:bidi w:val="0"/>
        <w:spacing w:before="0" w:after="140" w:line="235" w:lineRule="exact"/>
        <w:ind w:left="0" w:right="0" w:firstLine="380"/>
        <w:jc w:val="both"/>
      </w:pPr>
      <w:bookmarkStart w:id="882" w:name="bookmark882"/>
      <w:r>
        <w:rPr>
          <w:rFonts w:ascii="Times New Roman" w:eastAsia="Times New Roman" w:hAnsi="Times New Roman" w:cs="Times New Roman"/>
          <w:color w:val="000000"/>
          <w:spacing w:val="0"/>
          <w:w w:val="100"/>
          <w:position w:val="0"/>
          <w:sz w:val="18"/>
          <w:szCs w:val="18"/>
        </w:rPr>
        <w:t>3</w:t>
      </w:r>
      <w:bookmarkEnd w:id="882"/>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40"/>
        <w:keepNext/>
        <w:keepLines/>
        <w:widowControl w:val="0"/>
        <w:numPr>
          <w:ilvl w:val="0"/>
          <w:numId w:val="33"/>
        </w:numPr>
        <w:shd w:val="clear" w:color="auto" w:fill="auto"/>
        <w:tabs>
          <w:tab w:pos="700" w:val="left"/>
        </w:tabs>
        <w:bidi w:val="0"/>
        <w:spacing w:before="0" w:after="140" w:line="276" w:lineRule="auto"/>
        <w:ind w:left="0" w:right="0" w:firstLine="380"/>
        <w:jc w:val="both"/>
        <w:rPr>
          <w:sz w:val="17"/>
          <w:szCs w:val="17"/>
        </w:rPr>
      </w:pPr>
      <w:bookmarkStart w:id="883" w:name="bookmark883"/>
      <w:bookmarkStart w:id="884" w:name="bookmark884"/>
      <w:bookmarkStart w:id="885" w:name="bookmark885"/>
      <w:bookmarkStart w:id="886" w:name="bookmark886"/>
      <w:bookmarkEnd w:id="885"/>
      <w:r>
        <w:rPr>
          <w:color w:val="000000"/>
          <w:spacing w:val="0"/>
          <w:w w:val="100"/>
          <w:position w:val="0"/>
          <w:sz w:val="17"/>
          <w:szCs w:val="17"/>
        </w:rPr>
        <w:t>金融资产和金融负债的终止确认</w:t>
      </w:r>
      <w:bookmarkEnd w:id="883"/>
      <w:bookmarkEnd w:id="884"/>
      <w:bookmarkEnd w:id="886"/>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18"/>
        <w:keepNext w:val="0"/>
        <w:keepLines w:val="0"/>
        <w:widowControl w:val="0"/>
        <w:shd w:val="clear" w:color="auto" w:fill="auto"/>
        <w:tabs>
          <w:tab w:pos="729" w:val="left"/>
        </w:tabs>
        <w:bidi w:val="0"/>
        <w:spacing w:before="0" w:after="140" w:line="235" w:lineRule="exact"/>
        <w:ind w:left="0" w:right="0" w:firstLine="380"/>
        <w:jc w:val="both"/>
      </w:pPr>
      <w:bookmarkStart w:id="888" w:name="bookmark888"/>
      <w:r>
        <w:rPr>
          <w:rFonts w:ascii="Times New Roman" w:eastAsia="Times New Roman" w:hAnsi="Times New Roman" w:cs="Times New Roman"/>
          <w:color w:val="000000"/>
          <w:spacing w:val="0"/>
          <w:w w:val="100"/>
          <w:position w:val="0"/>
          <w:sz w:val="18"/>
          <w:szCs w:val="18"/>
        </w:rPr>
        <w:t>1</w:t>
      </w:r>
      <w:bookmarkEnd w:id="888"/>
      <w:r>
        <w:rPr>
          <w:color w:val="000000"/>
          <w:spacing w:val="0"/>
          <w:w w:val="100"/>
          <w:position w:val="0"/>
        </w:rPr>
        <w:t>）</w:t>
        <w:tab/>
        <w:t>收取该金融资产现金流量的合同权利终止。</w:t>
      </w:r>
    </w:p>
    <w:p>
      <w:pPr>
        <w:pStyle w:val="Style18"/>
        <w:keepNext w:val="0"/>
        <w:keepLines w:val="0"/>
        <w:widowControl w:val="0"/>
        <w:shd w:val="clear" w:color="auto" w:fill="auto"/>
        <w:tabs>
          <w:tab w:pos="748" w:val="left"/>
        </w:tabs>
        <w:bidi w:val="0"/>
        <w:spacing w:before="0" w:after="140" w:line="235" w:lineRule="exact"/>
        <w:ind w:left="0" w:right="0" w:firstLine="380"/>
        <w:jc w:val="both"/>
      </w:pPr>
      <w:bookmarkStart w:id="889" w:name="bookmark889"/>
      <w:r>
        <w:rPr>
          <w:rFonts w:ascii="Times New Roman" w:eastAsia="Times New Roman" w:hAnsi="Times New Roman" w:cs="Times New Roman"/>
          <w:color w:val="000000"/>
          <w:spacing w:val="0"/>
          <w:w w:val="100"/>
          <w:position w:val="0"/>
          <w:sz w:val="18"/>
          <w:szCs w:val="18"/>
        </w:rPr>
        <w:t>2</w:t>
      </w:r>
      <w:bookmarkEnd w:id="889"/>
      <w:r>
        <w:rPr>
          <w:color w:val="000000"/>
          <w:spacing w:val="0"/>
          <w:w w:val="100"/>
          <w:position w:val="0"/>
        </w:rPr>
        <w:t>）</w:t>
        <w:tab/>
        <w:t>该金融资产已转移，且该转移满足金融资产终止确认的规定。</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金融负债（或其一部分）的现时义务已经解除的，则终止确认该金融负债（或该部分金融负债）。</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40"/>
        <w:keepNext/>
        <w:keepLines/>
        <w:widowControl w:val="0"/>
        <w:numPr>
          <w:ilvl w:val="0"/>
          <w:numId w:val="33"/>
        </w:numPr>
        <w:shd w:val="clear" w:color="auto" w:fill="auto"/>
        <w:tabs>
          <w:tab w:pos="700" w:val="left"/>
        </w:tabs>
        <w:bidi w:val="0"/>
        <w:spacing w:before="0" w:after="140" w:line="276" w:lineRule="auto"/>
        <w:ind w:left="0" w:right="0" w:firstLine="380"/>
        <w:jc w:val="both"/>
        <w:rPr>
          <w:sz w:val="17"/>
          <w:szCs w:val="17"/>
        </w:rPr>
      </w:pPr>
      <w:bookmarkStart w:id="891" w:name="bookmark891"/>
      <w:bookmarkStart w:id="892" w:name="bookmark892"/>
      <w:bookmarkStart w:id="893" w:name="bookmark893"/>
      <w:bookmarkStart w:id="894" w:name="bookmark894"/>
      <w:bookmarkEnd w:id="893"/>
      <w:r>
        <w:rPr>
          <w:color w:val="000000"/>
          <w:spacing w:val="0"/>
          <w:w w:val="100"/>
          <w:position w:val="0"/>
          <w:sz w:val="17"/>
          <w:szCs w:val="17"/>
        </w:rPr>
        <w:t>金融资产转移的确认依据和计量方法</w:t>
      </w:r>
      <w:bookmarkEnd w:id="891"/>
      <w:bookmarkEnd w:id="892"/>
      <w:bookmarkEnd w:id="894"/>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本公司在发生金融资产转移时，评估其保留金融资产所有权上的风险和报酬的程度，并分别下列情形处理：</w:t>
      </w:r>
    </w:p>
    <w:p>
      <w:pPr>
        <w:pStyle w:val="Style18"/>
        <w:keepNext w:val="0"/>
        <w:keepLines w:val="0"/>
        <w:widowControl w:val="0"/>
        <w:shd w:val="clear" w:color="auto" w:fill="auto"/>
        <w:tabs>
          <w:tab w:pos="896" w:val="left"/>
        </w:tabs>
        <w:bidi w:val="0"/>
        <w:spacing w:before="0" w:after="140" w:line="230" w:lineRule="exact"/>
        <w:ind w:left="0" w:right="0" w:firstLine="38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18"/>
        <w:keepNext w:val="0"/>
        <w:keepLines w:val="0"/>
        <w:widowControl w:val="0"/>
        <w:shd w:val="clear" w:color="auto" w:fill="auto"/>
        <w:tabs>
          <w:tab w:pos="901" w:val="left"/>
        </w:tabs>
        <w:bidi w:val="0"/>
        <w:spacing w:before="0" w:after="140" w:line="245" w:lineRule="exact"/>
        <w:ind w:left="0" w:right="0" w:firstLine="38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18"/>
        <w:keepNext w:val="0"/>
        <w:keepLines w:val="0"/>
        <w:widowControl w:val="0"/>
        <w:shd w:val="clear" w:color="auto" w:fill="auto"/>
        <w:tabs>
          <w:tab w:pos="729" w:val="left"/>
        </w:tabs>
        <w:bidi w:val="0"/>
        <w:spacing w:before="0" w:after="140" w:line="235" w:lineRule="exact"/>
        <w:ind w:left="0" w:right="0" w:firstLine="380"/>
        <w:jc w:val="both"/>
      </w:pPr>
      <w:bookmarkStart w:id="898" w:name="bookmark898"/>
      <w:r>
        <w:rPr>
          <w:rFonts w:ascii="Times New Roman" w:eastAsia="Times New Roman" w:hAnsi="Times New Roman" w:cs="Times New Roman"/>
          <w:color w:val="000000"/>
          <w:spacing w:val="0"/>
          <w:w w:val="100"/>
          <w:position w:val="0"/>
          <w:sz w:val="18"/>
          <w:szCs w:val="18"/>
        </w:rPr>
        <w:t>1</w:t>
      </w:r>
      <w:bookmarkEnd w:id="898"/>
      <w:r>
        <w:rPr>
          <w:color w:val="000000"/>
          <w:spacing w:val="0"/>
          <w:w w:val="100"/>
          <w:position w:val="0"/>
        </w:rPr>
        <w:t>）</w:t>
        <w:tab/>
        <w:t>未保留对该金融资产控制的，则终止确认该金融资产，并将转移中产生或保留的权利和义务单独确认为资产或负债。</w:t>
      </w:r>
    </w:p>
    <w:p>
      <w:pPr>
        <w:pStyle w:val="Style18"/>
        <w:keepNext w:val="0"/>
        <w:keepLines w:val="0"/>
        <w:widowControl w:val="0"/>
        <w:shd w:val="clear" w:color="auto" w:fill="auto"/>
        <w:tabs>
          <w:tab w:pos="718" w:val="left"/>
        </w:tabs>
        <w:bidi w:val="0"/>
        <w:spacing w:before="0" w:after="140" w:line="240" w:lineRule="exact"/>
        <w:ind w:left="0" w:right="0" w:firstLine="380"/>
        <w:jc w:val="both"/>
      </w:pPr>
      <w:bookmarkStart w:id="899" w:name="bookmark899"/>
      <w:r>
        <w:rPr>
          <w:rFonts w:ascii="Times New Roman" w:eastAsia="Times New Roman" w:hAnsi="Times New Roman" w:cs="Times New Roman"/>
          <w:color w:val="000000"/>
          <w:spacing w:val="0"/>
          <w:w w:val="100"/>
          <w:position w:val="0"/>
          <w:sz w:val="18"/>
          <w:szCs w:val="18"/>
        </w:rPr>
        <w:t>2</w:t>
      </w:r>
      <w:bookmarkEnd w:id="899"/>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8"/>
        <w:keepNext w:val="0"/>
        <w:keepLines w:val="0"/>
        <w:widowControl w:val="0"/>
        <w:shd w:val="clear" w:color="auto" w:fill="auto"/>
        <w:tabs>
          <w:tab w:pos="820" w:val="left"/>
        </w:tabs>
        <w:bidi w:val="0"/>
        <w:spacing w:before="0" w:after="140" w:line="235" w:lineRule="exact"/>
        <w:ind w:left="0" w:right="0" w:firstLine="3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18"/>
        <w:keepNext w:val="0"/>
        <w:keepLines w:val="0"/>
        <w:widowControl w:val="0"/>
        <w:shd w:val="clear" w:color="auto" w:fill="auto"/>
        <w:tabs>
          <w:tab w:pos="729" w:val="left"/>
        </w:tabs>
        <w:bidi w:val="0"/>
        <w:spacing w:before="0" w:after="140" w:line="235" w:lineRule="exact"/>
        <w:ind w:left="0" w:right="0" w:firstLine="380"/>
        <w:jc w:val="both"/>
      </w:pPr>
      <w:bookmarkStart w:id="901" w:name="bookmark901"/>
      <w:r>
        <w:rPr>
          <w:rFonts w:ascii="Times New Roman" w:eastAsia="Times New Roman" w:hAnsi="Times New Roman" w:cs="Times New Roman"/>
          <w:color w:val="000000"/>
          <w:spacing w:val="0"/>
          <w:w w:val="100"/>
          <w:position w:val="0"/>
          <w:sz w:val="18"/>
          <w:szCs w:val="18"/>
        </w:rPr>
        <w:t>1</w:t>
      </w:r>
      <w:bookmarkEnd w:id="901"/>
      <w:r>
        <w:rPr>
          <w:color w:val="000000"/>
          <w:spacing w:val="0"/>
          <w:w w:val="100"/>
          <w:position w:val="0"/>
        </w:rPr>
        <w:t>）</w:t>
        <w:tab/>
        <w:t>被转移金融资产在终止确认日的账面价值。</w:t>
      </w:r>
    </w:p>
    <w:p>
      <w:pPr>
        <w:pStyle w:val="Style18"/>
        <w:keepNext w:val="0"/>
        <w:keepLines w:val="0"/>
        <w:widowControl w:val="0"/>
        <w:shd w:val="clear" w:color="auto" w:fill="auto"/>
        <w:tabs>
          <w:tab w:pos="723" w:val="left"/>
        </w:tabs>
        <w:bidi w:val="0"/>
        <w:spacing w:before="0" w:after="140" w:line="245" w:lineRule="exact"/>
        <w:ind w:left="0" w:right="0" w:firstLine="38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18"/>
        <w:keepNext w:val="0"/>
        <w:keepLines w:val="0"/>
        <w:widowControl w:val="0"/>
        <w:shd w:val="clear" w:color="auto" w:fill="auto"/>
        <w:tabs>
          <w:tab w:pos="901" w:val="left"/>
        </w:tabs>
        <w:bidi w:val="0"/>
        <w:spacing w:before="0" w:after="140" w:line="233" w:lineRule="exact"/>
        <w:ind w:left="0" w:right="0" w:firstLine="38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18"/>
        <w:keepNext w:val="0"/>
        <w:keepLines w:val="0"/>
        <w:widowControl w:val="0"/>
        <w:shd w:val="clear" w:color="auto" w:fill="auto"/>
        <w:tabs>
          <w:tab w:pos="729" w:val="left"/>
        </w:tabs>
        <w:bidi w:val="0"/>
        <w:spacing w:before="0" w:after="140" w:line="235" w:lineRule="exact"/>
        <w:ind w:left="0" w:right="0" w:firstLine="380"/>
        <w:jc w:val="both"/>
      </w:pPr>
      <w:bookmarkStart w:id="904" w:name="bookmark904"/>
      <w:r>
        <w:rPr>
          <w:rFonts w:ascii="Times New Roman" w:eastAsia="Times New Roman" w:hAnsi="Times New Roman" w:cs="Times New Roman"/>
          <w:color w:val="000000"/>
          <w:spacing w:val="0"/>
          <w:w w:val="100"/>
          <w:position w:val="0"/>
          <w:sz w:val="18"/>
          <w:szCs w:val="18"/>
        </w:rPr>
        <w:t>1</w:t>
      </w:r>
      <w:bookmarkEnd w:id="904"/>
      <w:r>
        <w:rPr>
          <w:color w:val="000000"/>
          <w:spacing w:val="0"/>
          <w:w w:val="100"/>
          <w:position w:val="0"/>
        </w:rPr>
        <w:t>）</w:t>
        <w:tab/>
        <w:t>终止确认部分在终止确认日的账面价值。</w:t>
      </w:r>
    </w:p>
    <w:p>
      <w:pPr>
        <w:pStyle w:val="Style18"/>
        <w:keepNext w:val="0"/>
        <w:keepLines w:val="0"/>
        <w:widowControl w:val="0"/>
        <w:shd w:val="clear" w:color="auto" w:fill="auto"/>
        <w:tabs>
          <w:tab w:pos="718" w:val="left"/>
        </w:tabs>
        <w:bidi w:val="0"/>
        <w:spacing w:before="0" w:after="140" w:line="245" w:lineRule="exact"/>
        <w:ind w:left="0" w:right="0" w:firstLine="380"/>
        <w:jc w:val="both"/>
      </w:pPr>
      <w:bookmarkStart w:id="905" w:name="bookmark905"/>
      <w:r>
        <w:rPr>
          <w:rFonts w:ascii="Times New Roman" w:eastAsia="Times New Roman" w:hAnsi="Times New Roman" w:cs="Times New Roman"/>
          <w:color w:val="000000"/>
          <w:spacing w:val="0"/>
          <w:w w:val="100"/>
          <w:position w:val="0"/>
          <w:sz w:val="18"/>
          <w:szCs w:val="18"/>
        </w:rPr>
        <w:t>2</w:t>
      </w:r>
      <w:bookmarkEnd w:id="905"/>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numPr>
          <w:ilvl w:val="0"/>
          <w:numId w:val="33"/>
        </w:numPr>
        <w:shd w:val="clear" w:color="auto" w:fill="auto"/>
        <w:tabs>
          <w:tab w:pos="700" w:val="left"/>
        </w:tabs>
        <w:bidi w:val="0"/>
        <w:spacing w:before="0" w:after="140" w:line="276" w:lineRule="auto"/>
        <w:ind w:left="0" w:right="0" w:firstLine="380"/>
        <w:jc w:val="both"/>
        <w:rPr>
          <w:sz w:val="17"/>
          <w:szCs w:val="17"/>
        </w:rPr>
      </w:pPr>
      <w:bookmarkStart w:id="906" w:name="bookmark906"/>
      <w:bookmarkStart w:id="907" w:name="bookmark907"/>
      <w:bookmarkStart w:id="908" w:name="bookmark908"/>
      <w:bookmarkStart w:id="909" w:name="bookmark909"/>
      <w:bookmarkEnd w:id="908"/>
      <w:r>
        <w:rPr>
          <w:color w:val="000000"/>
          <w:spacing w:val="0"/>
          <w:w w:val="100"/>
          <w:position w:val="0"/>
          <w:sz w:val="17"/>
          <w:szCs w:val="17"/>
        </w:rPr>
        <w:t>金融资产和金融负债公允价值的确定方法</w:t>
      </w:r>
      <w:bookmarkEnd w:id="906"/>
      <w:bookmarkEnd w:id="907"/>
      <w:bookmarkEnd w:id="909"/>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 xml:space="preserve">存在活跃市场的金融资产或金融负债，以活跃市场的报价确定其公允价值，除非该项金融资产存在针对资产本身的限售 </w:t>
      </w:r>
      <w:r>
        <w:rPr>
          <w:color w:val="000000"/>
          <w:spacing w:val="0"/>
          <w:w w:val="100"/>
          <w:position w:val="0"/>
        </w:rPr>
        <w:t>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初始取得或衍生的金融资产或承担的金融负债，以市场交易价格作为确定其公允价值的基础。</w:t>
      </w:r>
    </w:p>
    <w:p>
      <w:pPr>
        <w:pStyle w:val="Style18"/>
        <w:keepNext w:val="0"/>
        <w:keepLines w:val="0"/>
        <w:widowControl w:val="0"/>
        <w:shd w:val="clear" w:color="auto" w:fill="auto"/>
        <w:bidi w:val="0"/>
        <w:spacing w:before="0" w:after="200" w:line="243" w:lineRule="exact"/>
        <w:ind w:left="0" w:right="0" w:firstLine="380"/>
        <w:jc w:val="both"/>
        <w:rPr>
          <w:sz w:val="20"/>
          <w:szCs w:val="20"/>
        </w:rPr>
      </w:pPr>
      <w:r>
        <w:rPr>
          <w:color w:val="000000"/>
          <w:spacing w:val="0"/>
          <w:w w:val="100"/>
          <w:position w:val="0"/>
          <w:sz w:val="17"/>
          <w:szCs w:val="17"/>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w:t>
      </w:r>
      <w:r>
        <w:rPr>
          <w:color w:val="000000"/>
          <w:spacing w:val="0"/>
          <w:w w:val="100"/>
          <w:position w:val="0"/>
          <w:sz w:val="20"/>
          <w:szCs w:val="20"/>
        </w:rPr>
        <w:t>值。</w:t>
      </w:r>
    </w:p>
    <w:p>
      <w:pPr>
        <w:pStyle w:val="Style40"/>
        <w:keepNext/>
        <w:keepLines/>
        <w:widowControl w:val="0"/>
        <w:numPr>
          <w:ilvl w:val="0"/>
          <w:numId w:val="33"/>
        </w:numPr>
        <w:shd w:val="clear" w:color="auto" w:fill="auto"/>
        <w:bidi w:val="0"/>
        <w:spacing w:before="0" w:after="140" w:line="276" w:lineRule="auto"/>
        <w:ind w:left="0" w:right="0" w:firstLine="560"/>
        <w:jc w:val="both"/>
        <w:rPr>
          <w:sz w:val="17"/>
          <w:szCs w:val="17"/>
        </w:rPr>
      </w:pPr>
      <w:bookmarkStart w:id="910" w:name="bookmark910"/>
      <w:bookmarkStart w:id="911" w:name="bookmark911"/>
      <w:bookmarkStart w:id="912" w:name="bookmark912"/>
      <w:bookmarkStart w:id="913" w:name="bookmark913"/>
      <w:bookmarkEnd w:id="912"/>
      <w:r>
        <w:rPr>
          <w:color w:val="000000"/>
          <w:spacing w:val="0"/>
          <w:w w:val="100"/>
          <w:position w:val="0"/>
          <w:sz w:val="17"/>
          <w:szCs w:val="17"/>
        </w:rPr>
        <w:t>金融工具减值</w:t>
      </w:r>
      <w:bookmarkEnd w:id="910"/>
      <w:bookmarkEnd w:id="911"/>
      <w:bookmarkEnd w:id="913"/>
    </w:p>
    <w:p>
      <w:pPr>
        <w:pStyle w:val="Style18"/>
        <w:keepNext w:val="0"/>
        <w:keepLines w:val="0"/>
        <w:widowControl w:val="0"/>
        <w:shd w:val="clear" w:color="auto" w:fill="auto"/>
        <w:bidi w:val="0"/>
        <w:spacing w:before="0" w:after="140" w:line="234" w:lineRule="exact"/>
        <w:ind w:left="0" w:right="0" w:firstLine="380"/>
        <w:jc w:val="both"/>
      </w:pPr>
      <w:r>
        <w:rPr>
          <w:color w:val="000000"/>
          <w:spacing w:val="0"/>
          <w:w w:val="100"/>
          <w:position w:val="0"/>
        </w:rPr>
        <w:t>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信用损失为基础进行减值会计处理并确认损失准备。</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18"/>
        <w:keepNext w:val="0"/>
        <w:keepLines w:val="0"/>
        <w:widowControl w:val="0"/>
        <w:shd w:val="clear" w:color="auto" w:fill="auto"/>
        <w:bidi w:val="0"/>
        <w:spacing w:before="0" w:after="140" w:line="232" w:lineRule="exact"/>
        <w:ind w:left="0" w:right="0" w:firstLine="38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8"/>
        <w:keepNext w:val="0"/>
        <w:keepLines w:val="0"/>
        <w:widowControl w:val="0"/>
        <w:shd w:val="clear" w:color="auto" w:fill="auto"/>
        <w:tabs>
          <w:tab w:pos="848" w:val="left"/>
        </w:tabs>
        <w:bidi w:val="0"/>
        <w:spacing w:before="0" w:after="140" w:line="235" w:lineRule="exact"/>
        <w:ind w:left="0" w:right="0" w:firstLine="38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18"/>
        <w:keepNext w:val="0"/>
        <w:keepLines w:val="0"/>
        <w:widowControl w:val="0"/>
        <w:shd w:val="clear" w:color="auto" w:fill="auto"/>
        <w:tabs>
          <w:tab w:pos="844" w:val="left"/>
        </w:tabs>
        <w:bidi w:val="0"/>
        <w:spacing w:before="0" w:after="140" w:line="240"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18"/>
        <w:keepNext w:val="0"/>
        <w:keepLines w:val="0"/>
        <w:widowControl w:val="0"/>
        <w:shd w:val="clear" w:color="auto" w:fill="auto"/>
        <w:tabs>
          <w:tab w:pos="848" w:val="left"/>
        </w:tabs>
        <w:bidi w:val="0"/>
        <w:spacing w:before="0" w:after="140" w:line="245"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18"/>
        <w:keepNext w:val="0"/>
        <w:keepLines w:val="0"/>
        <w:widowControl w:val="0"/>
        <w:shd w:val="clear" w:color="auto" w:fill="auto"/>
        <w:bidi w:val="0"/>
        <w:spacing w:before="0" w:after="140" w:line="233" w:lineRule="exact"/>
        <w:ind w:left="0" w:right="0" w:firstLine="38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月内预期信用损失的金额计量该金融工具的损失准备，由此形成的损失准备的转回金额作为减值利得计入当期损益。</w:t>
      </w:r>
    </w:p>
    <w:p>
      <w:pPr>
        <w:pStyle w:val="Style18"/>
        <w:keepNext w:val="0"/>
        <w:keepLines w:val="0"/>
        <w:widowControl w:val="0"/>
        <w:shd w:val="clear" w:color="auto" w:fill="auto"/>
        <w:tabs>
          <w:tab w:pos="772" w:val="left"/>
        </w:tabs>
        <w:bidi w:val="0"/>
        <w:spacing w:before="0" w:after="140" w:line="235" w:lineRule="exact"/>
        <w:ind w:left="0" w:right="0" w:firstLine="38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信用风险显著增加</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18"/>
        <w:keepNext w:val="0"/>
        <w:keepLines w:val="0"/>
        <w:widowControl w:val="0"/>
        <w:shd w:val="clear" w:color="auto" w:fill="auto"/>
        <w:bidi w:val="0"/>
        <w:spacing w:before="0" w:after="200" w:line="235" w:lineRule="exact"/>
        <w:ind w:left="0" w:right="0" w:firstLine="380"/>
        <w:jc w:val="both"/>
      </w:pPr>
      <w:r>
        <w:rPr>
          <w:color w:val="000000"/>
          <w:spacing w:val="0"/>
          <w:w w:val="100"/>
          <w:position w:val="0"/>
        </w:rPr>
        <w:t>本公司在评估信用风险是否显著增加时会考虑如下因素：</w:t>
      </w:r>
    </w:p>
    <w:p>
      <w:pPr>
        <w:pStyle w:val="Style18"/>
        <w:keepNext w:val="0"/>
        <w:keepLines w:val="0"/>
        <w:widowControl w:val="0"/>
        <w:shd w:val="clear" w:color="auto" w:fill="auto"/>
        <w:tabs>
          <w:tab w:pos="676" w:val="left"/>
        </w:tabs>
        <w:bidi w:val="0"/>
        <w:spacing w:before="0" w:after="140" w:line="276" w:lineRule="auto"/>
        <w:ind w:left="0" w:right="0" w:firstLine="380"/>
        <w:jc w:val="both"/>
      </w:pPr>
      <w:bookmarkStart w:id="918" w:name="bookmark918"/>
      <w:r>
        <w:rPr>
          <w:rFonts w:ascii="Times New Roman" w:eastAsia="Times New Roman" w:hAnsi="Times New Roman" w:cs="Times New Roman"/>
          <w:color w:val="000000"/>
          <w:spacing w:val="0"/>
          <w:w w:val="100"/>
          <w:position w:val="0"/>
          <w:sz w:val="18"/>
          <w:szCs w:val="18"/>
        </w:rPr>
        <w:t>1</w:t>
      </w:r>
      <w:bookmarkEnd w:id="918"/>
      <w:r>
        <w:rPr>
          <w:color w:val="000000"/>
          <w:spacing w:val="0"/>
          <w:w w:val="100"/>
          <w:position w:val="0"/>
        </w:rPr>
        <w:t>）</w:t>
        <w:tab/>
        <w:t>债务人经营成果实际或预期是否发生显著变化；</w:t>
      </w:r>
    </w:p>
    <w:p>
      <w:pPr>
        <w:pStyle w:val="Style18"/>
        <w:keepNext w:val="0"/>
        <w:keepLines w:val="0"/>
        <w:widowControl w:val="0"/>
        <w:shd w:val="clear" w:color="auto" w:fill="auto"/>
        <w:tabs>
          <w:tab w:pos="696" w:val="left"/>
        </w:tabs>
        <w:bidi w:val="0"/>
        <w:spacing w:before="0" w:after="140" w:line="276" w:lineRule="auto"/>
        <w:ind w:left="0" w:right="0" w:firstLine="380"/>
        <w:jc w:val="both"/>
      </w:pPr>
      <w:bookmarkStart w:id="919" w:name="bookmark919"/>
      <w:r>
        <w:rPr>
          <w:rFonts w:ascii="Times New Roman" w:eastAsia="Times New Roman" w:hAnsi="Times New Roman" w:cs="Times New Roman"/>
          <w:color w:val="000000"/>
          <w:spacing w:val="0"/>
          <w:w w:val="100"/>
          <w:position w:val="0"/>
          <w:sz w:val="18"/>
          <w:szCs w:val="18"/>
        </w:rPr>
        <w:t>2</w:t>
      </w:r>
      <w:bookmarkEnd w:id="919"/>
      <w:r>
        <w:rPr>
          <w:color w:val="000000"/>
          <w:spacing w:val="0"/>
          <w:w w:val="100"/>
          <w:position w:val="0"/>
        </w:rPr>
        <w:t>）</w:t>
        <w:tab/>
        <w:t>债务人所处的监管、经济或技术环境是否发生显著不利变化；</w:t>
      </w:r>
    </w:p>
    <w:p>
      <w:pPr>
        <w:pStyle w:val="Style18"/>
        <w:keepNext w:val="0"/>
        <w:keepLines w:val="0"/>
        <w:widowControl w:val="0"/>
        <w:shd w:val="clear" w:color="auto" w:fill="auto"/>
        <w:tabs>
          <w:tab w:pos="666" w:val="left"/>
        </w:tabs>
        <w:bidi w:val="0"/>
        <w:spacing w:before="0" w:after="140" w:line="240" w:lineRule="exact"/>
        <w:ind w:left="0" w:right="0" w:firstLine="380"/>
        <w:jc w:val="both"/>
      </w:pPr>
      <w:bookmarkStart w:id="920" w:name="bookmark920"/>
      <w:r>
        <w:rPr>
          <w:rFonts w:ascii="Times New Roman" w:eastAsia="Times New Roman" w:hAnsi="Times New Roman" w:cs="Times New Roman"/>
          <w:color w:val="000000"/>
          <w:spacing w:val="0"/>
          <w:w w:val="100"/>
          <w:position w:val="0"/>
          <w:sz w:val="18"/>
          <w:szCs w:val="18"/>
        </w:rPr>
        <w:t>3</w:t>
      </w:r>
      <w:bookmarkEnd w:id="920"/>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1" w:name="bookmark921"/>
      <w:r>
        <w:rPr>
          <w:rFonts w:ascii="Times New Roman" w:eastAsia="Times New Roman" w:hAnsi="Times New Roman" w:cs="Times New Roman"/>
          <w:color w:val="000000"/>
          <w:spacing w:val="0"/>
          <w:w w:val="100"/>
          <w:position w:val="0"/>
          <w:sz w:val="18"/>
          <w:szCs w:val="18"/>
        </w:rPr>
        <w:t>4</w:t>
      </w:r>
      <w:bookmarkEnd w:id="921"/>
      <w:r>
        <w:rPr>
          <w:color w:val="000000"/>
          <w:spacing w:val="0"/>
          <w:w w:val="100"/>
          <w:position w:val="0"/>
        </w:rPr>
        <w:t>）</w:t>
        <w:tab/>
        <w:t>债务人预期表现和还款行为是否发生显著变化；</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2" w:name="bookmark922"/>
      <w:r>
        <w:rPr>
          <w:rFonts w:ascii="Times New Roman" w:eastAsia="Times New Roman" w:hAnsi="Times New Roman" w:cs="Times New Roman"/>
          <w:color w:val="000000"/>
          <w:spacing w:val="0"/>
          <w:w w:val="100"/>
          <w:position w:val="0"/>
          <w:sz w:val="18"/>
          <w:szCs w:val="18"/>
        </w:rPr>
        <w:t>5</w:t>
      </w:r>
      <w:bookmarkEnd w:id="922"/>
      <w:r>
        <w:rPr>
          <w:color w:val="000000"/>
          <w:spacing w:val="0"/>
          <w:w w:val="100"/>
          <w:position w:val="0"/>
        </w:rPr>
        <w:t>）</w:t>
        <w:tab/>
        <w:t>本公司对金融工具信用管理方法是否发生变化等。</w:t>
      </w:r>
    </w:p>
    <w:p>
      <w:pPr>
        <w:pStyle w:val="Style18"/>
        <w:keepNext w:val="0"/>
        <w:keepLines w:val="0"/>
        <w:widowControl w:val="0"/>
        <w:shd w:val="clear" w:color="auto" w:fill="auto"/>
        <w:bidi w:val="0"/>
        <w:spacing w:before="0" w:after="140" w:line="232" w:lineRule="exact"/>
        <w:ind w:left="0" w:right="0" w:firstLine="380"/>
        <w:jc w:val="left"/>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8"/>
        <w:keepNext w:val="0"/>
        <w:keepLines w:val="0"/>
        <w:widowControl w:val="0"/>
        <w:shd w:val="clear" w:color="auto" w:fill="auto"/>
        <w:bidi w:val="0"/>
        <w:spacing w:before="0" w:after="140" w:line="233" w:lineRule="exact"/>
        <w:ind w:left="0" w:right="0" w:firstLine="38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）已发生信用减值的金融资产</w:t>
      </w:r>
    </w:p>
    <w:p>
      <w:pPr>
        <w:pStyle w:val="Style18"/>
        <w:keepNext w:val="0"/>
        <w:keepLines w:val="0"/>
        <w:widowControl w:val="0"/>
        <w:shd w:val="clear" w:color="auto" w:fill="auto"/>
        <w:bidi w:val="0"/>
        <w:spacing w:before="0" w:after="140" w:line="226" w:lineRule="exact"/>
        <w:ind w:left="0" w:right="0" w:firstLine="380"/>
        <w:jc w:val="left"/>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8"/>
        <w:keepNext w:val="0"/>
        <w:keepLines w:val="0"/>
        <w:widowControl w:val="0"/>
        <w:shd w:val="clear" w:color="auto" w:fill="auto"/>
        <w:tabs>
          <w:tab w:pos="729" w:val="left"/>
        </w:tabs>
        <w:bidi w:val="0"/>
        <w:spacing w:before="0" w:after="140" w:line="233" w:lineRule="exact"/>
        <w:ind w:left="0" w:right="0" w:firstLine="380"/>
        <w:jc w:val="left"/>
      </w:pPr>
      <w:bookmarkStart w:id="924" w:name="bookmark924"/>
      <w:r>
        <w:rPr>
          <w:rFonts w:ascii="Times New Roman" w:eastAsia="Times New Roman" w:hAnsi="Times New Roman" w:cs="Times New Roman"/>
          <w:color w:val="000000"/>
          <w:spacing w:val="0"/>
          <w:w w:val="100"/>
          <w:position w:val="0"/>
          <w:sz w:val="18"/>
          <w:szCs w:val="18"/>
        </w:rPr>
        <w:t>1</w:t>
      </w:r>
      <w:bookmarkEnd w:id="924"/>
      <w:r>
        <w:rPr>
          <w:color w:val="000000"/>
          <w:spacing w:val="0"/>
          <w:w w:val="100"/>
          <w:position w:val="0"/>
        </w:rPr>
        <w:t>）</w:t>
        <w:tab/>
        <w:t>发行方或债务人发生重大财务困难；</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5" w:name="bookmark925"/>
      <w:r>
        <w:rPr>
          <w:rFonts w:ascii="Times New Roman" w:eastAsia="Times New Roman" w:hAnsi="Times New Roman" w:cs="Times New Roman"/>
          <w:color w:val="000000"/>
          <w:spacing w:val="0"/>
          <w:w w:val="100"/>
          <w:position w:val="0"/>
          <w:sz w:val="18"/>
          <w:szCs w:val="18"/>
        </w:rPr>
        <w:t>2</w:t>
      </w:r>
      <w:bookmarkEnd w:id="925"/>
      <w:r>
        <w:rPr>
          <w:color w:val="000000"/>
          <w:spacing w:val="0"/>
          <w:w w:val="100"/>
          <w:position w:val="0"/>
        </w:rPr>
        <w:t>）</w:t>
        <w:tab/>
        <w:t>债务人违反合同，如偿付利息或本金违约或逾期等；</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6" w:name="bookmark926"/>
      <w:r>
        <w:rPr>
          <w:rFonts w:ascii="Times New Roman" w:eastAsia="Times New Roman" w:hAnsi="Times New Roman" w:cs="Times New Roman"/>
          <w:color w:val="000000"/>
          <w:spacing w:val="0"/>
          <w:w w:val="100"/>
          <w:position w:val="0"/>
          <w:sz w:val="18"/>
          <w:szCs w:val="18"/>
        </w:rPr>
        <w:t>3</w:t>
      </w:r>
      <w:bookmarkEnd w:id="926"/>
      <w:r>
        <w:rPr>
          <w:color w:val="000000"/>
          <w:spacing w:val="0"/>
          <w:w w:val="100"/>
          <w:position w:val="0"/>
        </w:rPr>
        <w:t>）</w:t>
        <w:tab/>
        <w:t>债权人出于与债务人财务困难有关的经济或合同考虑，给予债务人在任何其他情况下都不会做出的让步；</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7" w:name="bookmark927"/>
      <w:r>
        <w:rPr>
          <w:rFonts w:ascii="Times New Roman" w:eastAsia="Times New Roman" w:hAnsi="Times New Roman" w:cs="Times New Roman"/>
          <w:color w:val="000000"/>
          <w:spacing w:val="0"/>
          <w:w w:val="100"/>
          <w:position w:val="0"/>
          <w:sz w:val="18"/>
          <w:szCs w:val="18"/>
        </w:rPr>
        <w:t>4</w:t>
      </w:r>
      <w:bookmarkEnd w:id="927"/>
      <w:r>
        <w:rPr>
          <w:color w:val="000000"/>
          <w:spacing w:val="0"/>
          <w:w w:val="100"/>
          <w:position w:val="0"/>
        </w:rPr>
        <w:t>）</w:t>
        <w:tab/>
        <w:t>债务人很可能破产或进行其他财务重组；</w:t>
      </w:r>
    </w:p>
    <w:p>
      <w:pPr>
        <w:pStyle w:val="Style18"/>
        <w:keepNext w:val="0"/>
        <w:keepLines w:val="0"/>
        <w:widowControl w:val="0"/>
        <w:shd w:val="clear" w:color="auto" w:fill="auto"/>
        <w:tabs>
          <w:tab w:pos="748" w:val="left"/>
        </w:tabs>
        <w:bidi w:val="0"/>
        <w:spacing w:before="0" w:after="140" w:line="233" w:lineRule="exact"/>
        <w:ind w:left="0" w:right="0" w:firstLine="380"/>
        <w:jc w:val="left"/>
      </w:pPr>
      <w:bookmarkStart w:id="928" w:name="bookmark928"/>
      <w:r>
        <w:rPr>
          <w:rFonts w:ascii="Times New Roman" w:eastAsia="Times New Roman" w:hAnsi="Times New Roman" w:cs="Times New Roman"/>
          <w:color w:val="000000"/>
          <w:spacing w:val="0"/>
          <w:w w:val="100"/>
          <w:position w:val="0"/>
          <w:sz w:val="18"/>
          <w:szCs w:val="18"/>
        </w:rPr>
        <w:t>5</w:t>
      </w:r>
      <w:bookmarkEnd w:id="928"/>
      <w:r>
        <w:rPr>
          <w:color w:val="000000"/>
          <w:spacing w:val="0"/>
          <w:w w:val="100"/>
          <w:position w:val="0"/>
        </w:rPr>
        <w:t>）</w:t>
        <w:tab/>
        <w:t>发行方或债务人财务困难导致该金融资产的活跃市场消失；</w:t>
      </w:r>
    </w:p>
    <w:p>
      <w:pPr>
        <w:pStyle w:val="Style18"/>
        <w:keepNext w:val="0"/>
        <w:keepLines w:val="0"/>
        <w:widowControl w:val="0"/>
        <w:shd w:val="clear" w:color="auto" w:fill="auto"/>
        <w:tabs>
          <w:tab w:pos="743" w:val="left"/>
        </w:tabs>
        <w:bidi w:val="0"/>
        <w:spacing w:before="0" w:after="140" w:line="233" w:lineRule="exact"/>
        <w:ind w:left="0" w:right="0" w:firstLine="380"/>
        <w:jc w:val="left"/>
      </w:pPr>
      <w:bookmarkStart w:id="929" w:name="bookmark929"/>
      <w:r>
        <w:rPr>
          <w:rFonts w:ascii="Times New Roman" w:eastAsia="Times New Roman" w:hAnsi="Times New Roman" w:cs="Times New Roman"/>
          <w:color w:val="000000"/>
          <w:spacing w:val="0"/>
          <w:w w:val="100"/>
          <w:position w:val="0"/>
          <w:sz w:val="18"/>
          <w:szCs w:val="18"/>
        </w:rPr>
        <w:t>6</w:t>
      </w:r>
      <w:bookmarkEnd w:id="929"/>
      <w:r>
        <w:rPr>
          <w:color w:val="000000"/>
          <w:spacing w:val="0"/>
          <w:w w:val="100"/>
          <w:position w:val="0"/>
        </w:rPr>
        <w:t>）</w:t>
        <w:tab/>
        <w:t>以大幅折扣购买或源生一项金融资产，该折扣反映了发生信用损失的事实。</w:t>
      </w:r>
    </w:p>
    <w:p>
      <w:pPr>
        <w:pStyle w:val="Style18"/>
        <w:keepNext w:val="0"/>
        <w:keepLines w:val="0"/>
        <w:widowControl w:val="0"/>
        <w:shd w:val="clear" w:color="auto" w:fill="auto"/>
        <w:bidi w:val="0"/>
        <w:spacing w:before="0" w:after="140" w:line="233" w:lineRule="exact"/>
        <w:ind w:left="0" w:right="0" w:firstLine="380"/>
        <w:jc w:val="left"/>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shd w:val="clear" w:color="auto" w:fill="auto"/>
        <w:tabs>
          <w:tab w:pos="825" w:val="left"/>
        </w:tabs>
        <w:bidi w:val="0"/>
        <w:spacing w:before="0" w:after="140" w:line="233" w:lineRule="exact"/>
        <w:ind w:left="0" w:right="0" w:firstLine="38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预期信用损失的确定</w:t>
      </w:r>
    </w:p>
    <w:p>
      <w:pPr>
        <w:pStyle w:val="Style18"/>
        <w:keepNext w:val="0"/>
        <w:keepLines w:val="0"/>
        <w:widowControl w:val="0"/>
        <w:shd w:val="clear" w:color="auto" w:fill="auto"/>
        <w:bidi w:val="0"/>
        <w:spacing w:before="0" w:after="140" w:line="235" w:lineRule="exact"/>
        <w:ind w:left="0" w:right="0" w:firstLine="38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8"/>
        <w:keepNext w:val="0"/>
        <w:keepLines w:val="0"/>
        <w:widowControl w:val="0"/>
        <w:shd w:val="clear" w:color="auto" w:fill="auto"/>
        <w:bidi w:val="0"/>
        <w:spacing w:before="0" w:after="140" w:line="233" w:lineRule="exact"/>
        <w:ind w:left="0" w:right="0" w:firstLine="38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18"/>
        <w:keepNext w:val="0"/>
        <w:keepLines w:val="0"/>
        <w:widowControl w:val="0"/>
        <w:shd w:val="clear" w:color="auto" w:fill="auto"/>
        <w:bidi w:val="0"/>
        <w:spacing w:before="0" w:after="140" w:line="233" w:lineRule="exact"/>
        <w:ind w:left="0" w:right="0" w:firstLine="380"/>
        <w:jc w:val="left"/>
      </w:pPr>
      <w:r>
        <w:rPr>
          <w:color w:val="000000"/>
          <w:spacing w:val="0"/>
          <w:w w:val="100"/>
          <w:position w:val="0"/>
        </w:rPr>
        <w:t>本公司按照下列方法确定相关金融工具的预期信用损失：</w:t>
      </w:r>
    </w:p>
    <w:p>
      <w:pPr>
        <w:pStyle w:val="Style18"/>
        <w:keepNext w:val="0"/>
        <w:keepLines w:val="0"/>
        <w:widowControl w:val="0"/>
        <w:shd w:val="clear" w:color="auto" w:fill="auto"/>
        <w:tabs>
          <w:tab w:pos="729" w:val="left"/>
        </w:tabs>
        <w:bidi w:val="0"/>
        <w:spacing w:before="0" w:after="140" w:line="233" w:lineRule="exact"/>
        <w:ind w:left="0" w:right="0" w:firstLine="380"/>
        <w:jc w:val="left"/>
      </w:pPr>
      <w:bookmarkStart w:id="931" w:name="bookmark931"/>
      <w:r>
        <w:rPr>
          <w:rFonts w:ascii="Times New Roman" w:eastAsia="Times New Roman" w:hAnsi="Times New Roman" w:cs="Times New Roman"/>
          <w:color w:val="000000"/>
          <w:spacing w:val="0"/>
          <w:w w:val="100"/>
          <w:position w:val="0"/>
          <w:sz w:val="18"/>
          <w:szCs w:val="18"/>
        </w:rPr>
        <w:t>1</w:t>
      </w:r>
      <w:bookmarkEnd w:id="931"/>
      <w:r>
        <w:rPr>
          <w:color w:val="000000"/>
          <w:spacing w:val="0"/>
          <w:w w:val="100"/>
          <w:position w:val="0"/>
        </w:rPr>
        <w:t>）</w:t>
        <w:tab/>
        <w:t>对于金融资产，信用损失为本公司应收取的合同现金流量与预期收取的现金流量之间差额的现值。</w:t>
      </w:r>
    </w:p>
    <w:p>
      <w:pPr>
        <w:pStyle w:val="Style18"/>
        <w:keepNext w:val="0"/>
        <w:keepLines w:val="0"/>
        <w:widowControl w:val="0"/>
        <w:shd w:val="clear" w:color="auto" w:fill="auto"/>
        <w:tabs>
          <w:tab w:pos="718" w:val="left"/>
        </w:tabs>
        <w:bidi w:val="0"/>
        <w:spacing w:before="0" w:after="140" w:line="240" w:lineRule="exact"/>
        <w:ind w:left="0" w:right="0" w:firstLine="380"/>
        <w:jc w:val="left"/>
      </w:pPr>
      <w:bookmarkStart w:id="932" w:name="bookmark932"/>
      <w:r>
        <w:rPr>
          <w:rFonts w:ascii="Times New Roman" w:eastAsia="Times New Roman" w:hAnsi="Times New Roman" w:cs="Times New Roman"/>
          <w:color w:val="000000"/>
          <w:spacing w:val="0"/>
          <w:w w:val="100"/>
          <w:position w:val="0"/>
          <w:sz w:val="18"/>
          <w:szCs w:val="18"/>
        </w:rPr>
        <w:t>2</w:t>
      </w:r>
      <w:bookmarkEnd w:id="932"/>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18"/>
        <w:keepNext w:val="0"/>
        <w:keepLines w:val="0"/>
        <w:widowControl w:val="0"/>
        <w:shd w:val="clear" w:color="auto" w:fill="auto"/>
        <w:tabs>
          <w:tab w:pos="723" w:val="left"/>
        </w:tabs>
        <w:bidi w:val="0"/>
        <w:spacing w:before="0" w:after="140" w:line="240" w:lineRule="exact"/>
        <w:ind w:left="0" w:right="0" w:firstLine="380"/>
        <w:jc w:val="left"/>
      </w:pPr>
      <w:bookmarkStart w:id="933" w:name="bookmark933"/>
      <w:r>
        <w:rPr>
          <w:rFonts w:ascii="Times New Roman" w:eastAsia="Times New Roman" w:hAnsi="Times New Roman" w:cs="Times New Roman"/>
          <w:color w:val="000000"/>
          <w:spacing w:val="0"/>
          <w:w w:val="100"/>
          <w:position w:val="0"/>
          <w:sz w:val="18"/>
          <w:szCs w:val="18"/>
        </w:rPr>
        <w:t>3</w:t>
      </w:r>
      <w:bookmarkEnd w:id="933"/>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18"/>
        <w:keepNext w:val="0"/>
        <w:keepLines w:val="0"/>
        <w:widowControl w:val="0"/>
        <w:shd w:val="clear" w:color="auto" w:fill="auto"/>
        <w:bidi w:val="0"/>
        <w:spacing w:before="0" w:after="140" w:line="230" w:lineRule="exact"/>
        <w:ind w:left="0" w:right="0" w:firstLine="38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8"/>
        <w:keepNext w:val="0"/>
        <w:keepLines w:val="0"/>
        <w:widowControl w:val="0"/>
        <w:shd w:val="clear" w:color="auto" w:fill="auto"/>
        <w:tabs>
          <w:tab w:pos="825" w:val="left"/>
        </w:tabs>
        <w:bidi w:val="0"/>
        <w:spacing w:before="0" w:after="140" w:line="233" w:lineRule="exact"/>
        <w:ind w:left="0" w:right="0" w:firstLine="38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减记金融资产</w:t>
      </w:r>
    </w:p>
    <w:p>
      <w:pPr>
        <w:pStyle w:val="Style18"/>
        <w:keepNext w:val="0"/>
        <w:keepLines w:val="0"/>
        <w:widowControl w:val="0"/>
        <w:shd w:val="clear" w:color="auto" w:fill="auto"/>
        <w:bidi w:val="0"/>
        <w:spacing w:before="0" w:after="140" w:line="259" w:lineRule="exact"/>
        <w:ind w:left="0" w:right="0" w:firstLine="38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40"/>
        <w:keepNext/>
        <w:keepLines/>
        <w:widowControl w:val="0"/>
        <w:numPr>
          <w:ilvl w:val="0"/>
          <w:numId w:val="33"/>
        </w:numPr>
        <w:shd w:val="clear" w:color="auto" w:fill="auto"/>
        <w:bidi w:val="0"/>
        <w:spacing w:before="0" w:after="140" w:line="271" w:lineRule="auto"/>
        <w:ind w:left="0" w:right="0" w:firstLine="380"/>
        <w:jc w:val="both"/>
        <w:rPr>
          <w:sz w:val="17"/>
          <w:szCs w:val="17"/>
        </w:rPr>
      </w:pPr>
      <w:bookmarkStart w:id="935" w:name="bookmark935"/>
      <w:bookmarkStart w:id="936" w:name="bookmark936"/>
      <w:bookmarkStart w:id="937" w:name="bookmark937"/>
      <w:bookmarkStart w:id="938" w:name="bookmark938"/>
      <w:bookmarkEnd w:id="937"/>
      <w:r>
        <w:rPr>
          <w:color w:val="000000"/>
          <w:spacing w:val="0"/>
          <w:w w:val="100"/>
          <w:position w:val="0"/>
          <w:sz w:val="17"/>
          <w:szCs w:val="17"/>
        </w:rPr>
        <w:t>金融资产及金融负债的抵销</w:t>
      </w:r>
      <w:bookmarkEnd w:id="935"/>
      <w:bookmarkEnd w:id="936"/>
      <w:bookmarkEnd w:id="938"/>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8"/>
        <w:keepNext w:val="0"/>
        <w:keepLines w:val="0"/>
        <w:widowControl w:val="0"/>
        <w:shd w:val="clear" w:color="auto" w:fill="auto"/>
        <w:tabs>
          <w:tab w:pos="825" w:val="left"/>
        </w:tabs>
        <w:bidi w:val="0"/>
        <w:spacing w:before="0" w:after="140" w:line="233" w:lineRule="exact"/>
        <w:ind w:left="0" w:right="0" w:firstLine="38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18"/>
        <w:keepNext w:val="0"/>
        <w:keepLines w:val="0"/>
        <w:widowControl w:val="0"/>
        <w:shd w:val="clear" w:color="auto" w:fill="auto"/>
        <w:tabs>
          <w:tab w:pos="825" w:val="left"/>
        </w:tabs>
        <w:bidi w:val="0"/>
        <w:spacing w:before="0" w:after="140" w:line="233" w:lineRule="exact"/>
        <w:ind w:left="0" w:right="0" w:firstLine="38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9"/>
        <w:keepNext/>
        <w:keepLines/>
        <w:widowControl w:val="0"/>
        <w:shd w:val="clear" w:color="auto" w:fill="auto"/>
        <w:bidi w:val="0"/>
        <w:spacing w:before="0" w:after="34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41"/>
      <w:bookmarkEnd w:id="942"/>
      <w:bookmarkEnd w:id="944"/>
    </w:p>
    <w:p>
      <w:pPr>
        <w:pStyle w:val="Style18"/>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本公司对应收票据的预期信用损失的确定方法及会计处理方法详见本附注（十一）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本公司对在初始确认后已经发生信用减值的应收票据单独确定其信用损失。</w:t>
      </w:r>
    </w:p>
    <w:p>
      <w:pPr>
        <w:pStyle w:val="Style18"/>
        <w:keepNext w:val="0"/>
        <w:keepLines w:val="0"/>
        <w:widowControl w:val="0"/>
        <w:shd w:val="clear" w:color="auto" w:fill="auto"/>
        <w:bidi w:val="0"/>
        <w:spacing w:before="0" w:after="200" w:line="238" w:lineRule="exact"/>
        <w:ind w:left="0" w:right="0" w:firstLine="38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 应收票据划分为若干组合，在组合基础上计算预期信用损失。确定组合的依 据如下：</w:t>
      </w:r>
    </w:p>
    <w:tbl>
      <w:tblPr>
        <w:tblOverlap w:val="never"/>
        <w:jc w:val="center"/>
        <w:tblLayout w:type="fixed"/>
      </w:tblPr>
      <w:tblGrid>
        <w:gridCol w:w="1354"/>
        <w:gridCol w:w="4474"/>
        <w:gridCol w:w="383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0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无风险银行承兑 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出票人具有较高的信用评级，历史上未发生票据违约，信 用损失风险极低，在短期内履行其支付合同现金流量义务 的能力很强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参考历史信用损失经验，结合当前状况以及对未 来经济状况的预期计量坏账准备</w:t>
            </w:r>
          </w:p>
        </w:tc>
      </w:tr>
      <w:tr>
        <w:trPr>
          <w:trHeight w:val="100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结合承兑人、背书人、出票人以及其他债务人的信 用风险确定组合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参考历史信用损失经验，结合当前状况以及对未 来经济状况的预期，以商业承兑汇票的账龄作为 信用风险特征计提预期信用损失计量坏账准备</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45"/>
      <w:bookmarkEnd w:id="946"/>
      <w:bookmarkEnd w:id="948"/>
    </w:p>
    <w:p>
      <w:pPr>
        <w:pStyle w:val="Style18"/>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本公司对应收账款的预期信用损失的确定方法及会计处理方法详见本附注（十一）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本公司对在初始确认后已经发生信用减值的应收账款单独确定其信用损失。</w:t>
      </w:r>
    </w:p>
    <w:p>
      <w:pPr>
        <w:pStyle w:val="Style18"/>
        <w:keepNext w:val="0"/>
        <w:keepLines w:val="0"/>
        <w:widowControl w:val="0"/>
        <w:shd w:val="clear" w:color="auto" w:fill="auto"/>
        <w:bidi w:val="0"/>
        <w:spacing w:before="0" w:after="200" w:line="228" w:lineRule="exact"/>
        <w:ind w:left="0" w:right="0" w:firstLine="38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354"/>
        <w:gridCol w:w="2198"/>
        <w:gridCol w:w="6106"/>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参考应收款项的账龄进行信 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参考历史信用损失经验，结合当前状况以及对未来经济状况的预测，编制应收 账款账龄与整个存续期预期信用损失率对照表，计算预期信用损失。</w:t>
            </w:r>
          </w:p>
        </w:tc>
      </w:tr>
    </w:tbl>
    <w:p>
      <w:pPr>
        <w:widowControl w:val="0"/>
        <w:spacing w:after="339" w:line="1" w:lineRule="exact"/>
      </w:pPr>
    </w:p>
    <w:p>
      <w:pPr>
        <w:pStyle w:val="Style29"/>
        <w:keepNext/>
        <w:keepLines/>
        <w:widowControl w:val="0"/>
        <w:shd w:val="clear" w:color="auto" w:fill="auto"/>
        <w:tabs>
          <w:tab w:pos="474" w:val="left"/>
        </w:tabs>
        <w:bidi w:val="0"/>
        <w:spacing w:before="0" w:after="40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49"/>
      <w:bookmarkEnd w:id="950"/>
      <w:bookmarkEnd w:id="952"/>
    </w:p>
    <w:p>
      <w:pPr>
        <w:pStyle w:val="Style18"/>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本公司对应收款项融资的预期信用损失的确定方法及会计处理方法详见本附注（十一）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40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53"/>
      <w:bookmarkEnd w:id="954"/>
      <w:bookmarkEnd w:id="956"/>
    </w:p>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本公司对其他应收款的预期信用损失的确定方法及会计处理方法详见本附注（十一）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本公司对单项金额重大且在初始确认后已经发生信用减值的其他应收款单独确定其信用损失。</w:t>
      </w:r>
    </w:p>
    <w:p>
      <w:pPr>
        <w:pStyle w:val="Style26"/>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及对未来经济状况的判断，依据信用风险特征将其他应收款划分为若干组合，在组合基础上计算预期信用损失。确定组合的 依据如下：</w:t>
      </w:r>
    </w:p>
    <w:tbl>
      <w:tblPr>
        <w:tblOverlap w:val="never"/>
        <w:jc w:val="center"/>
        <w:tblLayout w:type="fixed"/>
      </w:tblPr>
      <w:tblGrid>
        <w:gridCol w:w="1354"/>
        <w:gridCol w:w="1915"/>
        <w:gridCol w:w="6389"/>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参考其他应收款的账龄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参考历史信用损失经验，结合当前状况及未来经济状况的预测，按账龄与未来十 二个月或整个存续期预期信用损失率对照表计提预期信用损失。</w:t>
            </w:r>
          </w:p>
        </w:tc>
      </w:tr>
    </w:tbl>
    <w:p>
      <w:pPr>
        <w:pStyle w:val="Style29"/>
        <w:keepNext/>
        <w:keepLines/>
        <w:widowControl w:val="0"/>
        <w:shd w:val="clear" w:color="auto" w:fill="auto"/>
        <w:tabs>
          <w:tab w:pos="514"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57"/>
      <w:bookmarkEnd w:id="958"/>
      <w:bookmarkEnd w:id="960"/>
    </w:p>
    <w:p>
      <w:pPr>
        <w:pStyle w:val="Style18"/>
        <w:keepNext w:val="0"/>
        <w:keepLines w:val="0"/>
        <w:widowControl w:val="0"/>
        <w:numPr>
          <w:ilvl w:val="0"/>
          <w:numId w:val="35"/>
        </w:numPr>
        <w:shd w:val="clear" w:color="auto" w:fill="auto"/>
        <w:tabs>
          <w:tab w:pos="746" w:val="left"/>
        </w:tabs>
        <w:bidi w:val="0"/>
        <w:spacing w:before="0" w:after="0" w:line="320" w:lineRule="exact"/>
        <w:ind w:left="0" w:right="0" w:firstLine="440"/>
        <w:jc w:val="both"/>
      </w:pPr>
      <w:bookmarkStart w:id="961" w:name="bookmark961"/>
      <w:bookmarkEnd w:id="961"/>
      <w:r>
        <w:rPr>
          <w:b/>
          <w:bCs/>
          <w:color w:val="000000"/>
          <w:spacing w:val="0"/>
          <w:w w:val="100"/>
          <w:position w:val="0"/>
        </w:rPr>
        <w:t>存货的分类</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中耗用的材料和物料等。主要包括原材料、委托加工材料、在产品、库存商品、发出商品等。</w:t>
      </w:r>
    </w:p>
    <w:p>
      <w:pPr>
        <w:pStyle w:val="Style18"/>
        <w:keepNext w:val="0"/>
        <w:keepLines w:val="0"/>
        <w:widowControl w:val="0"/>
        <w:numPr>
          <w:ilvl w:val="0"/>
          <w:numId w:val="35"/>
        </w:numPr>
        <w:shd w:val="clear" w:color="auto" w:fill="auto"/>
        <w:tabs>
          <w:tab w:pos="760" w:val="left"/>
        </w:tabs>
        <w:bidi w:val="0"/>
        <w:spacing w:before="0" w:after="0" w:line="320" w:lineRule="exact"/>
        <w:ind w:left="0" w:right="0" w:firstLine="440"/>
        <w:jc w:val="both"/>
      </w:pPr>
      <w:bookmarkStart w:id="962" w:name="bookmark962"/>
      <w:bookmarkEnd w:id="962"/>
      <w:r>
        <w:rPr>
          <w:b/>
          <w:bCs/>
          <w:color w:val="000000"/>
          <w:spacing w:val="0"/>
          <w:w w:val="100"/>
          <w:position w:val="0"/>
        </w:rPr>
        <w:t>存货的计价方法</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存货在取得时，按成本进行初始计量，包括采购成本、加工成本和其他成本。存货发出时按个别认定法计价。</w:t>
      </w:r>
    </w:p>
    <w:p>
      <w:pPr>
        <w:pStyle w:val="Style18"/>
        <w:keepNext w:val="0"/>
        <w:keepLines w:val="0"/>
        <w:widowControl w:val="0"/>
        <w:numPr>
          <w:ilvl w:val="0"/>
          <w:numId w:val="35"/>
        </w:numPr>
        <w:shd w:val="clear" w:color="auto" w:fill="auto"/>
        <w:tabs>
          <w:tab w:pos="760" w:val="left"/>
        </w:tabs>
        <w:bidi w:val="0"/>
        <w:spacing w:before="0" w:after="0" w:line="320" w:lineRule="exact"/>
        <w:ind w:left="0" w:right="0" w:firstLine="440"/>
        <w:jc w:val="both"/>
      </w:pPr>
      <w:bookmarkStart w:id="963" w:name="bookmark963"/>
      <w:bookmarkEnd w:id="963"/>
      <w:r>
        <w:rPr>
          <w:b/>
          <w:bCs/>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期末对存货进行全面清查后，按存货的成本与可变现净值孰低提取或调整存货跌价准备。产成品、库存商品和用于出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18"/>
        <w:keepNext w:val="0"/>
        <w:keepLines w:val="0"/>
        <w:widowControl w:val="0"/>
        <w:numPr>
          <w:ilvl w:val="0"/>
          <w:numId w:val="35"/>
        </w:numPr>
        <w:shd w:val="clear" w:color="auto" w:fill="auto"/>
        <w:tabs>
          <w:tab w:pos="760" w:val="left"/>
        </w:tabs>
        <w:bidi w:val="0"/>
        <w:spacing w:before="0" w:after="0" w:line="320" w:lineRule="exact"/>
        <w:ind w:left="0" w:right="0" w:firstLine="440"/>
        <w:jc w:val="both"/>
      </w:pPr>
      <w:bookmarkStart w:id="964" w:name="bookmark964"/>
      <w:bookmarkEnd w:id="964"/>
      <w:r>
        <w:rPr>
          <w:b/>
          <w:bCs/>
          <w:color w:val="000000"/>
          <w:spacing w:val="0"/>
          <w:w w:val="100"/>
          <w:position w:val="0"/>
        </w:rPr>
        <w:t>存货的盘存制度</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采用永续盘存制。</w:t>
      </w:r>
    </w:p>
    <w:p>
      <w:pPr>
        <w:pStyle w:val="Style18"/>
        <w:keepNext w:val="0"/>
        <w:keepLines w:val="0"/>
        <w:widowControl w:val="0"/>
        <w:numPr>
          <w:ilvl w:val="0"/>
          <w:numId w:val="35"/>
        </w:numPr>
        <w:shd w:val="clear" w:color="auto" w:fill="auto"/>
        <w:tabs>
          <w:tab w:pos="760" w:val="left"/>
        </w:tabs>
        <w:bidi w:val="0"/>
        <w:spacing w:before="0" w:after="0" w:line="320" w:lineRule="exact"/>
        <w:ind w:left="0" w:right="0" w:firstLine="440"/>
        <w:jc w:val="both"/>
      </w:pPr>
      <w:bookmarkStart w:id="965" w:name="bookmark965"/>
      <w:bookmarkEnd w:id="965"/>
      <w:r>
        <w:rPr>
          <w:b/>
          <w:bCs/>
          <w:color w:val="000000"/>
          <w:spacing w:val="0"/>
          <w:w w:val="100"/>
          <w:position w:val="0"/>
        </w:rPr>
        <w:t>低值易耗品的摊销方法</w:t>
      </w:r>
    </w:p>
    <w:p>
      <w:pPr>
        <w:pStyle w:val="Style18"/>
        <w:keepNext w:val="0"/>
        <w:keepLines w:val="0"/>
        <w:widowControl w:val="0"/>
        <w:shd w:val="clear" w:color="auto" w:fill="auto"/>
        <w:bidi w:val="0"/>
        <w:spacing w:before="0" w:after="400" w:line="320" w:lineRule="exact"/>
        <w:ind w:left="0" w:right="0" w:firstLine="440"/>
        <w:jc w:val="both"/>
      </w:pPr>
      <w:r>
        <w:rPr>
          <w:color w:val="000000"/>
          <w:spacing w:val="0"/>
          <w:w w:val="100"/>
          <w:position w:val="0"/>
        </w:rPr>
        <w:t>低值易耗品采用一次转销法。</w:t>
      </w:r>
    </w:p>
    <w:p>
      <w:pPr>
        <w:pStyle w:val="Style29"/>
        <w:keepNext/>
        <w:keepLines/>
        <w:widowControl w:val="0"/>
        <w:shd w:val="clear" w:color="auto" w:fill="auto"/>
        <w:tabs>
          <w:tab w:pos="514"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bookmarkEnd w:id="96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66"/>
      <w:bookmarkEnd w:id="967"/>
      <w:bookmarkEnd w:id="969"/>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8"/>
        <w:keepNext w:val="0"/>
        <w:keepLines w:val="0"/>
        <w:widowControl w:val="0"/>
        <w:shd w:val="clear" w:color="auto" w:fill="auto"/>
        <w:bidi w:val="0"/>
        <w:spacing w:before="0" w:after="400" w:line="320" w:lineRule="exact"/>
        <w:ind w:left="0" w:right="0" w:firstLine="380"/>
        <w:jc w:val="both"/>
      </w:pPr>
      <w:r>
        <w:rPr>
          <w:color w:val="000000"/>
          <w:spacing w:val="0"/>
          <w:w w:val="100"/>
          <w:position w:val="0"/>
        </w:rPr>
        <w:t>本公司对合同资产的预期信用损失的确定方法及会计处理方法详见本附注（十一）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514"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70"/>
      <w:bookmarkEnd w:id="971"/>
      <w:bookmarkEnd w:id="973"/>
    </w:p>
    <w:p>
      <w:pPr>
        <w:pStyle w:val="Style18"/>
        <w:keepNext w:val="0"/>
        <w:keepLines w:val="0"/>
        <w:widowControl w:val="0"/>
        <w:numPr>
          <w:ilvl w:val="0"/>
          <w:numId w:val="37"/>
        </w:numPr>
        <w:shd w:val="clear" w:color="auto" w:fill="auto"/>
        <w:bidi w:val="0"/>
        <w:spacing w:before="0" w:after="140" w:line="320" w:lineRule="exact"/>
        <w:ind w:left="0" w:right="0" w:firstLine="380"/>
        <w:jc w:val="both"/>
      </w:pPr>
      <w:bookmarkStart w:id="974" w:name="bookmark974"/>
      <w:bookmarkEnd w:id="974"/>
      <w:r>
        <w:rPr>
          <w:b/>
          <w:bCs/>
          <w:color w:val="000000"/>
          <w:spacing w:val="0"/>
          <w:w w:val="100"/>
          <w:position w:val="0"/>
        </w:rPr>
        <w:t>合同履约成本</w:t>
      </w:r>
    </w:p>
    <w:p>
      <w:pPr>
        <w:pStyle w:val="Style18"/>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8"/>
        <w:keepNext w:val="0"/>
        <w:keepLines w:val="0"/>
        <w:widowControl w:val="0"/>
        <w:shd w:val="clear" w:color="auto" w:fill="auto"/>
        <w:tabs>
          <w:tab w:pos="901" w:val="left"/>
        </w:tabs>
        <w:bidi w:val="0"/>
        <w:spacing w:before="0" w:after="140" w:line="322" w:lineRule="exact"/>
        <w:ind w:left="0" w:right="0" w:firstLine="38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18"/>
        <w:keepNext w:val="0"/>
        <w:keepLines w:val="0"/>
        <w:widowControl w:val="0"/>
        <w:shd w:val="clear" w:color="auto" w:fill="auto"/>
        <w:tabs>
          <w:tab w:pos="825" w:val="left"/>
        </w:tabs>
        <w:bidi w:val="0"/>
        <w:spacing w:before="0" w:after="140" w:line="320" w:lineRule="exact"/>
        <w:ind w:left="0" w:right="0" w:firstLine="38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18"/>
        <w:keepNext w:val="0"/>
        <w:keepLines w:val="0"/>
        <w:widowControl w:val="0"/>
        <w:shd w:val="clear" w:color="auto" w:fill="auto"/>
        <w:tabs>
          <w:tab w:pos="825" w:val="left"/>
        </w:tabs>
        <w:bidi w:val="0"/>
        <w:spacing w:before="0" w:after="140" w:line="320" w:lineRule="exact"/>
        <w:ind w:left="0" w:right="0" w:firstLine="38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18"/>
        <w:keepNext w:val="0"/>
        <w:keepLines w:val="0"/>
        <w:widowControl w:val="0"/>
        <w:shd w:val="clear" w:color="auto" w:fill="auto"/>
        <w:bidi w:val="0"/>
        <w:spacing w:before="0" w:after="140" w:line="320" w:lineRule="exact"/>
        <w:ind w:left="0" w:right="0" w:firstLine="380"/>
        <w:jc w:val="both"/>
      </w:pPr>
      <w:r>
        <w:rPr>
          <w:color w:val="000000"/>
          <w:spacing w:val="0"/>
          <w:w w:val="100"/>
          <w:position w:val="0"/>
        </w:rPr>
        <w:t>该资产根据其初始确认时摊销期限是否超过一个正常营业周期在存货或其他非流动资产中列报。</w:t>
      </w:r>
    </w:p>
    <w:p>
      <w:pPr>
        <w:pStyle w:val="Style18"/>
        <w:keepNext w:val="0"/>
        <w:keepLines w:val="0"/>
        <w:widowControl w:val="0"/>
        <w:numPr>
          <w:ilvl w:val="0"/>
          <w:numId w:val="37"/>
        </w:numPr>
        <w:shd w:val="clear" w:color="auto" w:fill="auto"/>
        <w:tabs>
          <w:tab w:pos="680" w:val="left"/>
        </w:tabs>
        <w:bidi w:val="0"/>
        <w:spacing w:before="0" w:after="140" w:line="322" w:lineRule="exact"/>
        <w:ind w:left="0" w:right="0" w:firstLine="360"/>
        <w:jc w:val="both"/>
      </w:pPr>
      <w:bookmarkStart w:id="978" w:name="bookmark978"/>
      <w:bookmarkEnd w:id="978"/>
      <w:r>
        <w:rPr>
          <w:b/>
          <w:bCs/>
          <w:color w:val="000000"/>
          <w:spacing w:val="0"/>
          <w:w w:val="100"/>
          <w:position w:val="0"/>
        </w:rPr>
        <w:t>合同取得成本</w:t>
      </w:r>
    </w:p>
    <w:p>
      <w:pPr>
        <w:pStyle w:val="Style18"/>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8"/>
        <w:keepNext w:val="0"/>
        <w:keepLines w:val="0"/>
        <w:widowControl w:val="0"/>
        <w:numPr>
          <w:ilvl w:val="0"/>
          <w:numId w:val="37"/>
        </w:numPr>
        <w:shd w:val="clear" w:color="auto" w:fill="auto"/>
        <w:tabs>
          <w:tab w:pos="680" w:val="left"/>
        </w:tabs>
        <w:bidi w:val="0"/>
        <w:spacing w:before="0" w:after="140" w:line="322" w:lineRule="exact"/>
        <w:ind w:left="0" w:right="0" w:firstLine="360"/>
        <w:jc w:val="both"/>
      </w:pPr>
      <w:bookmarkStart w:id="979" w:name="bookmark979"/>
      <w:bookmarkEnd w:id="979"/>
      <w:r>
        <w:rPr>
          <w:b/>
          <w:bCs/>
          <w:color w:val="000000"/>
          <w:spacing w:val="0"/>
          <w:w w:val="100"/>
          <w:position w:val="0"/>
        </w:rPr>
        <w:t>合同成本摊销</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8"/>
        <w:keepNext w:val="0"/>
        <w:keepLines w:val="0"/>
        <w:widowControl w:val="0"/>
        <w:numPr>
          <w:ilvl w:val="0"/>
          <w:numId w:val="37"/>
        </w:numPr>
        <w:shd w:val="clear" w:color="auto" w:fill="auto"/>
        <w:tabs>
          <w:tab w:pos="680" w:val="left"/>
        </w:tabs>
        <w:bidi w:val="0"/>
        <w:spacing w:before="0" w:after="140" w:line="322" w:lineRule="exact"/>
        <w:ind w:left="0" w:right="0" w:firstLine="360"/>
        <w:jc w:val="both"/>
      </w:pPr>
      <w:bookmarkStart w:id="980" w:name="bookmark980"/>
      <w:bookmarkEnd w:id="980"/>
      <w:r>
        <w:rPr>
          <w:b/>
          <w:bCs/>
          <w:color w:val="000000"/>
          <w:spacing w:val="0"/>
          <w:w w:val="100"/>
          <w:position w:val="0"/>
        </w:rPr>
        <w:t>合同成本减值</w:t>
      </w:r>
    </w:p>
    <w:p>
      <w:pPr>
        <w:pStyle w:val="Style18"/>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8"/>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9"/>
        <w:keepNext/>
        <w:keepLines/>
        <w:widowControl w:val="0"/>
        <w:shd w:val="clear" w:color="auto" w:fill="auto"/>
        <w:tabs>
          <w:tab w:pos="474" w:val="left"/>
        </w:tabs>
        <w:bidi w:val="0"/>
        <w:spacing w:before="0" w:after="28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81"/>
      <w:bookmarkEnd w:id="982"/>
      <w:bookmarkEnd w:id="984"/>
    </w:p>
    <w:p>
      <w:pPr>
        <w:pStyle w:val="Style18"/>
        <w:keepNext w:val="0"/>
        <w:keepLines w:val="0"/>
        <w:widowControl w:val="0"/>
        <w:numPr>
          <w:ilvl w:val="0"/>
          <w:numId w:val="39"/>
        </w:numPr>
        <w:shd w:val="clear" w:color="auto" w:fill="auto"/>
        <w:tabs>
          <w:tab w:pos="666" w:val="left"/>
        </w:tabs>
        <w:bidi w:val="0"/>
        <w:spacing w:before="0" w:after="140" w:line="322" w:lineRule="exact"/>
        <w:ind w:left="0" w:right="0" w:firstLine="360"/>
        <w:jc w:val="both"/>
      </w:pPr>
      <w:bookmarkStart w:id="985" w:name="bookmark985"/>
      <w:bookmarkEnd w:id="985"/>
      <w:r>
        <w:rPr>
          <w:b/>
          <w:bCs/>
          <w:color w:val="000000"/>
          <w:spacing w:val="0"/>
          <w:w w:val="100"/>
          <w:position w:val="0"/>
        </w:rPr>
        <w:t>划分为持有待售确认标准</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本公司将同时满足下列条件的非流动资产或处置组确认为持有待售组成部分：</w:t>
      </w:r>
    </w:p>
    <w:p>
      <w:pPr>
        <w:pStyle w:val="Style18"/>
        <w:keepNext w:val="0"/>
        <w:keepLines w:val="0"/>
        <w:widowControl w:val="0"/>
        <w:shd w:val="clear" w:color="auto" w:fill="auto"/>
        <w:tabs>
          <w:tab w:pos="805" w:val="left"/>
        </w:tabs>
        <w:bidi w:val="0"/>
        <w:spacing w:before="0" w:after="140" w:line="322" w:lineRule="exact"/>
        <w:ind w:left="0" w:right="0" w:firstLine="36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8"/>
        <w:keepNext w:val="0"/>
        <w:keepLines w:val="0"/>
        <w:widowControl w:val="0"/>
        <w:shd w:val="clear" w:color="auto" w:fill="auto"/>
        <w:tabs>
          <w:tab w:pos="896" w:val="left"/>
        </w:tabs>
        <w:bidi w:val="0"/>
        <w:spacing w:before="0" w:after="140" w:line="336" w:lineRule="exact"/>
        <w:ind w:left="0" w:right="0" w:firstLine="36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出售极可能发生，即本公司已经就一项出售计划作出决议，并已获得监管部门批准（如适用），且获得确定的购 买承诺，预计出售将在一年内完成。</w:t>
      </w:r>
    </w:p>
    <w:p>
      <w:pPr>
        <w:pStyle w:val="Style18"/>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18"/>
        <w:keepNext w:val="0"/>
        <w:keepLines w:val="0"/>
        <w:widowControl w:val="0"/>
        <w:numPr>
          <w:ilvl w:val="0"/>
          <w:numId w:val="39"/>
        </w:numPr>
        <w:shd w:val="clear" w:color="auto" w:fill="auto"/>
        <w:tabs>
          <w:tab w:pos="680" w:val="left"/>
        </w:tabs>
        <w:bidi w:val="0"/>
        <w:spacing w:before="0" w:after="140" w:line="322" w:lineRule="exact"/>
        <w:ind w:left="0" w:right="0" w:firstLine="360"/>
        <w:jc w:val="both"/>
      </w:pPr>
      <w:bookmarkStart w:id="988" w:name="bookmark988"/>
      <w:bookmarkEnd w:id="988"/>
      <w:r>
        <w:rPr>
          <w:b/>
          <w:bCs/>
          <w:color w:val="000000"/>
          <w:spacing w:val="0"/>
          <w:w w:val="100"/>
          <w:position w:val="0"/>
        </w:rPr>
        <w:t>持有待售核算方法</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18"/>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29"/>
        <w:keepNext/>
        <w:keepLines/>
        <w:widowControl w:val="0"/>
        <w:shd w:val="clear" w:color="auto" w:fill="auto"/>
        <w:tabs>
          <w:tab w:pos="474" w:val="left"/>
        </w:tabs>
        <w:bidi w:val="0"/>
        <w:spacing w:before="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89"/>
      <w:bookmarkEnd w:id="990"/>
      <w:bookmarkEnd w:id="992"/>
    </w:p>
    <w:p>
      <w:pPr>
        <w:pStyle w:val="Style18"/>
        <w:keepNext w:val="0"/>
        <w:keepLines w:val="0"/>
        <w:widowControl w:val="0"/>
        <w:shd w:val="clear" w:color="auto" w:fill="auto"/>
        <w:bidi w:val="0"/>
        <w:spacing w:before="0" w:after="14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93"/>
      <w:bookmarkEnd w:id="994"/>
      <w:bookmarkEnd w:id="996"/>
    </w:p>
    <w:p>
      <w:pPr>
        <w:pStyle w:val="Style1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本公司对其他债权投资的预期信用损失的确定方法及会计处理方法详见本附注（十一）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483" w:val="left"/>
        </w:tabs>
        <w:bidi w:val="0"/>
        <w:spacing w:before="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0"/>
      <w:bookmarkEnd w:id="997"/>
      <w:bookmarkEnd w:id="998"/>
    </w:p>
    <w:p>
      <w:pPr>
        <w:pStyle w:val="Style18"/>
        <w:keepNext w:val="0"/>
        <w:keepLines w:val="0"/>
        <w:widowControl w:val="0"/>
        <w:shd w:val="clear" w:color="auto" w:fill="auto"/>
        <w:bidi w:val="0"/>
        <w:spacing w:before="0" w:after="300" w:line="240" w:lineRule="auto"/>
        <w:ind w:left="0" w:right="0" w:firstLine="380"/>
        <w:jc w:val="both"/>
      </w:pPr>
      <w:r>
        <w:rPr>
          <w:color w:val="000000"/>
          <w:spacing w:val="0"/>
          <w:w w:val="100"/>
          <w:position w:val="0"/>
        </w:rPr>
        <w:t>本公司对长期应收款的预期信用损失的确定方法及会计处理方法详见本附注（十一）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本公司对单项金额重大且在初始确认后已经发生信用减值的长期应收款单独确定其信用损失。</w:t>
      </w:r>
    </w:p>
    <w:p>
      <w:pPr>
        <w:pStyle w:val="Style18"/>
        <w:keepNext w:val="0"/>
        <w:keepLines w:val="0"/>
        <w:widowControl w:val="0"/>
        <w:shd w:val="clear" w:color="auto" w:fill="auto"/>
        <w:bidi w:val="0"/>
        <w:spacing w:before="0" w:after="200" w:line="326" w:lineRule="exact"/>
        <w:ind w:left="0" w:right="0" w:firstLine="38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对未来经济状况的判断，依据信用风险特征将长期应收款划分为若干组合，在组合基础上计算预期信用损失。确定组合的依 据如下：</w:t>
      </w:r>
    </w:p>
    <w:tbl>
      <w:tblPr>
        <w:tblOverlap w:val="never"/>
        <w:jc w:val="center"/>
        <w:tblLayout w:type="fixed"/>
      </w:tblPr>
      <w:tblGrid>
        <w:gridCol w:w="1354"/>
        <w:gridCol w:w="2198"/>
        <w:gridCol w:w="6106"/>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参考长期应收款的逾期时间 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参考历史信用损失经验，结合当前状况以及对未来经济状况的预测，编制长期 应收款逾期情况与整个存续期预期信用损失率对照表，计算预期信用损失。</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01"/>
      <w:bookmarkEnd w:id="1002"/>
      <w:bookmarkEnd w:id="1004"/>
    </w:p>
    <w:p>
      <w:pPr>
        <w:pStyle w:val="Style18"/>
        <w:keepNext w:val="0"/>
        <w:keepLines w:val="0"/>
        <w:widowControl w:val="0"/>
        <w:numPr>
          <w:ilvl w:val="0"/>
          <w:numId w:val="41"/>
        </w:numPr>
        <w:shd w:val="clear" w:color="auto" w:fill="auto"/>
        <w:tabs>
          <w:tab w:pos="772" w:val="left"/>
        </w:tabs>
        <w:bidi w:val="0"/>
        <w:spacing w:before="0" w:after="200" w:line="233" w:lineRule="exact"/>
        <w:ind w:left="0" w:right="0" w:firstLine="380"/>
        <w:jc w:val="both"/>
      </w:pPr>
      <w:bookmarkStart w:id="1005" w:name="bookmark1005"/>
      <w:bookmarkEnd w:id="1005"/>
      <w:r>
        <w:rPr>
          <w:b/>
          <w:bCs/>
          <w:color w:val="000000"/>
          <w:spacing w:val="0"/>
          <w:w w:val="100"/>
          <w:position w:val="0"/>
        </w:rPr>
        <w:t>初始投资成本的确定</w:t>
      </w:r>
    </w:p>
    <w:p>
      <w:pPr>
        <w:pStyle w:val="Style18"/>
        <w:keepNext w:val="0"/>
        <w:keepLines w:val="0"/>
        <w:widowControl w:val="0"/>
        <w:shd w:val="clear" w:color="auto" w:fill="auto"/>
        <w:tabs>
          <w:tab w:pos="901" w:val="left"/>
        </w:tabs>
        <w:bidi w:val="0"/>
        <w:spacing w:before="0" w:after="160" w:line="230" w:lineRule="exact"/>
        <w:ind w:left="0" w:right="0" w:firstLine="38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企业合并形成的长期股权投资，具体会计政策详见本附注（六）同一控制下和非同一控制下企业合并的会计处理 方法。</w:t>
      </w:r>
    </w:p>
    <w:p>
      <w:pPr>
        <w:pStyle w:val="Style18"/>
        <w:keepNext w:val="0"/>
        <w:keepLines w:val="0"/>
        <w:widowControl w:val="0"/>
        <w:shd w:val="clear" w:color="auto" w:fill="auto"/>
        <w:tabs>
          <w:tab w:pos="825" w:val="left"/>
        </w:tabs>
        <w:bidi w:val="0"/>
        <w:spacing w:before="0" w:after="160" w:line="233" w:lineRule="exact"/>
        <w:ind w:left="0" w:right="0" w:firstLine="38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8"/>
        <w:keepNext w:val="0"/>
        <w:keepLines w:val="0"/>
        <w:widowControl w:val="0"/>
        <w:shd w:val="clear" w:color="auto" w:fill="auto"/>
        <w:bidi w:val="0"/>
        <w:spacing w:before="0" w:after="200" w:line="233" w:lineRule="exact"/>
        <w:ind w:left="0" w:right="0" w:firstLine="380"/>
        <w:jc w:val="both"/>
      </w:pPr>
      <w:r>
        <w:rPr>
          <w:color w:val="000000"/>
          <w:spacing w:val="0"/>
          <w:w w:val="100"/>
          <w:position w:val="0"/>
        </w:rPr>
        <w:t>通过债务重组取得的长期股权投资，其初始投资成本按照公允价值为基础确定。</w:t>
      </w:r>
    </w:p>
    <w:p>
      <w:pPr>
        <w:pStyle w:val="Style18"/>
        <w:keepNext w:val="0"/>
        <w:keepLines w:val="0"/>
        <w:widowControl w:val="0"/>
        <w:numPr>
          <w:ilvl w:val="0"/>
          <w:numId w:val="41"/>
        </w:numPr>
        <w:shd w:val="clear" w:color="auto" w:fill="auto"/>
        <w:tabs>
          <w:tab w:pos="700" w:val="left"/>
        </w:tabs>
        <w:bidi w:val="0"/>
        <w:spacing w:before="0" w:after="160" w:line="233" w:lineRule="exact"/>
        <w:ind w:left="0" w:right="0" w:firstLine="380"/>
        <w:jc w:val="both"/>
      </w:pPr>
      <w:bookmarkStart w:id="1008" w:name="bookmark1008"/>
      <w:bookmarkEnd w:id="1008"/>
      <w:r>
        <w:rPr>
          <w:b/>
          <w:bCs/>
          <w:color w:val="000000"/>
          <w:spacing w:val="0"/>
          <w:w w:val="100"/>
          <w:position w:val="0"/>
        </w:rPr>
        <w:t>后续计量及损益确认</w:t>
      </w:r>
    </w:p>
    <w:p>
      <w:pPr>
        <w:pStyle w:val="Style18"/>
        <w:keepNext w:val="0"/>
        <w:keepLines w:val="0"/>
        <w:widowControl w:val="0"/>
        <w:shd w:val="clear" w:color="auto" w:fill="auto"/>
        <w:tabs>
          <w:tab w:pos="825" w:val="left"/>
        </w:tabs>
        <w:bidi w:val="0"/>
        <w:spacing w:before="0" w:after="160" w:line="233" w:lineRule="exact"/>
        <w:ind w:left="0" w:right="0" w:firstLine="38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8"/>
        <w:keepNext w:val="0"/>
        <w:keepLines w:val="0"/>
        <w:widowControl w:val="0"/>
        <w:shd w:val="clear" w:color="auto" w:fill="auto"/>
        <w:bidi w:val="0"/>
        <w:spacing w:before="0" w:after="160" w:line="226" w:lineRule="exact"/>
        <w:ind w:left="0" w:right="0" w:firstLine="38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8"/>
        <w:keepNext w:val="0"/>
        <w:keepLines w:val="0"/>
        <w:widowControl w:val="0"/>
        <w:shd w:val="clear" w:color="auto" w:fill="auto"/>
        <w:tabs>
          <w:tab w:pos="825" w:val="left"/>
        </w:tabs>
        <w:bidi w:val="0"/>
        <w:spacing w:before="0" w:after="160" w:line="233" w:lineRule="exact"/>
        <w:ind w:left="0" w:right="0" w:firstLine="38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8"/>
        <w:keepNext w:val="0"/>
        <w:keepLines w:val="0"/>
        <w:widowControl w:val="0"/>
        <w:shd w:val="clear" w:color="auto" w:fill="auto"/>
        <w:bidi w:val="0"/>
        <w:spacing w:before="0" w:after="140" w:line="233" w:lineRule="exact"/>
        <w:ind w:left="0" w:right="0" w:firstLine="380"/>
        <w:jc w:val="both"/>
      </w:pPr>
      <w:r>
        <w:rPr>
          <w:color w:val="000000"/>
          <w:spacing w:val="0"/>
          <w:w w:val="100"/>
          <w:position w:val="0"/>
        </w:rPr>
        <w:t xml:space="preserve">本公司取得长期股权投资后，按照应享有或应分担的被投资单位实现的净损益和其他综合收益的份额，分别确认投资收 </w:t>
      </w:r>
      <w:r>
        <w:rPr>
          <w:color w:val="000000"/>
          <w:spacing w:val="0"/>
          <w:w w:val="100"/>
          <w:position w:val="0"/>
        </w:rPr>
        <w:t>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8"/>
        <w:keepNext w:val="0"/>
        <w:keepLines w:val="0"/>
        <w:widowControl w:val="0"/>
        <w:shd w:val="clear" w:color="auto" w:fill="auto"/>
        <w:bidi w:val="0"/>
        <w:spacing w:before="0" w:after="140" w:line="218"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8"/>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8"/>
        <w:keepNext w:val="0"/>
        <w:keepLines w:val="0"/>
        <w:widowControl w:val="0"/>
        <w:shd w:val="clear" w:color="auto" w:fill="auto"/>
        <w:bidi w:val="0"/>
        <w:spacing w:before="0" w:after="240" w:line="230"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18"/>
        <w:keepNext w:val="0"/>
        <w:keepLines w:val="0"/>
        <w:widowControl w:val="0"/>
        <w:numPr>
          <w:ilvl w:val="0"/>
          <w:numId w:val="41"/>
        </w:numPr>
        <w:shd w:val="clear" w:color="auto" w:fill="auto"/>
        <w:tabs>
          <w:tab w:pos="635" w:val="left"/>
        </w:tabs>
        <w:bidi w:val="0"/>
        <w:spacing w:before="0" w:after="140" w:line="271" w:lineRule="auto"/>
        <w:ind w:left="0" w:right="0" w:firstLine="360"/>
        <w:jc w:val="both"/>
      </w:pPr>
      <w:bookmarkStart w:id="1011" w:name="bookmark1011"/>
      <w:bookmarkEnd w:id="1011"/>
      <w:r>
        <w:rPr>
          <w:b/>
          <w:bCs/>
          <w:color w:val="000000"/>
          <w:spacing w:val="0"/>
          <w:w w:val="100"/>
          <w:position w:val="0"/>
        </w:rPr>
        <w:t>长期股权投资核算方法的转换</w:t>
      </w:r>
    </w:p>
    <w:p>
      <w:pPr>
        <w:pStyle w:val="Style18"/>
        <w:keepNext w:val="0"/>
        <w:keepLines w:val="0"/>
        <w:widowControl w:val="0"/>
        <w:shd w:val="clear" w:color="auto" w:fill="auto"/>
        <w:tabs>
          <w:tab w:pos="760" w:val="left"/>
        </w:tabs>
        <w:bidi w:val="0"/>
        <w:spacing w:before="0" w:after="140" w:line="233" w:lineRule="exact"/>
        <w:ind w:left="0" w:right="0" w:firstLine="36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18"/>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18"/>
        <w:keepNext w:val="0"/>
        <w:keepLines w:val="0"/>
        <w:widowControl w:val="0"/>
        <w:shd w:val="clear" w:color="auto" w:fill="auto"/>
        <w:tabs>
          <w:tab w:pos="760" w:val="left"/>
        </w:tabs>
        <w:bidi w:val="0"/>
        <w:spacing w:before="0" w:after="140" w:line="233" w:lineRule="exact"/>
        <w:ind w:left="0" w:right="0" w:firstLine="36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8"/>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8"/>
        <w:keepNext w:val="0"/>
        <w:keepLines w:val="0"/>
        <w:widowControl w:val="0"/>
        <w:shd w:val="clear" w:color="auto" w:fill="auto"/>
        <w:bidi w:val="0"/>
        <w:spacing w:before="0" w:after="140" w:line="245"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18"/>
        <w:keepNext w:val="0"/>
        <w:keepLines w:val="0"/>
        <w:widowControl w:val="0"/>
        <w:shd w:val="clear" w:color="auto" w:fill="auto"/>
        <w:tabs>
          <w:tab w:pos="760" w:val="left"/>
        </w:tabs>
        <w:bidi w:val="0"/>
        <w:spacing w:before="0" w:after="140" w:line="233" w:lineRule="exact"/>
        <w:ind w:left="0" w:right="0" w:firstLine="36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18"/>
        <w:keepNext w:val="0"/>
        <w:keepLines w:val="0"/>
        <w:widowControl w:val="0"/>
        <w:shd w:val="clear" w:color="auto" w:fill="auto"/>
        <w:bidi w:val="0"/>
        <w:spacing w:before="0" w:after="140" w:line="226"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 益。</w:t>
      </w:r>
    </w:p>
    <w:p>
      <w:pPr>
        <w:pStyle w:val="Style18"/>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8"/>
        <w:keepNext w:val="0"/>
        <w:keepLines w:val="0"/>
        <w:widowControl w:val="0"/>
        <w:shd w:val="clear" w:color="auto" w:fill="auto"/>
        <w:tabs>
          <w:tab w:pos="760" w:val="left"/>
        </w:tabs>
        <w:bidi w:val="0"/>
        <w:spacing w:before="0" w:after="140" w:line="233" w:lineRule="exact"/>
        <w:ind w:left="0" w:right="0" w:firstLine="36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w:t>
      </w:r>
    </w:p>
    <w:p>
      <w:pPr>
        <w:pStyle w:val="Style18"/>
        <w:keepNext w:val="0"/>
        <w:keepLines w:val="0"/>
        <w:widowControl w:val="0"/>
        <w:shd w:val="clear" w:color="auto" w:fill="auto"/>
        <w:bidi w:val="0"/>
        <w:spacing w:before="0" w:after="140" w:line="245"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8"/>
        <w:keepNext w:val="0"/>
        <w:keepLines w:val="0"/>
        <w:widowControl w:val="0"/>
        <w:shd w:val="clear" w:color="auto" w:fill="auto"/>
        <w:tabs>
          <w:tab w:pos="760" w:val="left"/>
        </w:tabs>
        <w:bidi w:val="0"/>
        <w:spacing w:before="0" w:after="140" w:line="233" w:lineRule="exact"/>
        <w:ind w:left="0" w:right="0" w:firstLine="36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w:t>
      </w:r>
    </w:p>
    <w:p>
      <w:pPr>
        <w:pStyle w:val="Style18"/>
        <w:keepNext w:val="0"/>
        <w:keepLines w:val="0"/>
        <w:widowControl w:val="0"/>
        <w:shd w:val="clear" w:color="auto" w:fill="auto"/>
        <w:bidi w:val="0"/>
        <w:spacing w:before="0" w:after="240" w:line="238"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18"/>
        <w:keepNext w:val="0"/>
        <w:keepLines w:val="0"/>
        <w:widowControl w:val="0"/>
        <w:numPr>
          <w:ilvl w:val="0"/>
          <w:numId w:val="41"/>
        </w:numPr>
        <w:shd w:val="clear" w:color="auto" w:fill="auto"/>
        <w:tabs>
          <w:tab w:pos="635" w:val="left"/>
        </w:tabs>
        <w:bidi w:val="0"/>
        <w:spacing w:before="0" w:after="140" w:line="271" w:lineRule="auto"/>
        <w:ind w:left="0" w:right="0" w:firstLine="360"/>
        <w:jc w:val="both"/>
      </w:pPr>
      <w:bookmarkStart w:id="1017" w:name="bookmark1017"/>
      <w:bookmarkEnd w:id="1017"/>
      <w:r>
        <w:rPr>
          <w:b/>
          <w:bCs/>
          <w:color w:val="000000"/>
          <w:spacing w:val="0"/>
          <w:w w:val="100"/>
          <w:position w:val="0"/>
        </w:rPr>
        <w:t>长期股权投资的处置</w:t>
      </w:r>
    </w:p>
    <w:p>
      <w:pPr>
        <w:pStyle w:val="Style18"/>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8"/>
        <w:keepNext w:val="0"/>
        <w:keepLines w:val="0"/>
        <w:widowControl w:val="0"/>
        <w:shd w:val="clear" w:color="auto" w:fill="auto"/>
        <w:tabs>
          <w:tab w:pos="787" w:val="left"/>
        </w:tabs>
        <w:bidi w:val="0"/>
        <w:spacing w:before="0" w:after="140" w:line="233" w:lineRule="exact"/>
        <w:ind w:left="0" w:right="0" w:firstLine="38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18"/>
        <w:keepNext w:val="0"/>
        <w:keepLines w:val="0"/>
        <w:widowControl w:val="0"/>
        <w:shd w:val="clear" w:color="auto" w:fill="auto"/>
        <w:tabs>
          <w:tab w:pos="787" w:val="left"/>
        </w:tabs>
        <w:bidi w:val="0"/>
        <w:spacing w:before="0" w:after="140" w:line="233" w:lineRule="exact"/>
        <w:ind w:left="0" w:right="0" w:firstLine="38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18"/>
        <w:keepNext w:val="0"/>
        <w:keepLines w:val="0"/>
        <w:widowControl w:val="0"/>
        <w:shd w:val="clear" w:color="auto" w:fill="auto"/>
        <w:tabs>
          <w:tab w:pos="787" w:val="left"/>
        </w:tabs>
        <w:bidi w:val="0"/>
        <w:spacing w:before="0" w:after="140" w:line="233" w:lineRule="exact"/>
        <w:ind w:left="0" w:right="0" w:firstLine="38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18"/>
        <w:keepNext w:val="0"/>
        <w:keepLines w:val="0"/>
        <w:widowControl w:val="0"/>
        <w:shd w:val="clear" w:color="auto" w:fill="auto"/>
        <w:tabs>
          <w:tab w:pos="787" w:val="left"/>
        </w:tabs>
        <w:bidi w:val="0"/>
        <w:spacing w:before="0" w:after="140" w:line="233" w:lineRule="exact"/>
        <w:ind w:left="0" w:right="0" w:firstLine="38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8"/>
        <w:keepNext w:val="0"/>
        <w:keepLines w:val="0"/>
        <w:widowControl w:val="0"/>
        <w:shd w:val="clear" w:color="auto" w:fill="auto"/>
        <w:bidi w:val="0"/>
        <w:spacing w:before="0" w:after="140" w:line="230"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18"/>
        <w:keepNext w:val="0"/>
        <w:keepLines w:val="0"/>
        <w:widowControl w:val="0"/>
        <w:shd w:val="clear" w:color="auto" w:fill="auto"/>
        <w:bidi w:val="0"/>
        <w:spacing w:before="0" w:after="140" w:line="235"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8"/>
        <w:keepNext w:val="0"/>
        <w:keepLines w:val="0"/>
        <w:widowControl w:val="0"/>
        <w:shd w:val="clear" w:color="auto" w:fill="auto"/>
        <w:bidi w:val="0"/>
        <w:spacing w:before="0" w:after="140" w:line="216" w:lineRule="exact"/>
        <w:ind w:left="0" w:right="0" w:firstLine="38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8"/>
        <w:keepNext w:val="0"/>
        <w:keepLines w:val="0"/>
        <w:widowControl w:val="0"/>
        <w:shd w:val="clear" w:color="auto" w:fill="auto"/>
        <w:tabs>
          <w:tab w:pos="863" w:val="left"/>
        </w:tabs>
        <w:bidi w:val="0"/>
        <w:spacing w:before="0" w:after="140" w:line="235" w:lineRule="exact"/>
        <w:ind w:left="0" w:right="0" w:firstLine="38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8"/>
        <w:keepNext w:val="0"/>
        <w:keepLines w:val="0"/>
        <w:widowControl w:val="0"/>
        <w:shd w:val="clear" w:color="auto" w:fill="auto"/>
        <w:tabs>
          <w:tab w:pos="863" w:val="left"/>
        </w:tabs>
        <w:bidi w:val="0"/>
        <w:spacing w:before="0" w:after="200" w:line="245" w:lineRule="exact"/>
        <w:ind w:left="0" w:right="0" w:firstLine="38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8"/>
        <w:keepNext w:val="0"/>
        <w:keepLines w:val="0"/>
        <w:widowControl w:val="0"/>
        <w:numPr>
          <w:ilvl w:val="0"/>
          <w:numId w:val="41"/>
        </w:numPr>
        <w:shd w:val="clear" w:color="auto" w:fill="auto"/>
        <w:bidi w:val="0"/>
        <w:spacing w:before="0" w:after="140" w:line="271" w:lineRule="auto"/>
        <w:ind w:left="0" w:right="0" w:firstLine="380"/>
        <w:jc w:val="both"/>
      </w:pPr>
      <w:bookmarkStart w:id="1026" w:name="bookmark1026"/>
      <w:bookmarkEnd w:id="1026"/>
      <w:r>
        <w:rPr>
          <w:b/>
          <w:bCs/>
          <w:color w:val="000000"/>
          <w:spacing w:val="0"/>
          <w:w w:val="100"/>
          <w:position w:val="0"/>
        </w:rPr>
        <w:t>共同控制、重大影响的判断标准</w:t>
      </w:r>
    </w:p>
    <w:p>
      <w:pPr>
        <w:pStyle w:val="Style18"/>
        <w:keepNext w:val="0"/>
        <w:keepLines w:val="0"/>
        <w:widowControl w:val="0"/>
        <w:shd w:val="clear" w:color="auto" w:fill="auto"/>
        <w:bidi w:val="0"/>
        <w:spacing w:before="0" w:after="140" w:line="240" w:lineRule="exact"/>
        <w:ind w:left="0" w:right="0" w:firstLine="38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8"/>
        <w:keepNext w:val="0"/>
        <w:keepLines w:val="0"/>
        <w:widowControl w:val="0"/>
        <w:shd w:val="clear" w:color="auto" w:fill="auto"/>
        <w:bidi w:val="0"/>
        <w:spacing w:before="0" w:after="140" w:line="233" w:lineRule="exact"/>
        <w:ind w:left="0" w:right="0" w:firstLine="38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8"/>
        <w:keepNext w:val="0"/>
        <w:keepLines w:val="0"/>
        <w:widowControl w:val="0"/>
        <w:shd w:val="clear" w:color="auto" w:fill="auto"/>
        <w:bidi w:val="0"/>
        <w:spacing w:before="0" w:after="360" w:line="229"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29"/>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27"/>
      <w:bookmarkEnd w:id="1028"/>
      <w:bookmarkEnd w:id="1030"/>
    </w:p>
    <w:p>
      <w:pPr>
        <w:pStyle w:val="Style18"/>
        <w:keepNext w:val="0"/>
        <w:keepLines w:val="0"/>
        <w:widowControl w:val="0"/>
        <w:shd w:val="clear" w:color="auto" w:fill="auto"/>
        <w:bidi w:val="0"/>
        <w:spacing w:before="0" w:after="140" w:line="235"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140" w:line="235"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200" w:line="235"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18"/>
        <w:keepNext w:val="0"/>
        <w:keepLines w:val="0"/>
        <w:widowControl w:val="0"/>
        <w:shd w:val="clear" w:color="auto" w:fill="auto"/>
        <w:bidi w:val="0"/>
        <w:spacing w:before="0" w:after="140" w:line="230" w:lineRule="exact"/>
        <w:ind w:left="0" w:right="0" w:firstLine="38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center"/>
        <w:tblLayout w:type="fixed"/>
      </w:tblPr>
      <w:tblGrid>
        <w:gridCol w:w="2136"/>
        <w:gridCol w:w="1982"/>
        <w:gridCol w:w="2270"/>
        <w:gridCol w:w="3269"/>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color w:val="000000"/>
                <w:spacing w:val="0"/>
                <w:w w:val="100"/>
                <w:position w:val="0"/>
                <w:sz w:val="18"/>
                <w:szCs w:val="18"/>
              </w:rPr>
              <w:t>％</w:t>
            </w:r>
            <w:r>
              <w:rPr>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159" w:line="1" w:lineRule="exact"/>
      </w:pP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18"/>
        <w:keepNext w:val="0"/>
        <w:keepLines w:val="0"/>
        <w:widowControl w:val="0"/>
        <w:shd w:val="clear" w:color="auto" w:fill="auto"/>
        <w:bidi w:val="0"/>
        <w:spacing w:before="0" w:after="340" w:line="230"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29"/>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31"/>
      <w:bookmarkEnd w:id="1032"/>
      <w:bookmarkEnd w:id="1034"/>
    </w:p>
    <w:p>
      <w:pPr>
        <w:pStyle w:val="Style40"/>
        <w:keepNext/>
        <w:keepLines/>
        <w:widowControl w:val="0"/>
        <w:shd w:val="clear" w:color="auto" w:fill="auto"/>
        <w:tabs>
          <w:tab w:pos="493" w:val="left"/>
        </w:tabs>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35"/>
      <w:bookmarkEnd w:id="1036"/>
      <w:bookmarkEnd w:id="1038"/>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18"/>
        <w:keepNext w:val="0"/>
        <w:keepLines w:val="0"/>
        <w:widowControl w:val="0"/>
        <w:shd w:val="clear" w:color="auto" w:fill="auto"/>
        <w:tabs>
          <w:tab w:pos="825" w:val="left"/>
        </w:tabs>
        <w:bidi w:val="0"/>
        <w:spacing w:before="0" w:after="160" w:line="230" w:lineRule="exact"/>
        <w:ind w:left="0" w:right="0" w:firstLine="38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18"/>
        <w:keepNext w:val="0"/>
        <w:keepLines w:val="0"/>
        <w:widowControl w:val="0"/>
        <w:shd w:val="clear" w:color="auto" w:fill="auto"/>
        <w:tabs>
          <w:tab w:pos="825" w:val="left"/>
        </w:tabs>
        <w:bidi w:val="0"/>
        <w:spacing w:before="0" w:after="340" w:line="230" w:lineRule="exact"/>
        <w:ind w:left="0" w:right="0" w:firstLine="38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40"/>
        <w:keepNext/>
        <w:keepLines/>
        <w:widowControl w:val="0"/>
        <w:shd w:val="clear" w:color="auto" w:fill="auto"/>
        <w:tabs>
          <w:tab w:pos="493" w:val="left"/>
        </w:tabs>
        <w:bidi w:val="0"/>
        <w:spacing w:before="0" w:after="34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41"/>
      <w:bookmarkEnd w:id="1042"/>
      <w:bookmarkEnd w:id="1044"/>
    </w:p>
    <w:tbl>
      <w:tblPr>
        <w:tblOverlap w:val="never"/>
        <w:jc w:val="center"/>
        <w:tblLayout w:type="fixed"/>
      </w:tblPr>
      <w:tblGrid>
        <w:gridCol w:w="1925"/>
        <w:gridCol w:w="1910"/>
        <w:gridCol w:w="1915"/>
        <w:gridCol w:w="1915"/>
        <w:gridCol w:w="192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6"/>
        <w:keepNext w:val="0"/>
        <w:keepLines w:val="0"/>
        <w:widowControl w:val="0"/>
        <w:numPr>
          <w:ilvl w:val="0"/>
          <w:numId w:val="43"/>
        </w:numPr>
        <w:shd w:val="clear" w:color="auto" w:fill="auto"/>
        <w:tabs>
          <w:tab w:pos="504" w:val="left"/>
        </w:tabs>
        <w:bidi w:val="0"/>
        <w:spacing w:before="0" w:after="0" w:line="230" w:lineRule="exact"/>
        <w:ind w:left="0" w:right="0" w:firstLine="0"/>
        <w:jc w:val="left"/>
      </w:pPr>
      <w:r>
        <w:rPr>
          <w:b/>
          <w:bCs/>
          <w:color w:val="000000"/>
          <w:spacing w:val="0"/>
          <w:w w:val="100"/>
          <w:position w:val="0"/>
        </w:rPr>
        <w:t>固定资产初始计量</w:t>
      </w:r>
    </w:p>
    <w:p>
      <w:pPr>
        <w:widowControl w:val="0"/>
        <w:spacing w:after="219" w:line="1" w:lineRule="exact"/>
      </w:pP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本公司固定资产按成本进行初始计量。</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外购的固定资产的成本包括买价、进口关税等相关税费，以及为使固定资产达到预定可使用状态前所发生的可直接归属 于该资产的其他支出。</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自行建造固定资产的成本，由建造该项资产达到预定可使用状态前所发生的必要支出构成。</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投资者投入的固定资产，按投资合同或协议约定的价值作为入账价值，但合同或协议约定价值不公允的按公允价值入账。</w:t>
      </w:r>
    </w:p>
    <w:p>
      <w:pPr>
        <w:pStyle w:val="Style18"/>
        <w:keepNext w:val="0"/>
        <w:keepLines w:val="0"/>
        <w:widowControl w:val="0"/>
        <w:shd w:val="clear" w:color="auto" w:fill="auto"/>
        <w:bidi w:val="0"/>
        <w:spacing w:before="0" w:after="220" w:line="230" w:lineRule="exact"/>
        <w:ind w:left="0" w:right="0" w:firstLine="380"/>
        <w:jc w:val="both"/>
      </w:pPr>
      <w:r>
        <w:rPr>
          <w:color w:val="000000"/>
          <w:spacing w:val="0"/>
          <w:w w:val="100"/>
          <w:position w:val="0"/>
        </w:rPr>
        <w:t>购买固定资产的价款超过正常信用条件延期支付，实质上具有融资性质的，固定资产的成本以购买价款的现值为基础确 定。实际支付的价款与购买价款的现值之间的差额，除应予资本化的以外，在信用期间内计入当期损益。</w:t>
      </w:r>
    </w:p>
    <w:p>
      <w:pPr>
        <w:pStyle w:val="Style18"/>
        <w:keepNext w:val="0"/>
        <w:keepLines w:val="0"/>
        <w:widowControl w:val="0"/>
        <w:numPr>
          <w:ilvl w:val="0"/>
          <w:numId w:val="45"/>
        </w:numPr>
        <w:shd w:val="clear" w:color="auto" w:fill="auto"/>
        <w:tabs>
          <w:tab w:pos="700" w:val="left"/>
        </w:tabs>
        <w:bidi w:val="0"/>
        <w:spacing w:before="0" w:after="160" w:line="230" w:lineRule="exact"/>
        <w:ind w:left="0" w:right="0" w:firstLine="380"/>
        <w:jc w:val="both"/>
      </w:pPr>
      <w:bookmarkStart w:id="1045" w:name="bookmark1045"/>
      <w:bookmarkEnd w:id="1045"/>
      <w:r>
        <w:rPr>
          <w:b/>
          <w:bCs/>
          <w:color w:val="000000"/>
          <w:spacing w:val="0"/>
          <w:w w:val="100"/>
          <w:position w:val="0"/>
        </w:rPr>
        <w:t>固定资产后续计量及处置</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固定资产折旧</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各类固定资产的折旧方法、折旧年限和年折旧率如下：</w:t>
      </w:r>
    </w:p>
    <w:tbl>
      <w:tblPr>
        <w:tblOverlap w:val="never"/>
        <w:jc w:val="center"/>
        <w:tblLayout w:type="fixed"/>
      </w:tblPr>
      <w:tblGrid>
        <w:gridCol w:w="1992"/>
        <w:gridCol w:w="1843"/>
        <w:gridCol w:w="1531"/>
        <w:gridCol w:w="2011"/>
        <w:gridCol w:w="228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固定资产的后续支出</w:t>
      </w:r>
    </w:p>
    <w:p>
      <w:pPr>
        <w:widowControl w:val="0"/>
        <w:spacing w:after="139" w:line="1" w:lineRule="exact"/>
      </w:pPr>
    </w:p>
    <w:p>
      <w:pPr>
        <w:pStyle w:val="Style18"/>
        <w:keepNext w:val="0"/>
        <w:keepLines w:val="0"/>
        <w:widowControl w:val="0"/>
        <w:shd w:val="clear" w:color="auto" w:fill="auto"/>
        <w:bidi w:val="0"/>
        <w:spacing w:before="0" w:after="200" w:line="226" w:lineRule="exact"/>
        <w:ind w:left="0" w:right="0" w:firstLine="38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18"/>
        <w:keepNext w:val="0"/>
        <w:keepLines w:val="0"/>
        <w:widowControl w:val="0"/>
        <w:numPr>
          <w:ilvl w:val="0"/>
          <w:numId w:val="45"/>
        </w:numPr>
        <w:shd w:val="clear" w:color="auto" w:fill="auto"/>
        <w:bidi w:val="0"/>
        <w:spacing w:before="0" w:after="140" w:line="276" w:lineRule="auto"/>
        <w:ind w:left="0" w:right="0" w:firstLine="380"/>
        <w:jc w:val="both"/>
      </w:pPr>
      <w:bookmarkStart w:id="1046" w:name="bookmark1046"/>
      <w:bookmarkEnd w:id="1046"/>
      <w:r>
        <w:rPr>
          <w:b/>
          <w:bCs/>
          <w:color w:val="000000"/>
          <w:spacing w:val="0"/>
          <w:w w:val="100"/>
          <w:position w:val="0"/>
        </w:rPr>
        <w:t>固定资产处置</w:t>
      </w:r>
    </w:p>
    <w:p>
      <w:pPr>
        <w:pStyle w:val="Style18"/>
        <w:keepNext w:val="0"/>
        <w:keepLines w:val="0"/>
        <w:widowControl w:val="0"/>
        <w:shd w:val="clear" w:color="auto" w:fill="auto"/>
        <w:bidi w:val="0"/>
        <w:spacing w:before="0" w:after="340" w:line="235" w:lineRule="exact"/>
        <w:ind w:left="0" w:right="0" w:firstLine="38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40"/>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47"/>
      <w:bookmarkEnd w:id="1048"/>
      <w:bookmarkEnd w:id="1050"/>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当本公司租入的固定资产符合下列一项或数项标准时，确认为融资租入固定资产：</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在租赁期届满时，租赁资产的所有权转移给本公司。</w:t>
      </w:r>
    </w:p>
    <w:p>
      <w:pPr>
        <w:pStyle w:val="Style18"/>
        <w:keepNext w:val="0"/>
        <w:keepLines w:val="0"/>
        <w:widowControl w:val="0"/>
        <w:shd w:val="clear" w:color="auto" w:fill="auto"/>
        <w:tabs>
          <w:tab w:pos="901" w:val="left"/>
        </w:tabs>
        <w:bidi w:val="0"/>
        <w:spacing w:before="0" w:after="140" w:line="250" w:lineRule="exact"/>
        <w:ind w:left="0" w:right="0" w:firstLine="38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 赁开始日就可以合理确定本公司将会行使这种选择权。</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w:t>
      </w:r>
    </w:p>
    <w:p>
      <w:pPr>
        <w:pStyle w:val="Style18"/>
        <w:keepNext w:val="0"/>
        <w:keepLines w:val="0"/>
        <w:widowControl w:val="0"/>
        <w:shd w:val="clear" w:color="auto" w:fill="auto"/>
        <w:bidi w:val="0"/>
        <w:spacing w:before="0" w:after="140" w:line="235" w:lineRule="exact"/>
        <w:ind w:left="0" w:right="0" w:firstLine="38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18"/>
        <w:keepNext w:val="0"/>
        <w:keepLines w:val="0"/>
        <w:widowControl w:val="0"/>
        <w:shd w:val="clear" w:color="auto" w:fill="auto"/>
        <w:bidi w:val="0"/>
        <w:spacing w:before="0" w:after="340" w:line="235" w:lineRule="exact"/>
        <w:ind w:left="0" w:right="0" w:firstLine="38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29"/>
        <w:keepNext/>
        <w:keepLines/>
        <w:widowControl w:val="0"/>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56"/>
      <w:bookmarkEnd w:id="1057"/>
      <w:bookmarkEnd w:id="1059"/>
    </w:p>
    <w:p>
      <w:pPr>
        <w:pStyle w:val="Style18"/>
        <w:keepNext w:val="0"/>
        <w:keepLines w:val="0"/>
        <w:widowControl w:val="0"/>
        <w:numPr>
          <w:ilvl w:val="0"/>
          <w:numId w:val="47"/>
        </w:numPr>
        <w:shd w:val="clear" w:color="auto" w:fill="auto"/>
        <w:tabs>
          <w:tab w:pos="686" w:val="left"/>
        </w:tabs>
        <w:bidi w:val="0"/>
        <w:spacing w:before="0" w:after="140" w:line="232" w:lineRule="exact"/>
        <w:ind w:left="0" w:right="0" w:firstLine="380"/>
        <w:jc w:val="left"/>
      </w:pPr>
      <w:bookmarkStart w:id="1060" w:name="bookmark1060"/>
      <w:bookmarkEnd w:id="1060"/>
      <w:r>
        <w:rPr>
          <w:b/>
          <w:bCs/>
          <w:color w:val="000000"/>
          <w:spacing w:val="0"/>
          <w:w w:val="100"/>
          <w:position w:val="0"/>
        </w:rPr>
        <w:t>在建工程初始计量</w:t>
      </w:r>
    </w:p>
    <w:p>
      <w:pPr>
        <w:pStyle w:val="Style18"/>
        <w:keepNext w:val="0"/>
        <w:keepLines w:val="0"/>
        <w:widowControl w:val="0"/>
        <w:shd w:val="clear" w:color="auto" w:fill="auto"/>
        <w:bidi w:val="0"/>
        <w:spacing w:before="0" w:after="140" w:line="226" w:lineRule="exact"/>
        <w:ind w:left="0" w:right="0" w:firstLine="38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18"/>
        <w:keepNext w:val="0"/>
        <w:keepLines w:val="0"/>
        <w:widowControl w:val="0"/>
        <w:numPr>
          <w:ilvl w:val="0"/>
          <w:numId w:val="47"/>
        </w:numPr>
        <w:shd w:val="clear" w:color="auto" w:fill="auto"/>
        <w:tabs>
          <w:tab w:pos="700" w:val="left"/>
        </w:tabs>
        <w:bidi w:val="0"/>
        <w:spacing w:before="0" w:after="140" w:line="232" w:lineRule="exact"/>
        <w:ind w:left="0" w:right="0" w:firstLine="380"/>
        <w:jc w:val="both"/>
      </w:pPr>
      <w:bookmarkStart w:id="1061" w:name="bookmark1061"/>
      <w:bookmarkEnd w:id="1061"/>
      <w:r>
        <w:rPr>
          <w:b/>
          <w:bCs/>
          <w:color w:val="000000"/>
          <w:spacing w:val="0"/>
          <w:w w:val="100"/>
          <w:position w:val="0"/>
        </w:rPr>
        <w:t>在建工程结转为固定资产的标准和时点</w:t>
      </w:r>
    </w:p>
    <w:p>
      <w:pPr>
        <w:pStyle w:val="Style18"/>
        <w:keepNext w:val="0"/>
        <w:keepLines w:val="0"/>
        <w:widowControl w:val="0"/>
        <w:shd w:val="clear" w:color="auto" w:fill="auto"/>
        <w:bidi w:val="0"/>
        <w:spacing w:before="0" w:after="340" w:line="232" w:lineRule="exact"/>
        <w:ind w:left="0" w:right="0" w:firstLine="38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29"/>
        <w:keepNext/>
        <w:keepLines/>
        <w:widowControl w:val="0"/>
        <w:shd w:val="clear" w:color="auto" w:fill="auto"/>
        <w:bidi w:val="0"/>
        <w:spacing w:before="0" w:after="40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62"/>
      <w:bookmarkEnd w:id="1063"/>
      <w:bookmarkEnd w:id="1065"/>
    </w:p>
    <w:p>
      <w:pPr>
        <w:pStyle w:val="Style18"/>
        <w:keepNext w:val="0"/>
        <w:keepLines w:val="0"/>
        <w:widowControl w:val="0"/>
        <w:numPr>
          <w:ilvl w:val="0"/>
          <w:numId w:val="49"/>
        </w:numPr>
        <w:shd w:val="clear" w:color="auto" w:fill="auto"/>
        <w:tabs>
          <w:tab w:pos="765" w:val="left"/>
        </w:tabs>
        <w:bidi w:val="0"/>
        <w:spacing w:before="0" w:after="140" w:line="240" w:lineRule="auto"/>
        <w:ind w:left="0" w:right="0" w:firstLine="380"/>
        <w:jc w:val="both"/>
      </w:pPr>
      <w:bookmarkStart w:id="1066" w:name="bookmark1066"/>
      <w:bookmarkEnd w:id="1066"/>
      <w:r>
        <w:rPr>
          <w:b/>
          <w:bCs/>
          <w:color w:val="000000"/>
          <w:spacing w:val="0"/>
          <w:w w:val="100"/>
          <w:position w:val="0"/>
        </w:rPr>
        <w:t>借款费用资本化的确认原则</w:t>
      </w:r>
    </w:p>
    <w:p>
      <w:pPr>
        <w:pStyle w:val="Style18"/>
        <w:keepNext w:val="0"/>
        <w:keepLines w:val="0"/>
        <w:widowControl w:val="0"/>
        <w:shd w:val="clear" w:color="auto" w:fill="auto"/>
        <w:bidi w:val="0"/>
        <w:spacing w:before="0" w:after="160" w:line="240" w:lineRule="exact"/>
        <w:ind w:left="0" w:right="0" w:firstLine="38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901" w:val="left"/>
        </w:tabs>
        <w:bidi w:val="0"/>
        <w:spacing w:before="0" w:after="160" w:line="230" w:lineRule="exact"/>
        <w:ind w:left="0" w:right="0" w:firstLine="38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8"/>
        <w:keepNext w:val="0"/>
        <w:keepLines w:val="0"/>
        <w:widowControl w:val="0"/>
        <w:shd w:val="clear" w:color="auto" w:fill="auto"/>
        <w:tabs>
          <w:tab w:pos="825" w:val="left"/>
        </w:tabs>
        <w:bidi w:val="0"/>
        <w:spacing w:before="0" w:after="160" w:line="230" w:lineRule="exact"/>
        <w:ind w:left="0" w:right="0" w:firstLine="38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8"/>
        <w:keepNext w:val="0"/>
        <w:keepLines w:val="0"/>
        <w:widowControl w:val="0"/>
        <w:shd w:val="clear" w:color="auto" w:fill="auto"/>
        <w:tabs>
          <w:tab w:pos="825" w:val="left"/>
        </w:tabs>
        <w:bidi w:val="0"/>
        <w:spacing w:before="0" w:after="240" w:line="230" w:lineRule="exact"/>
        <w:ind w:left="0" w:right="0" w:firstLine="38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numPr>
          <w:ilvl w:val="0"/>
          <w:numId w:val="49"/>
        </w:numPr>
        <w:shd w:val="clear" w:color="auto" w:fill="auto"/>
        <w:tabs>
          <w:tab w:pos="700" w:val="left"/>
        </w:tabs>
        <w:bidi w:val="0"/>
        <w:spacing w:before="0" w:after="160" w:line="266" w:lineRule="auto"/>
        <w:ind w:left="0" w:right="0" w:firstLine="380"/>
        <w:jc w:val="both"/>
      </w:pPr>
      <w:bookmarkStart w:id="1070" w:name="bookmark1070"/>
      <w:bookmarkEnd w:id="1070"/>
      <w:r>
        <w:rPr>
          <w:b/>
          <w:bCs/>
          <w:color w:val="000000"/>
          <w:spacing w:val="0"/>
          <w:w w:val="100"/>
          <w:position w:val="0"/>
        </w:rPr>
        <w:t>借款费用资本化期间</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18"/>
        <w:keepNext w:val="0"/>
        <w:keepLines w:val="0"/>
        <w:widowControl w:val="0"/>
        <w:shd w:val="clear" w:color="auto" w:fill="auto"/>
        <w:bidi w:val="0"/>
        <w:spacing w:before="0" w:after="240" w:line="230"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8"/>
        <w:keepNext w:val="0"/>
        <w:keepLines w:val="0"/>
        <w:widowControl w:val="0"/>
        <w:numPr>
          <w:ilvl w:val="0"/>
          <w:numId w:val="49"/>
        </w:numPr>
        <w:shd w:val="clear" w:color="auto" w:fill="auto"/>
        <w:tabs>
          <w:tab w:pos="700" w:val="left"/>
        </w:tabs>
        <w:bidi w:val="0"/>
        <w:spacing w:before="0" w:after="160" w:line="266" w:lineRule="auto"/>
        <w:ind w:left="0" w:right="0" w:firstLine="380"/>
        <w:jc w:val="left"/>
      </w:pPr>
      <w:bookmarkStart w:id="1071" w:name="bookmark1071"/>
      <w:bookmarkEnd w:id="1071"/>
      <w:r>
        <w:rPr>
          <w:b/>
          <w:bCs/>
          <w:color w:val="000000"/>
          <w:spacing w:val="0"/>
          <w:w w:val="100"/>
          <w:position w:val="0"/>
        </w:rPr>
        <w:t>暂停资本化期间</w:t>
      </w:r>
    </w:p>
    <w:p>
      <w:pPr>
        <w:pStyle w:val="Style18"/>
        <w:keepNext w:val="0"/>
        <w:keepLines w:val="0"/>
        <w:widowControl w:val="0"/>
        <w:shd w:val="clear" w:color="auto" w:fill="auto"/>
        <w:bidi w:val="0"/>
        <w:spacing w:before="0" w:after="240" w:line="238"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numPr>
          <w:ilvl w:val="0"/>
          <w:numId w:val="49"/>
        </w:numPr>
        <w:shd w:val="clear" w:color="auto" w:fill="auto"/>
        <w:tabs>
          <w:tab w:pos="700" w:val="left"/>
        </w:tabs>
        <w:bidi w:val="0"/>
        <w:spacing w:before="0" w:after="160" w:line="266" w:lineRule="auto"/>
        <w:ind w:left="0" w:right="0" w:firstLine="380"/>
        <w:jc w:val="both"/>
      </w:pPr>
      <w:bookmarkStart w:id="1072" w:name="bookmark1072"/>
      <w:bookmarkEnd w:id="1072"/>
      <w:r>
        <w:rPr>
          <w:b/>
          <w:bCs/>
          <w:color w:val="000000"/>
          <w:spacing w:val="0"/>
          <w:w w:val="100"/>
          <w:position w:val="0"/>
        </w:rPr>
        <w:t>借款费用资本化金额的计算方法</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8"/>
        <w:keepNext w:val="0"/>
        <w:keepLines w:val="0"/>
        <w:widowControl w:val="0"/>
        <w:shd w:val="clear" w:color="auto" w:fill="auto"/>
        <w:bidi w:val="0"/>
        <w:spacing w:before="0" w:after="380" w:line="230" w:lineRule="exact"/>
        <w:ind w:left="0" w:right="0" w:firstLine="380"/>
        <w:jc w:val="left"/>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8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73"/>
      <w:bookmarkEnd w:id="1074"/>
      <w:bookmarkEnd w:id="1076"/>
    </w:p>
    <w:p>
      <w:pPr>
        <w:pStyle w:val="Style18"/>
        <w:keepNext w:val="0"/>
        <w:keepLines w:val="0"/>
        <w:widowControl w:val="0"/>
        <w:shd w:val="clear" w:color="auto" w:fill="auto"/>
        <w:bidi w:val="0"/>
        <w:spacing w:before="0" w:after="380" w:line="26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77"/>
      <w:bookmarkEnd w:id="1078"/>
      <w:bookmarkEnd w:id="1080"/>
    </w:p>
    <w:p>
      <w:pPr>
        <w:pStyle w:val="Style18"/>
        <w:keepNext w:val="0"/>
        <w:keepLines w:val="0"/>
        <w:widowControl w:val="0"/>
        <w:shd w:val="clear" w:color="auto" w:fill="auto"/>
        <w:bidi w:val="0"/>
        <w:spacing w:before="0" w:after="380" w:line="26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2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81"/>
      <w:bookmarkEnd w:id="1082"/>
      <w:bookmarkEnd w:id="1084"/>
    </w:p>
    <w:p>
      <w:pPr>
        <w:pStyle w:val="Style18"/>
        <w:keepNext w:val="0"/>
        <w:keepLines w:val="0"/>
        <w:widowControl w:val="0"/>
        <w:shd w:val="clear" w:color="auto" w:fill="auto"/>
        <w:bidi w:val="0"/>
        <w:spacing w:before="0" w:after="160" w:line="230" w:lineRule="exact"/>
        <w:ind w:left="0" w:right="0" w:firstLine="380"/>
        <w:jc w:val="left"/>
      </w:pPr>
      <w:r>
        <w:rPr>
          <w:color w:val="000000"/>
          <w:spacing w:val="0"/>
          <w:w w:val="100"/>
          <w:position w:val="0"/>
        </w:rPr>
        <w:t>本公司对使用权资产按照成本进行初始计量，该成本包括：</w:t>
      </w:r>
    </w:p>
    <w:p>
      <w:pPr>
        <w:pStyle w:val="Style18"/>
        <w:keepNext w:val="0"/>
        <w:keepLines w:val="0"/>
        <w:widowControl w:val="0"/>
        <w:shd w:val="clear" w:color="auto" w:fill="auto"/>
        <w:tabs>
          <w:tab w:pos="825" w:val="left"/>
        </w:tabs>
        <w:bidi w:val="0"/>
        <w:spacing w:before="0" w:after="160" w:line="230" w:lineRule="exact"/>
        <w:ind w:left="0" w:right="0" w:firstLine="38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18"/>
        <w:keepNext w:val="0"/>
        <w:keepLines w:val="0"/>
        <w:widowControl w:val="0"/>
        <w:shd w:val="clear" w:color="auto" w:fill="auto"/>
        <w:tabs>
          <w:tab w:pos="825" w:val="left"/>
        </w:tabs>
        <w:bidi w:val="0"/>
        <w:spacing w:before="0" w:after="160" w:line="230" w:lineRule="exact"/>
        <w:ind w:left="0" w:right="0" w:firstLine="38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在租赁期开始日或之前支付的租赁付款额，存在租赁激励的，扣除已享受的租赁激励相关金额；</w:t>
      </w:r>
    </w:p>
    <w:p>
      <w:pPr>
        <w:pStyle w:val="Style18"/>
        <w:keepNext w:val="0"/>
        <w:keepLines w:val="0"/>
        <w:widowControl w:val="0"/>
        <w:shd w:val="clear" w:color="auto" w:fill="auto"/>
        <w:tabs>
          <w:tab w:pos="825" w:val="left"/>
        </w:tabs>
        <w:bidi w:val="0"/>
        <w:spacing w:before="0" w:after="160" w:line="230" w:lineRule="exact"/>
        <w:ind w:left="0" w:right="0" w:firstLine="38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本公司发生的初始直接费用；</w:t>
      </w:r>
    </w:p>
    <w:p>
      <w:pPr>
        <w:pStyle w:val="Style18"/>
        <w:keepNext w:val="0"/>
        <w:keepLines w:val="0"/>
        <w:widowControl w:val="0"/>
        <w:shd w:val="clear" w:color="auto" w:fill="auto"/>
        <w:tabs>
          <w:tab w:pos="825" w:val="left"/>
        </w:tabs>
        <w:bidi w:val="0"/>
        <w:spacing w:before="0" w:after="160" w:line="230" w:lineRule="exact"/>
        <w:ind w:left="0" w:right="0" w:firstLine="38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本公司为拆卸及移除租赁资产、复原租赁资产所在场地或将租赁资产恢复至租赁条款约定状态预计将发生的成本</w:t>
      </w:r>
    </w:p>
    <w:p>
      <w:pPr>
        <w:pStyle w:val="Style18"/>
        <w:keepNext w:val="0"/>
        <w:keepLines w:val="0"/>
        <w:widowControl w:val="0"/>
        <w:shd w:val="clear" w:color="auto" w:fill="auto"/>
        <w:bidi w:val="0"/>
        <w:spacing w:before="0" w:after="160" w:line="233" w:lineRule="exact"/>
        <w:ind w:left="0" w:right="0" w:firstLine="0"/>
        <w:jc w:val="left"/>
      </w:pPr>
      <w:r>
        <w:rPr>
          <w:color w:val="000000"/>
          <w:spacing w:val="0"/>
          <w:w w:val="100"/>
          <w:position w:val="0"/>
        </w:rPr>
        <w:t>（不包括为生产存货而发生的成本）。</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20" w:line="233" w:lineRule="exact"/>
        <w:ind w:left="0" w:right="0" w:firstLine="38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9"/>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89"/>
      <w:bookmarkEnd w:id="1090"/>
      <w:bookmarkEnd w:id="1092"/>
    </w:p>
    <w:p>
      <w:pPr>
        <w:pStyle w:val="Style40"/>
        <w:keepNext/>
        <w:keepLines/>
        <w:widowControl w:val="0"/>
        <w:shd w:val="clear" w:color="auto" w:fill="auto"/>
        <w:bidi w:val="0"/>
        <w:spacing w:before="0" w:after="32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93"/>
      <w:bookmarkEnd w:id="1094"/>
      <w:bookmarkEnd w:id="1096"/>
    </w:p>
    <w:p>
      <w:pPr>
        <w:pStyle w:val="Style18"/>
        <w:keepNext w:val="0"/>
        <w:keepLines w:val="0"/>
        <w:widowControl w:val="0"/>
        <w:shd w:val="clear" w:color="auto" w:fill="auto"/>
        <w:bidi w:val="0"/>
        <w:spacing w:before="0" w:after="240" w:line="235" w:lineRule="exact"/>
        <w:ind w:left="0" w:right="0" w:firstLine="380"/>
        <w:jc w:val="both"/>
      </w:pPr>
      <w:r>
        <w:rPr>
          <w:color w:val="000000"/>
          <w:spacing w:val="0"/>
          <w:w w:val="100"/>
          <w:position w:val="0"/>
        </w:rPr>
        <w:t>无形资产是指本公司拥有或者控制的没有实物形态的可辨认非货币性资产，包括土地使用权、软件、非专利技术、商标 等。</w:t>
      </w:r>
    </w:p>
    <w:p>
      <w:pPr>
        <w:pStyle w:val="Style18"/>
        <w:keepNext w:val="0"/>
        <w:keepLines w:val="0"/>
        <w:widowControl w:val="0"/>
        <w:numPr>
          <w:ilvl w:val="0"/>
          <w:numId w:val="51"/>
        </w:numPr>
        <w:shd w:val="clear" w:color="auto" w:fill="auto"/>
        <w:tabs>
          <w:tab w:pos="686" w:val="left"/>
        </w:tabs>
        <w:bidi w:val="0"/>
        <w:spacing w:before="0" w:after="160" w:line="271" w:lineRule="auto"/>
        <w:ind w:left="0" w:right="0" w:firstLine="380"/>
        <w:jc w:val="both"/>
      </w:pPr>
      <w:bookmarkStart w:id="1097" w:name="bookmark1097"/>
      <w:bookmarkEnd w:id="1097"/>
      <w:r>
        <w:rPr>
          <w:b/>
          <w:bCs/>
          <w:color w:val="000000"/>
          <w:spacing w:val="0"/>
          <w:w w:val="100"/>
          <w:position w:val="0"/>
        </w:rPr>
        <w:t>无形资产的初始计量</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8"/>
        <w:keepNext w:val="0"/>
        <w:keepLines w:val="0"/>
        <w:widowControl w:val="0"/>
        <w:shd w:val="clear" w:color="auto" w:fill="auto"/>
        <w:bidi w:val="0"/>
        <w:spacing w:before="0" w:after="160" w:line="230"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8"/>
        <w:keepNext w:val="0"/>
        <w:keepLines w:val="0"/>
        <w:widowControl w:val="0"/>
        <w:shd w:val="clear" w:color="auto" w:fill="auto"/>
        <w:bidi w:val="0"/>
        <w:spacing w:before="0" w:after="240" w:line="230"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8"/>
        <w:keepNext w:val="0"/>
        <w:keepLines w:val="0"/>
        <w:widowControl w:val="0"/>
        <w:numPr>
          <w:ilvl w:val="0"/>
          <w:numId w:val="51"/>
        </w:numPr>
        <w:shd w:val="clear" w:color="auto" w:fill="auto"/>
        <w:tabs>
          <w:tab w:pos="700" w:val="left"/>
        </w:tabs>
        <w:bidi w:val="0"/>
        <w:spacing w:before="0" w:after="160" w:line="271" w:lineRule="auto"/>
        <w:ind w:left="0" w:right="0" w:firstLine="380"/>
        <w:jc w:val="both"/>
      </w:pPr>
      <w:bookmarkStart w:id="1098" w:name="bookmark1098"/>
      <w:bookmarkEnd w:id="1098"/>
      <w:r>
        <w:rPr>
          <w:b/>
          <w:bCs/>
          <w:color w:val="000000"/>
          <w:spacing w:val="0"/>
          <w:w w:val="100"/>
          <w:position w:val="0"/>
        </w:rPr>
        <w:t>无形资产的后续计量</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本公司在取得无形资产时分析判断其使用寿命，划分为使用寿命有限和使用寿命不确定的无形资产。</w:t>
      </w:r>
    </w:p>
    <w:p>
      <w:pPr>
        <w:pStyle w:val="Style18"/>
        <w:keepNext w:val="0"/>
        <w:keepLines w:val="0"/>
        <w:widowControl w:val="0"/>
        <w:shd w:val="clear" w:color="auto" w:fill="auto"/>
        <w:bidi w:val="0"/>
        <w:spacing w:before="0" w:after="160" w:line="23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18"/>
        <w:keepNext w:val="0"/>
        <w:keepLines w:val="0"/>
        <w:widowControl w:val="0"/>
        <w:shd w:val="clear" w:color="auto" w:fill="auto"/>
        <w:bidi w:val="0"/>
        <w:spacing w:before="0" w:after="160" w:line="235" w:lineRule="exact"/>
        <w:ind w:left="0" w:right="0" w:firstLine="38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1286"/>
        <w:gridCol w:w="1843"/>
        <w:gridCol w:w="6528"/>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土地使用权的有效期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对于使用寿命有限的无形资产，在为企业带来经济利益的期限内按直线法摊销。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对于使用寿命有限的无形资产，在为企业带来经济利益的期限内按直线法摊销。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对于使用寿命有限的无形资产，在为企业带来经济利益的期限内按直线法摊销。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对于使用寿命有限的无形资产，在为企业带来经济利益的期限内按直线法摊销。</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对于使用寿命有限的无形资产，在为企业带来经济利益的期限内按直线法摊销。</w:t>
            </w: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每期末，对使用寿命有限的无形资产的使用寿命及摊销方法进行复核，如与原先估计数存在差异的，进行相应的调整。</w:t>
      </w:r>
    </w:p>
    <w:p>
      <w:pPr>
        <w:pStyle w:val="Style1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经复核，本期期末无形资产的使用寿命及摊销方法与以前估计未有不同。</w:t>
      </w:r>
    </w:p>
    <w:p>
      <w:pPr>
        <w:pStyle w:val="Style18"/>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截至资产负债表日，本公司没有使用寿命不确定的无形资产。</w:t>
      </w:r>
    </w:p>
    <w:p>
      <w:pPr>
        <w:pStyle w:val="Style40"/>
        <w:keepNext/>
        <w:keepLines/>
        <w:widowControl w:val="0"/>
        <w:shd w:val="clear" w:color="auto" w:fill="auto"/>
        <w:bidi w:val="0"/>
        <w:spacing w:before="0" w:after="28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99"/>
      <w:bookmarkEnd w:id="1100"/>
      <w:bookmarkEnd w:id="1102"/>
    </w:p>
    <w:p>
      <w:pPr>
        <w:pStyle w:val="Style18"/>
        <w:keepNext w:val="0"/>
        <w:keepLines w:val="0"/>
        <w:widowControl w:val="0"/>
        <w:numPr>
          <w:ilvl w:val="0"/>
          <w:numId w:val="53"/>
        </w:numPr>
        <w:shd w:val="clear" w:color="auto" w:fill="auto"/>
        <w:tabs>
          <w:tab w:pos="686" w:val="left"/>
        </w:tabs>
        <w:bidi w:val="0"/>
        <w:spacing w:before="0" w:after="140" w:line="320" w:lineRule="exact"/>
        <w:ind w:left="0" w:right="0" w:firstLine="380"/>
        <w:jc w:val="both"/>
      </w:pPr>
      <w:bookmarkStart w:id="1103" w:name="bookmark1103"/>
      <w:bookmarkEnd w:id="1103"/>
      <w:r>
        <w:rPr>
          <w:b/>
          <w:bCs/>
          <w:color w:val="000000"/>
          <w:spacing w:val="0"/>
          <w:w w:val="100"/>
          <w:position w:val="0"/>
        </w:rPr>
        <w:t>划分公司内部研究开发项目的研究阶段和开发阶段具体标准</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1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内部研究开发项目研究阶段的支出，在发生时计入当期损益。</w:t>
      </w:r>
    </w:p>
    <w:p>
      <w:pPr>
        <w:pStyle w:val="Style18"/>
        <w:keepNext w:val="0"/>
        <w:keepLines w:val="0"/>
        <w:widowControl w:val="0"/>
        <w:numPr>
          <w:ilvl w:val="0"/>
          <w:numId w:val="53"/>
        </w:numPr>
        <w:shd w:val="clear" w:color="auto" w:fill="auto"/>
        <w:tabs>
          <w:tab w:pos="700" w:val="left"/>
        </w:tabs>
        <w:bidi w:val="0"/>
        <w:spacing w:before="0" w:after="140" w:line="320" w:lineRule="exact"/>
        <w:ind w:left="0" w:right="0" w:firstLine="380"/>
        <w:jc w:val="both"/>
      </w:pPr>
      <w:bookmarkStart w:id="1104" w:name="bookmark1104"/>
      <w:bookmarkEnd w:id="1104"/>
      <w:r>
        <w:rPr>
          <w:b/>
          <w:bCs/>
          <w:color w:val="000000"/>
          <w:spacing w:val="0"/>
          <w:w w:val="100"/>
          <w:position w:val="0"/>
        </w:rPr>
        <w:t>开发阶段支出符合资本化的具体标准</w:t>
      </w:r>
    </w:p>
    <w:p>
      <w:pPr>
        <w:pStyle w:val="Style18"/>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内部研究开发项目开发阶段的支出，同时满足下列条件时确认为无形资产：</w:t>
      </w:r>
    </w:p>
    <w:p>
      <w:pPr>
        <w:pStyle w:val="Style18"/>
        <w:keepNext w:val="0"/>
        <w:keepLines w:val="0"/>
        <w:widowControl w:val="0"/>
        <w:shd w:val="clear" w:color="auto" w:fill="auto"/>
        <w:tabs>
          <w:tab w:pos="880" w:val="left"/>
        </w:tabs>
        <w:bidi w:val="0"/>
        <w:spacing w:before="0" w:after="0" w:line="320" w:lineRule="exact"/>
        <w:ind w:left="0" w:right="0" w:firstLine="44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18"/>
        <w:keepNext w:val="0"/>
        <w:keepLines w:val="0"/>
        <w:widowControl w:val="0"/>
        <w:shd w:val="clear" w:color="auto" w:fill="auto"/>
        <w:tabs>
          <w:tab w:pos="880" w:val="left"/>
        </w:tabs>
        <w:bidi w:val="0"/>
        <w:spacing w:before="0" w:after="0" w:line="331" w:lineRule="exact"/>
        <w:ind w:left="0" w:right="0" w:firstLine="44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18"/>
        <w:keepNext w:val="0"/>
        <w:keepLines w:val="0"/>
        <w:widowControl w:val="0"/>
        <w:shd w:val="clear" w:color="auto" w:fill="auto"/>
        <w:bidi w:val="0"/>
        <w:spacing w:before="0" w:after="0" w:line="331" w:lineRule="exact"/>
        <w:ind w:left="0" w:right="0" w:firstLine="44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无形资产产生经济利益的方式，包括能够证明运用该无形资产生产的产品存在市场或无形资产自身存在市场，无 形资产将在内部使用的，能够证明其有用性；</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18"/>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110"/>
      <w:bookmarkEnd w:id="1111"/>
      <w:bookmarkEnd w:id="1113"/>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18"/>
        <w:keepNext w:val="0"/>
        <w:keepLines w:val="0"/>
        <w:widowControl w:val="0"/>
        <w:shd w:val="clear" w:color="auto" w:fill="auto"/>
        <w:bidi w:val="0"/>
        <w:spacing w:before="0" w:after="0" w:line="320" w:lineRule="exact"/>
        <w:ind w:left="0" w:right="0" w:firstLine="44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18"/>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因企业合并所形成的商誉和使用寿命不确定的无形资产，无论是否存在减值迹象，每年都进行减值测试。</w:t>
      </w:r>
    </w:p>
    <w:p>
      <w:pPr>
        <w:pStyle w:val="Style18"/>
        <w:keepNext w:val="0"/>
        <w:keepLines w:val="0"/>
        <w:widowControl w:val="0"/>
        <w:shd w:val="clear" w:color="auto" w:fill="auto"/>
        <w:bidi w:val="0"/>
        <w:spacing w:before="0" w:after="400" w:line="320" w:lineRule="exact"/>
        <w:ind w:left="0" w:right="0" w:firstLine="44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29"/>
        <w:keepNext/>
        <w:keepLines/>
        <w:widowControl w:val="0"/>
        <w:shd w:val="clear" w:color="auto" w:fill="auto"/>
        <w:tabs>
          <w:tab w:pos="483" w:val="left"/>
        </w:tabs>
        <w:bidi w:val="0"/>
        <w:spacing w:before="0" w:after="40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14"/>
      <w:bookmarkEnd w:id="1115"/>
      <w:bookmarkEnd w:id="1117"/>
    </w:p>
    <w:p>
      <w:pPr>
        <w:pStyle w:val="Style18"/>
        <w:keepNext w:val="0"/>
        <w:keepLines w:val="0"/>
        <w:widowControl w:val="0"/>
        <w:numPr>
          <w:ilvl w:val="0"/>
          <w:numId w:val="55"/>
        </w:numPr>
        <w:shd w:val="clear" w:color="auto" w:fill="auto"/>
        <w:tabs>
          <w:tab w:pos="686" w:val="left"/>
        </w:tabs>
        <w:bidi w:val="0"/>
        <w:spacing w:before="0" w:after="0" w:line="372" w:lineRule="auto"/>
        <w:ind w:left="0" w:right="0" w:firstLine="380"/>
        <w:jc w:val="both"/>
      </w:pPr>
      <w:bookmarkStart w:id="1118" w:name="bookmark1118"/>
      <w:bookmarkEnd w:id="1118"/>
      <w:r>
        <w:rPr>
          <w:b/>
          <w:bCs/>
          <w:color w:val="000000"/>
          <w:spacing w:val="0"/>
          <w:w w:val="100"/>
          <w:position w:val="0"/>
        </w:rPr>
        <w:t>摊销方法</w:t>
      </w:r>
    </w:p>
    <w:p>
      <w:pPr>
        <w:pStyle w:val="Style18"/>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18"/>
        <w:keepNext w:val="0"/>
        <w:keepLines w:val="0"/>
        <w:widowControl w:val="0"/>
        <w:numPr>
          <w:ilvl w:val="0"/>
          <w:numId w:val="55"/>
        </w:numPr>
        <w:shd w:val="clear" w:color="auto" w:fill="auto"/>
        <w:tabs>
          <w:tab w:pos="700" w:val="left"/>
        </w:tabs>
        <w:bidi w:val="0"/>
        <w:spacing w:before="0" w:after="140" w:line="372" w:lineRule="auto"/>
        <w:ind w:left="0" w:right="0" w:firstLine="380"/>
        <w:jc w:val="both"/>
      </w:pPr>
      <w:bookmarkStart w:id="1119" w:name="bookmark1119"/>
      <w:bookmarkEnd w:id="1119"/>
      <w:r>
        <w:rPr>
          <w:b/>
          <w:bCs/>
          <w:color w:val="000000"/>
          <w:spacing w:val="0"/>
          <w:w w:val="100"/>
          <w:position w:val="0"/>
        </w:rPr>
        <w:t>摊销年限</w:t>
      </w:r>
    </w:p>
    <w:tbl>
      <w:tblPr>
        <w:tblOverlap w:val="never"/>
        <w:jc w:val="center"/>
        <w:tblLayout w:type="fixed"/>
      </w:tblPr>
      <w:tblGrid>
        <w:gridCol w:w="2851"/>
        <w:gridCol w:w="2842"/>
        <w:gridCol w:w="3965"/>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483" w:val="left"/>
        </w:tabs>
        <w:bidi w:val="0"/>
        <w:spacing w:before="0" w:after="2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20"/>
      <w:bookmarkEnd w:id="1121"/>
      <w:bookmarkEnd w:id="1123"/>
    </w:p>
    <w:p>
      <w:pPr>
        <w:pStyle w:val="Style18"/>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本公司将已收或应收客户对价而应向客户转让商品的义务部分确认为合同负债。</w:t>
      </w:r>
    </w:p>
    <w:p>
      <w:pPr>
        <w:pStyle w:val="Style29"/>
        <w:keepNext/>
        <w:keepLines/>
        <w:widowControl w:val="0"/>
        <w:shd w:val="clear" w:color="auto" w:fill="auto"/>
        <w:tabs>
          <w:tab w:pos="48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24"/>
      <w:bookmarkEnd w:id="1125"/>
      <w:bookmarkEnd w:id="1127"/>
    </w:p>
    <w:p>
      <w:pPr>
        <w:pStyle w:val="Style40"/>
        <w:keepNext/>
        <w:keepLines/>
        <w:widowControl w:val="0"/>
        <w:shd w:val="clear" w:color="auto" w:fill="auto"/>
        <w:tabs>
          <w:tab w:pos="493" w:val="left"/>
        </w:tabs>
        <w:bidi w:val="0"/>
        <w:spacing w:before="0" w:after="2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28"/>
      <w:bookmarkEnd w:id="1129"/>
      <w:bookmarkEnd w:id="1131"/>
    </w:p>
    <w:p>
      <w:pPr>
        <w:pStyle w:val="Style18"/>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32"/>
      <w:bookmarkEnd w:id="1133"/>
      <w:bookmarkEnd w:id="1135"/>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本公司的离职后福利计划分类为设定提存计划和设定受益计划。</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18"/>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本公司按照国家规定的标准定期缴付上述款项后，不再有其他的支付义务。</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36"/>
      <w:bookmarkEnd w:id="1137"/>
      <w:bookmarkEnd w:id="1139"/>
    </w:p>
    <w:p>
      <w:pPr>
        <w:pStyle w:val="Style18"/>
        <w:keepNext w:val="0"/>
        <w:keepLines w:val="0"/>
        <w:widowControl w:val="0"/>
        <w:shd w:val="clear" w:color="auto" w:fill="auto"/>
        <w:bidi w:val="0"/>
        <w:spacing w:before="0" w:after="0" w:line="321"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18"/>
        <w:keepNext w:val="0"/>
        <w:keepLines w:val="0"/>
        <w:widowControl w:val="0"/>
        <w:shd w:val="clear" w:color="auto" w:fill="auto"/>
        <w:bidi w:val="0"/>
        <w:spacing w:before="0" w:after="380" w:line="321"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40"/>
      <w:bookmarkEnd w:id="1141"/>
      <w:bookmarkEnd w:id="1143"/>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44"/>
      <w:bookmarkEnd w:id="1145"/>
      <w:bookmarkEnd w:id="1147"/>
    </w:p>
    <w:p>
      <w:pPr>
        <w:pStyle w:val="Style1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18"/>
        <w:keepNext w:val="0"/>
        <w:keepLines w:val="0"/>
        <w:widowControl w:val="0"/>
        <w:shd w:val="clear" w:color="auto" w:fill="auto"/>
        <w:bidi w:val="0"/>
        <w:spacing w:before="0" w:after="300" w:line="326" w:lineRule="exact"/>
        <w:ind w:left="0" w:right="0" w:firstLine="440"/>
        <w:jc w:val="left"/>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）扣除租赁激励相关金额后的固定付款额及实质固定付款额；</w:t>
      </w:r>
    </w:p>
    <w:p>
      <w:pPr>
        <w:pStyle w:val="Style18"/>
        <w:keepNext w:val="0"/>
        <w:keepLines w:val="0"/>
        <w:widowControl w:val="0"/>
        <w:shd w:val="clear" w:color="auto" w:fill="auto"/>
        <w:tabs>
          <w:tab w:pos="880" w:val="left"/>
        </w:tabs>
        <w:bidi w:val="0"/>
        <w:spacing w:before="0" w:after="0" w:line="322" w:lineRule="exact"/>
        <w:ind w:left="0" w:right="0" w:firstLine="440"/>
        <w:jc w:val="left"/>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18"/>
        <w:keepNext w:val="0"/>
        <w:keepLines w:val="0"/>
        <w:widowControl w:val="0"/>
        <w:shd w:val="clear" w:color="auto" w:fill="auto"/>
        <w:tabs>
          <w:tab w:pos="880" w:val="left"/>
        </w:tabs>
        <w:bidi w:val="0"/>
        <w:spacing w:before="0" w:after="0" w:line="322" w:lineRule="exact"/>
        <w:ind w:left="0" w:right="0" w:firstLine="440"/>
        <w:jc w:val="left"/>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在本公司合理确定将行使该选择权的情况下，租赁付款额包括购买选择权的行权价格；</w:t>
      </w:r>
    </w:p>
    <w:p>
      <w:pPr>
        <w:pStyle w:val="Style18"/>
        <w:keepNext w:val="0"/>
        <w:keepLines w:val="0"/>
        <w:widowControl w:val="0"/>
        <w:shd w:val="clear" w:color="auto" w:fill="auto"/>
        <w:tabs>
          <w:tab w:pos="880" w:val="left"/>
        </w:tabs>
        <w:bidi w:val="0"/>
        <w:spacing w:before="0" w:after="0" w:line="322" w:lineRule="exact"/>
        <w:ind w:left="0" w:right="0" w:firstLine="44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18"/>
        <w:keepNext w:val="0"/>
        <w:keepLines w:val="0"/>
        <w:widowControl w:val="0"/>
        <w:shd w:val="clear" w:color="auto" w:fill="auto"/>
        <w:tabs>
          <w:tab w:pos="880" w:val="left"/>
        </w:tabs>
        <w:bidi w:val="0"/>
        <w:spacing w:before="0" w:after="0" w:line="322" w:lineRule="exact"/>
        <w:ind w:left="0" w:right="0" w:firstLine="440"/>
        <w:jc w:val="left"/>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400" w:line="322"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53"/>
      <w:bookmarkEnd w:id="1154"/>
      <w:bookmarkEnd w:id="1156"/>
    </w:p>
    <w:p>
      <w:pPr>
        <w:pStyle w:val="Style18"/>
        <w:keepNext w:val="0"/>
        <w:keepLines w:val="0"/>
        <w:widowControl w:val="0"/>
        <w:numPr>
          <w:ilvl w:val="0"/>
          <w:numId w:val="57"/>
        </w:numPr>
        <w:shd w:val="clear" w:color="auto" w:fill="auto"/>
        <w:tabs>
          <w:tab w:pos="790" w:val="left"/>
        </w:tabs>
        <w:bidi w:val="0"/>
        <w:spacing w:before="0" w:after="140" w:line="322" w:lineRule="exact"/>
        <w:ind w:left="0" w:right="0" w:firstLine="380"/>
        <w:jc w:val="left"/>
      </w:pPr>
      <w:bookmarkStart w:id="1157" w:name="bookmark1157"/>
      <w:bookmarkEnd w:id="1157"/>
      <w:r>
        <w:rPr>
          <w:b/>
          <w:bCs/>
          <w:color w:val="000000"/>
          <w:spacing w:val="0"/>
          <w:w w:val="100"/>
          <w:position w:val="0"/>
        </w:rPr>
        <w:t>预计负债的确认标准</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该义务是本公司承担的现时义务；</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履行该义务很可能导致经济利益流出本公司；</w:t>
      </w:r>
    </w:p>
    <w:p>
      <w:pPr>
        <w:pStyle w:val="Style18"/>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该义务的金额能够可靠地计量。</w:t>
      </w:r>
    </w:p>
    <w:p>
      <w:pPr>
        <w:pStyle w:val="Style18"/>
        <w:keepNext w:val="0"/>
        <w:keepLines w:val="0"/>
        <w:widowControl w:val="0"/>
        <w:numPr>
          <w:ilvl w:val="0"/>
          <w:numId w:val="57"/>
        </w:numPr>
        <w:shd w:val="clear" w:color="auto" w:fill="auto"/>
        <w:tabs>
          <w:tab w:pos="700" w:val="left"/>
        </w:tabs>
        <w:bidi w:val="0"/>
        <w:spacing w:before="0" w:after="0" w:line="374" w:lineRule="auto"/>
        <w:ind w:left="0" w:right="0" w:firstLine="380"/>
        <w:jc w:val="left"/>
      </w:pPr>
      <w:bookmarkStart w:id="1158" w:name="bookmark1158"/>
      <w:bookmarkEnd w:id="1158"/>
      <w:r>
        <w:rPr>
          <w:b/>
          <w:bCs/>
          <w:color w:val="000000"/>
          <w:spacing w:val="0"/>
          <w:w w:val="100"/>
          <w:position w:val="0"/>
        </w:rPr>
        <w:t>预计负债的计量方法</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最佳估计数分别以下情况处理：</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18"/>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keepLines/>
        <w:widowControl w:val="0"/>
        <w:shd w:val="clear" w:color="auto" w:fill="auto"/>
        <w:tabs>
          <w:tab w:pos="483" w:val="left"/>
        </w:tabs>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59"/>
      <w:bookmarkEnd w:id="1160"/>
      <w:bookmarkEnd w:id="1162"/>
    </w:p>
    <w:p>
      <w:pPr>
        <w:pStyle w:val="Style18"/>
        <w:keepNext w:val="0"/>
        <w:keepLines w:val="0"/>
        <w:widowControl w:val="0"/>
        <w:numPr>
          <w:ilvl w:val="0"/>
          <w:numId w:val="59"/>
        </w:numPr>
        <w:shd w:val="clear" w:color="auto" w:fill="auto"/>
        <w:tabs>
          <w:tab w:pos="686" w:val="left"/>
        </w:tabs>
        <w:bidi w:val="0"/>
        <w:spacing w:before="0" w:after="0" w:line="374" w:lineRule="auto"/>
        <w:ind w:left="0" w:right="0" w:firstLine="380"/>
        <w:jc w:val="left"/>
      </w:pPr>
      <w:bookmarkStart w:id="1163" w:name="bookmark1163"/>
      <w:bookmarkEnd w:id="1163"/>
      <w:r>
        <w:rPr>
          <w:b/>
          <w:bCs/>
          <w:color w:val="000000"/>
          <w:spacing w:val="0"/>
          <w:w w:val="100"/>
          <w:position w:val="0"/>
        </w:rPr>
        <w:t>股份支付的种类</w:t>
      </w:r>
    </w:p>
    <w:p>
      <w:pPr>
        <w:pStyle w:val="Style18"/>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本公司的股份支付分为以权益结算的股份支付和以现金结算的股份支付。</w:t>
      </w:r>
    </w:p>
    <w:p>
      <w:pPr>
        <w:pStyle w:val="Style18"/>
        <w:keepNext w:val="0"/>
        <w:keepLines w:val="0"/>
        <w:widowControl w:val="0"/>
        <w:numPr>
          <w:ilvl w:val="0"/>
          <w:numId w:val="59"/>
        </w:numPr>
        <w:shd w:val="clear" w:color="auto" w:fill="auto"/>
        <w:tabs>
          <w:tab w:pos="700" w:val="left"/>
        </w:tabs>
        <w:bidi w:val="0"/>
        <w:spacing w:before="0" w:after="0" w:line="374" w:lineRule="auto"/>
        <w:ind w:left="0" w:right="0" w:firstLine="380"/>
        <w:jc w:val="left"/>
      </w:pPr>
      <w:bookmarkStart w:id="1164" w:name="bookmark1164"/>
      <w:bookmarkEnd w:id="1164"/>
      <w:r>
        <w:rPr>
          <w:b/>
          <w:bCs/>
          <w:color w:val="000000"/>
          <w:spacing w:val="0"/>
          <w:w w:val="100"/>
          <w:position w:val="0"/>
        </w:rPr>
        <w:t>权益工具公允价值的确定方法</w:t>
      </w:r>
    </w:p>
    <w:p>
      <w:pPr>
        <w:pStyle w:val="Style18"/>
        <w:keepNext w:val="0"/>
        <w:keepLines w:val="0"/>
        <w:widowControl w:val="0"/>
        <w:shd w:val="clear" w:color="auto" w:fill="auto"/>
        <w:bidi w:val="0"/>
        <w:spacing w:before="0" w:after="0" w:line="321" w:lineRule="exact"/>
        <w:ind w:left="0" w:right="0" w:firstLine="440"/>
        <w:jc w:val="left"/>
      </w:pPr>
      <w:r>
        <w:rPr>
          <w:color w:val="000000"/>
          <w:spacing w:val="0"/>
          <w:w w:val="100"/>
          <w:position w:val="0"/>
        </w:rPr>
        <w:t>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期权的有效期；（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 率。</w:t>
      </w:r>
    </w:p>
    <w:p>
      <w:pPr>
        <w:pStyle w:val="Style18"/>
        <w:keepNext w:val="0"/>
        <w:keepLines w:val="0"/>
        <w:widowControl w:val="0"/>
        <w:shd w:val="clear" w:color="auto" w:fill="auto"/>
        <w:bidi w:val="0"/>
        <w:spacing w:before="0" w:after="280" w:line="321" w:lineRule="exact"/>
        <w:ind w:left="0" w:right="0" w:firstLine="440"/>
        <w:jc w:val="left"/>
      </w:pPr>
      <w:r>
        <w:rPr>
          <w:color w:val="000000"/>
          <w:spacing w:val="0"/>
          <w:w w:val="100"/>
          <w:position w:val="0"/>
        </w:rPr>
        <w:t>在确定权益工具授予日的公允价值时，考虑股份支付协议规定的可行权条件中的市场条件和非可行权条件的影响。股 份支付存在非可行权条件的，只要职工或其他方满足了所有可行权条件中的非市场条件（如服务期限等），即确认已得到服 务相对应的成本费用。</w:t>
      </w:r>
    </w:p>
    <w:p>
      <w:pPr>
        <w:pStyle w:val="Style18"/>
        <w:keepNext w:val="0"/>
        <w:keepLines w:val="0"/>
        <w:widowControl w:val="0"/>
        <w:numPr>
          <w:ilvl w:val="0"/>
          <w:numId w:val="59"/>
        </w:numPr>
        <w:shd w:val="clear" w:color="auto" w:fill="auto"/>
        <w:bidi w:val="0"/>
        <w:spacing w:before="0" w:after="280" w:line="240" w:lineRule="auto"/>
        <w:ind w:left="0" w:right="0" w:firstLine="380"/>
        <w:jc w:val="left"/>
      </w:pPr>
      <w:bookmarkStart w:id="1165" w:name="bookmark1165"/>
      <w:bookmarkEnd w:id="1165"/>
      <w:r>
        <w:rPr>
          <w:b/>
          <w:bCs/>
          <w:color w:val="000000"/>
          <w:spacing w:val="0"/>
          <w:w w:val="100"/>
          <w:position w:val="0"/>
        </w:rPr>
        <w:t>确定可行权权益工具最佳估计的依据</w:t>
      </w:r>
    </w:p>
    <w:p>
      <w:pPr>
        <w:pStyle w:val="Style18"/>
        <w:keepNext w:val="0"/>
        <w:keepLines w:val="0"/>
        <w:widowControl w:val="0"/>
        <w:shd w:val="clear" w:color="auto" w:fill="auto"/>
        <w:bidi w:val="0"/>
        <w:spacing w:before="0" w:after="260" w:line="322" w:lineRule="exact"/>
        <w:ind w:left="0" w:right="0" w:firstLine="440"/>
        <w:jc w:val="both"/>
      </w:pPr>
      <w:r>
        <w:rPr>
          <w:color w:val="000000"/>
          <w:spacing w:val="0"/>
          <w:w w:val="100"/>
          <w:position w:val="0"/>
        </w:rPr>
        <w:t>等待期内每个资产负债表日，根据最新取得的可行权职工人数变动等后续信息作出最佳估计，修正预计可行权的权益 工具数量。在可行权日，最终预计可行权权益工具的数量与实际可行权数量一致。</w:t>
      </w:r>
    </w:p>
    <w:p>
      <w:pPr>
        <w:pStyle w:val="Style18"/>
        <w:keepNext w:val="0"/>
        <w:keepLines w:val="0"/>
        <w:widowControl w:val="0"/>
        <w:numPr>
          <w:ilvl w:val="0"/>
          <w:numId w:val="59"/>
        </w:numPr>
        <w:shd w:val="clear" w:color="auto" w:fill="auto"/>
        <w:bidi w:val="0"/>
        <w:spacing w:before="0" w:after="0" w:line="374" w:lineRule="auto"/>
        <w:ind w:left="0" w:right="0" w:firstLine="380"/>
        <w:jc w:val="both"/>
      </w:pPr>
      <w:bookmarkStart w:id="1166" w:name="bookmark1166"/>
      <w:bookmarkEnd w:id="1166"/>
      <w:r>
        <w:rPr>
          <w:b/>
          <w:bCs/>
          <w:color w:val="000000"/>
          <w:spacing w:val="0"/>
          <w:w w:val="100"/>
          <w:position w:val="0"/>
        </w:rPr>
        <w:t>会计处理方法</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以权益结算的股份支付，按授予职工权益工具的公允价值计量。授予后立即可行权的，在授予日按照权益工具的公允 价值计入相关成本或费用，相应增加资本公积。在完成等待期内的服务或达到规定业绩条件才可行权的，在等待期内的每个 资产负债表日，以对可行权权益工具数量的最佳估计为基础，按照权益工具授予日的公允价值，将当期取得的服务计入相关 成本或费用和资本公积。在可行权日之后不再对已确认的相关成本或费用和所有者权益总额进行调整。</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即可行权的，在授予日以本公司承担负债的公允价值计入相关成本或费用，相应增加负债。在完成等待期内的服务或达到规 定业绩条件以后才可行权的以现金结算的股份支付，在等待期内的每个资产负债表日，以对可行权情况的最佳估计为基础， 按照本公司承担负债的公允价值金额，将当期取得的服务计入成本或费用和相应的负债。在相关负债结算前的每个资产负债 表日以及结算日，对负债的公允价值重新计量，其变动计入当期损益。</w:t>
      </w:r>
    </w:p>
    <w:p>
      <w:pPr>
        <w:pStyle w:val="Style18"/>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若在等待期内取消了授予的权益工具，本公司对取消所授予的权益性工具作为加速行权处理，将剩余等待期内应确认 的金额立即计入当期损益，同时确认资本公积。职工或其他方能够选择满足非可行权条件但在等待期内未满足的，本公司将 其作为授予权益工具的取消处理。</w:t>
      </w:r>
    </w:p>
    <w:p>
      <w:pPr>
        <w:pStyle w:val="Style29"/>
        <w:keepNext/>
        <w:keepLines/>
        <w:widowControl w:val="0"/>
        <w:shd w:val="clear" w:color="auto" w:fill="auto"/>
        <w:tabs>
          <w:tab w:pos="472" w:val="left"/>
        </w:tabs>
        <w:bidi w:val="0"/>
        <w:spacing w:before="0" w:after="40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67"/>
      <w:bookmarkEnd w:id="1168"/>
      <w:bookmarkEnd w:id="1170"/>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2" w:val="left"/>
        </w:tabs>
        <w:bidi w:val="0"/>
        <w:spacing w:before="0" w:after="2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71"/>
      <w:bookmarkEnd w:id="1172"/>
      <w:bookmarkEnd w:id="1174"/>
    </w:p>
    <w:p>
      <w:pPr>
        <w:pStyle w:val="Style18"/>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keepLines/>
        <w:widowControl w:val="0"/>
        <w:shd w:val="clear" w:color="auto" w:fill="auto"/>
        <w:tabs>
          <w:tab w:pos="472" w:val="left"/>
        </w:tabs>
        <w:bidi w:val="0"/>
        <w:spacing w:before="0" w:after="40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4</w:t>
      </w:r>
      <w:bookmarkEnd w:id="1177"/>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75"/>
      <w:bookmarkEnd w:id="1176"/>
      <w:bookmarkEnd w:id="1178"/>
    </w:p>
    <w:p>
      <w:pPr>
        <w:pStyle w:val="Style35"/>
        <w:keepNext w:val="0"/>
        <w:keepLines w:val="0"/>
        <w:widowControl w:val="0"/>
        <w:numPr>
          <w:ilvl w:val="0"/>
          <w:numId w:val="61"/>
        </w:numPr>
        <w:shd w:val="clear" w:color="auto" w:fill="auto"/>
        <w:tabs>
          <w:tab w:pos="674" w:val="left"/>
        </w:tabs>
        <w:bidi w:val="0"/>
        <w:spacing w:before="0" w:after="0" w:line="374" w:lineRule="auto"/>
        <w:ind w:left="0" w:right="0" w:firstLine="380"/>
        <w:jc w:val="both"/>
        <w:rPr>
          <w:sz w:val="17"/>
          <w:szCs w:val="17"/>
        </w:rPr>
      </w:pPr>
      <w:bookmarkStart w:id="1179" w:name="bookmark1179"/>
      <w:bookmarkEnd w:id="1179"/>
      <w:r>
        <w:rPr>
          <w:rFonts w:ascii="SimSun" w:eastAsia="SimSun" w:hAnsi="SimSun" w:cs="SimSun"/>
          <w:color w:val="000000"/>
          <w:spacing w:val="0"/>
          <w:w w:val="100"/>
          <w:position w:val="0"/>
          <w:sz w:val="17"/>
          <w:szCs w:val="17"/>
        </w:rPr>
        <w:t>类型</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18"/>
        <w:keepNext w:val="0"/>
        <w:keepLines w:val="0"/>
        <w:widowControl w:val="0"/>
        <w:shd w:val="clear" w:color="auto" w:fill="auto"/>
        <w:bidi w:val="0"/>
        <w:spacing w:before="0" w:after="260" w:line="322"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8"/>
        <w:keepNext w:val="0"/>
        <w:keepLines w:val="0"/>
        <w:widowControl w:val="0"/>
        <w:numPr>
          <w:ilvl w:val="0"/>
          <w:numId w:val="61"/>
        </w:numPr>
        <w:shd w:val="clear" w:color="auto" w:fill="auto"/>
        <w:tabs>
          <w:tab w:pos="689" w:val="left"/>
        </w:tabs>
        <w:bidi w:val="0"/>
        <w:spacing w:before="0" w:after="0" w:line="374" w:lineRule="auto"/>
        <w:ind w:left="0" w:right="0" w:firstLine="380"/>
        <w:jc w:val="both"/>
      </w:pPr>
      <w:bookmarkStart w:id="1180" w:name="bookmark1180"/>
      <w:bookmarkEnd w:id="1180"/>
      <w:r>
        <w:rPr>
          <w:b/>
          <w:bCs/>
          <w:color w:val="000000"/>
          <w:spacing w:val="0"/>
          <w:w w:val="100"/>
          <w:position w:val="0"/>
        </w:rPr>
        <w:t>政府补助的确认</w:t>
      </w:r>
    </w:p>
    <w:p>
      <w:pPr>
        <w:pStyle w:val="Style1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对期末有证据表明公司能够符合财政扶持政策规定的相关条件且预计能够收到财政扶持资金的，按应收金额确认政府 补助。除此之外，政府补助均在实际收到时确认。</w:t>
      </w:r>
    </w:p>
    <w:p>
      <w:pPr>
        <w:pStyle w:val="Style18"/>
        <w:keepNext w:val="0"/>
        <w:keepLines w:val="0"/>
        <w:widowControl w:val="0"/>
        <w:shd w:val="clear" w:color="auto" w:fill="auto"/>
        <w:bidi w:val="0"/>
        <w:spacing w:before="0" w:after="260" w:line="319"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18"/>
        <w:keepNext w:val="0"/>
        <w:keepLines w:val="0"/>
        <w:widowControl w:val="0"/>
        <w:numPr>
          <w:ilvl w:val="0"/>
          <w:numId w:val="61"/>
        </w:numPr>
        <w:shd w:val="clear" w:color="auto" w:fill="auto"/>
        <w:tabs>
          <w:tab w:pos="689" w:val="left"/>
        </w:tabs>
        <w:bidi w:val="0"/>
        <w:spacing w:before="0" w:after="0" w:line="374" w:lineRule="auto"/>
        <w:ind w:left="0" w:right="0" w:firstLine="380"/>
        <w:jc w:val="both"/>
      </w:pPr>
      <w:bookmarkStart w:id="1181" w:name="bookmark1181"/>
      <w:bookmarkEnd w:id="1181"/>
      <w:r>
        <w:rPr>
          <w:b/>
          <w:bCs/>
          <w:color w:val="000000"/>
          <w:spacing w:val="0"/>
          <w:w w:val="100"/>
          <w:position w:val="0"/>
        </w:rPr>
        <w:t>会计处理方法</w:t>
      </w:r>
    </w:p>
    <w:p>
      <w:pPr>
        <w:pStyle w:val="Style1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本公司根据经济业务的实质，确定某一类政府补助业务应当采用总额法还是净额法进行会计处理。通常情况下，本公 司对于同类或类似政府补助业务只选用一种方法，且对该业务一贯地运用该方法。</w:t>
      </w:r>
    </w:p>
    <w:p>
      <w:pPr>
        <w:pStyle w:val="Style18"/>
        <w:keepNext w:val="0"/>
        <w:keepLines w:val="0"/>
        <w:widowControl w:val="0"/>
        <w:shd w:val="clear" w:color="auto" w:fill="auto"/>
        <w:bidi w:val="0"/>
        <w:spacing w:before="0" w:after="260" w:line="326" w:lineRule="exact"/>
        <w:ind w:left="0" w:right="0" w:firstLine="440"/>
        <w:jc w:val="both"/>
      </w:pPr>
      <w:r>
        <w:rPr>
          <w:color w:val="000000"/>
          <w:spacing w:val="0"/>
          <w:w w:val="100"/>
          <w:position w:val="0"/>
        </w:rPr>
        <w:t>与资产相关的政府补助，应当冲减相关资产的账面价值或确认为递延收益。与资产相关的政府补助确认为递延收益的，</w:t>
      </w:r>
    </w:p>
    <w:p>
      <w:pPr>
        <w:pStyle w:val="Style18"/>
        <w:keepNext w:val="0"/>
        <w:keepLines w:val="0"/>
        <w:widowControl w:val="0"/>
        <w:shd w:val="clear" w:color="auto" w:fill="auto"/>
        <w:bidi w:val="0"/>
        <w:spacing w:before="0" w:after="0" w:line="323" w:lineRule="exact"/>
        <w:ind w:left="0" w:right="0" w:firstLine="0"/>
        <w:jc w:val="left"/>
      </w:pPr>
      <w:r>
        <w:rPr>
          <w:color w:val="000000"/>
          <w:spacing w:val="0"/>
          <w:w w:val="100"/>
          <w:position w:val="0"/>
        </w:rPr>
        <w:t>在所建造或购买资产使用寿命内按照合理、系统的方法分期计入损益。</w:t>
      </w:r>
    </w:p>
    <w:p>
      <w:pPr>
        <w:pStyle w:val="Style18"/>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18"/>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8"/>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收到与政策性优惠贷款贴息相关的政府补助冲减相关借款费用；取得贷款银行提供的政策性优惠利率贷款的，以实际 收到的借款金额作为借款的入账价值，按照借款本金和该政策性优惠利率计算相关借款费用。</w:t>
      </w:r>
    </w:p>
    <w:p>
      <w:pPr>
        <w:pStyle w:val="Style18"/>
        <w:keepNext w:val="0"/>
        <w:keepLines w:val="0"/>
        <w:widowControl w:val="0"/>
        <w:shd w:val="clear" w:color="auto" w:fill="auto"/>
        <w:bidi w:val="0"/>
        <w:spacing w:before="0" w:after="400" w:line="323" w:lineRule="exact"/>
        <w:ind w:left="0" w:right="0" w:firstLine="44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2"/>
      <w:bookmarkEnd w:id="1183"/>
      <w:bookmarkEnd w:id="1185"/>
    </w:p>
    <w:p>
      <w:pPr>
        <w:pStyle w:val="Style18"/>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18"/>
        <w:keepNext w:val="0"/>
        <w:keepLines w:val="0"/>
        <w:widowControl w:val="0"/>
        <w:numPr>
          <w:ilvl w:val="0"/>
          <w:numId w:val="63"/>
        </w:numPr>
        <w:shd w:val="clear" w:color="auto" w:fill="auto"/>
        <w:tabs>
          <w:tab w:pos="686" w:val="left"/>
        </w:tabs>
        <w:bidi w:val="0"/>
        <w:spacing w:before="0" w:after="0" w:line="374" w:lineRule="auto"/>
        <w:ind w:left="0" w:right="0" w:firstLine="380"/>
        <w:jc w:val="both"/>
      </w:pPr>
      <w:bookmarkStart w:id="1186" w:name="bookmark1186"/>
      <w:bookmarkEnd w:id="1186"/>
      <w:r>
        <w:rPr>
          <w:b/>
          <w:bCs/>
          <w:color w:val="000000"/>
          <w:spacing w:val="0"/>
          <w:w w:val="100"/>
          <w:position w:val="0"/>
        </w:rPr>
        <w:t>确认递延所得税资产的依据</w:t>
      </w:r>
    </w:p>
    <w:p>
      <w:pPr>
        <w:pStyle w:val="Style18"/>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确认由可抵扣暂时性差异产生的递延所得税资产。但是，同时具有下列特征的交易中因资产或负债的初始确认所产生的递延 所得税资产不予确认：（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8"/>
        <w:keepNext w:val="0"/>
        <w:keepLines w:val="0"/>
        <w:widowControl w:val="0"/>
        <w:shd w:val="clear" w:color="auto" w:fill="auto"/>
        <w:bidi w:val="0"/>
        <w:spacing w:before="0" w:after="280" w:line="318" w:lineRule="exact"/>
        <w:ind w:left="0" w:right="0" w:firstLine="440"/>
        <w:jc w:val="both"/>
      </w:pPr>
      <w:r>
        <w:rPr>
          <w:color w:val="000000"/>
          <w:spacing w:val="0"/>
          <w:w w:val="100"/>
          <w:position w:val="0"/>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Style18"/>
        <w:keepNext w:val="0"/>
        <w:keepLines w:val="0"/>
        <w:widowControl w:val="0"/>
        <w:numPr>
          <w:ilvl w:val="0"/>
          <w:numId w:val="63"/>
        </w:numPr>
        <w:shd w:val="clear" w:color="auto" w:fill="auto"/>
        <w:tabs>
          <w:tab w:pos="700" w:val="left"/>
        </w:tabs>
        <w:bidi w:val="0"/>
        <w:spacing w:before="0" w:after="0" w:line="374" w:lineRule="auto"/>
        <w:ind w:left="0" w:right="0" w:firstLine="380"/>
        <w:jc w:val="both"/>
      </w:pPr>
      <w:bookmarkStart w:id="1187" w:name="bookmark1187"/>
      <w:bookmarkEnd w:id="1187"/>
      <w:r>
        <w:rPr>
          <w:b/>
          <w:bCs/>
          <w:color w:val="000000"/>
          <w:spacing w:val="0"/>
          <w:w w:val="100"/>
          <w:position w:val="0"/>
        </w:rPr>
        <w:t>确认递延所得税负债的依据</w:t>
      </w:r>
    </w:p>
    <w:p>
      <w:pPr>
        <w:pStyle w:val="Style18"/>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18"/>
        <w:keepNext w:val="0"/>
        <w:keepLines w:val="0"/>
        <w:widowControl w:val="0"/>
        <w:shd w:val="clear" w:color="auto" w:fill="auto"/>
        <w:tabs>
          <w:tab w:pos="880" w:val="left"/>
        </w:tabs>
        <w:bidi w:val="0"/>
        <w:spacing w:before="0" w:after="0" w:line="331" w:lineRule="exact"/>
        <w:ind w:left="0" w:right="0" w:firstLine="440"/>
        <w:jc w:val="left"/>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18"/>
        <w:keepNext w:val="0"/>
        <w:keepLines w:val="0"/>
        <w:widowControl w:val="0"/>
        <w:shd w:val="clear" w:color="auto" w:fill="auto"/>
        <w:bidi w:val="0"/>
        <w:spacing w:before="0" w:after="0" w:line="331" w:lineRule="exact"/>
        <w:ind w:left="0" w:right="0" w:firstLine="44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非企业合并形成的交易或事项，且该交易或事项发生时既不影响会计利润，也不影响应纳税所得额（或可抵扣亏 损）所形成的暂时性差异；</w:t>
      </w:r>
    </w:p>
    <w:p>
      <w:pPr>
        <w:pStyle w:val="Style18"/>
        <w:keepNext w:val="0"/>
        <w:keepLines w:val="0"/>
        <w:widowControl w:val="0"/>
        <w:shd w:val="clear" w:color="auto" w:fill="auto"/>
        <w:tabs>
          <w:tab w:pos="958" w:val="left"/>
        </w:tabs>
        <w:bidi w:val="0"/>
        <w:spacing w:before="0" w:after="280" w:line="331" w:lineRule="exact"/>
        <w:ind w:left="0" w:right="0" w:firstLine="44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18"/>
        <w:keepNext w:val="0"/>
        <w:keepLines w:val="0"/>
        <w:widowControl w:val="0"/>
        <w:numPr>
          <w:ilvl w:val="0"/>
          <w:numId w:val="63"/>
        </w:numPr>
        <w:shd w:val="clear" w:color="auto" w:fill="auto"/>
        <w:bidi w:val="0"/>
        <w:spacing w:before="0" w:after="0" w:line="374" w:lineRule="auto"/>
        <w:ind w:left="0" w:right="0" w:firstLine="380"/>
        <w:jc w:val="both"/>
      </w:pPr>
      <w:bookmarkStart w:id="1191" w:name="bookmark1191"/>
      <w:bookmarkEnd w:id="1191"/>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同时满足下列条件时，将递延所得税资产及递延所得税负债以抵销后的净额列示</w:t>
      </w:r>
    </w:p>
    <w:p>
      <w:pPr>
        <w:pStyle w:val="Style18"/>
        <w:keepNext w:val="0"/>
        <w:keepLines w:val="0"/>
        <w:widowControl w:val="0"/>
        <w:shd w:val="clear" w:color="auto" w:fill="auto"/>
        <w:tabs>
          <w:tab w:pos="880" w:val="left"/>
        </w:tabs>
        <w:bidi w:val="0"/>
        <w:spacing w:before="0" w:after="0" w:line="323" w:lineRule="exact"/>
        <w:ind w:left="0" w:right="0" w:firstLine="440"/>
        <w:jc w:val="left"/>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18"/>
        <w:keepNext w:val="0"/>
        <w:keepLines w:val="0"/>
        <w:widowControl w:val="0"/>
        <w:shd w:val="clear" w:color="auto" w:fill="auto"/>
        <w:tabs>
          <w:tab w:pos="958" w:val="left"/>
        </w:tabs>
        <w:bidi w:val="0"/>
        <w:spacing w:before="0" w:after="400" w:line="329" w:lineRule="exact"/>
        <w:ind w:left="0" w:right="0" w:firstLine="44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9"/>
        <w:keepNext/>
        <w:keepLines/>
        <w:widowControl w:val="0"/>
        <w:shd w:val="clear" w:color="auto" w:fill="auto"/>
        <w:tabs>
          <w:tab w:pos="483" w:val="left"/>
        </w:tabs>
        <w:bidi w:val="0"/>
        <w:spacing w:before="0" w:after="40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94"/>
      <w:bookmarkEnd w:id="1195"/>
      <w:bookmarkEnd w:id="1197"/>
    </w:p>
    <w:p>
      <w:pPr>
        <w:pStyle w:val="Style40"/>
        <w:keepNext/>
        <w:keepLines/>
        <w:widowControl w:val="0"/>
        <w:shd w:val="clear" w:color="auto" w:fill="auto"/>
        <w:bidi w:val="0"/>
        <w:spacing w:before="0" w:after="2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98"/>
      <w:bookmarkEnd w:id="1199"/>
      <w:bookmarkEnd w:id="1201"/>
    </w:p>
    <w:p>
      <w:pPr>
        <w:pStyle w:val="Style18"/>
        <w:keepNext w:val="0"/>
        <w:keepLines w:val="0"/>
        <w:widowControl w:val="0"/>
        <w:shd w:val="clear" w:color="auto" w:fill="auto"/>
        <w:bidi w:val="0"/>
        <w:spacing w:before="0" w:after="280" w:line="324" w:lineRule="exact"/>
        <w:ind w:left="0" w:right="0" w:firstLine="440"/>
        <w:jc w:val="both"/>
      </w:pPr>
      <w:r>
        <w:rPr>
          <w:color w:val="000000"/>
          <w:spacing w:val="0"/>
          <w:w w:val="100"/>
          <w:position w:val="0"/>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p>
    <w:p>
      <w:pPr>
        <w:pStyle w:val="Style40"/>
        <w:keepNext/>
        <w:keepLines/>
        <w:widowControl w:val="0"/>
        <w:shd w:val="clear" w:color="auto" w:fill="auto"/>
        <w:bidi w:val="0"/>
        <w:spacing w:before="0" w:after="28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02"/>
      <w:bookmarkEnd w:id="1203"/>
      <w:bookmarkEnd w:id="1205"/>
    </w:p>
    <w:p>
      <w:pPr>
        <w:pStyle w:val="Style18"/>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应收融资租赁款初始计量时，以未担保余值和租赁期开始日尚未收到的租赁收款额按照租赁内含利率折现的现值之和 作为应收融资租赁款的入账价值。租赁收款额包括：</w:t>
      </w:r>
    </w:p>
    <w:p>
      <w:pPr>
        <w:pStyle w:val="Style18"/>
        <w:keepNext w:val="0"/>
        <w:keepLines w:val="0"/>
        <w:widowControl w:val="0"/>
        <w:shd w:val="clear" w:color="auto" w:fill="auto"/>
        <w:tabs>
          <w:tab w:pos="789" w:val="left"/>
        </w:tabs>
        <w:bidi w:val="0"/>
        <w:spacing w:before="0" w:after="0" w:line="324" w:lineRule="exact"/>
        <w:ind w:left="0" w:right="0" w:firstLine="440"/>
        <w:jc w:val="left"/>
      </w:pPr>
      <w:bookmarkStart w:id="1206" w:name="bookmark1206"/>
      <w:r>
        <w:rPr>
          <w:rFonts w:ascii="Times New Roman" w:eastAsia="Times New Roman" w:hAnsi="Times New Roman" w:cs="Times New Roman"/>
          <w:color w:val="000000"/>
          <w:spacing w:val="0"/>
          <w:w w:val="100"/>
          <w:position w:val="0"/>
          <w:sz w:val="18"/>
          <w:szCs w:val="18"/>
        </w:rPr>
        <w:t>1</w:t>
      </w:r>
      <w:bookmarkEnd w:id="1206"/>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808" w:val="left"/>
        </w:tabs>
        <w:bidi w:val="0"/>
        <w:spacing w:before="0" w:after="0" w:line="324" w:lineRule="exact"/>
        <w:ind w:left="0" w:right="0" w:firstLine="440"/>
        <w:jc w:val="left"/>
      </w:pPr>
      <w:bookmarkStart w:id="1207" w:name="bookmark1207"/>
      <w:r>
        <w:rPr>
          <w:rFonts w:ascii="Times New Roman" w:eastAsia="Times New Roman" w:hAnsi="Times New Roman" w:cs="Times New Roman"/>
          <w:color w:val="000000"/>
          <w:spacing w:val="0"/>
          <w:w w:val="100"/>
          <w:position w:val="0"/>
          <w:sz w:val="18"/>
          <w:szCs w:val="18"/>
        </w:rPr>
        <w:t>2</w:t>
      </w:r>
      <w:bookmarkEnd w:id="1207"/>
      <w:r>
        <w:rPr>
          <w:color w:val="000000"/>
          <w:spacing w:val="0"/>
          <w:w w:val="100"/>
          <w:position w:val="0"/>
        </w:rPr>
        <w:t>）</w:t>
        <w:tab/>
        <w:t>取决于指数或比率的可变租赁付款额；</w:t>
      </w:r>
    </w:p>
    <w:p>
      <w:pPr>
        <w:pStyle w:val="Style18"/>
        <w:keepNext w:val="0"/>
        <w:keepLines w:val="0"/>
        <w:widowControl w:val="0"/>
        <w:shd w:val="clear" w:color="auto" w:fill="auto"/>
        <w:tabs>
          <w:tab w:pos="798" w:val="left"/>
        </w:tabs>
        <w:bidi w:val="0"/>
        <w:spacing w:before="0" w:after="0" w:line="324" w:lineRule="exact"/>
        <w:ind w:left="0" w:right="0" w:firstLine="440"/>
        <w:jc w:val="left"/>
      </w:pPr>
      <w:bookmarkStart w:id="1208" w:name="bookmark1208"/>
      <w:r>
        <w:rPr>
          <w:rFonts w:ascii="Times New Roman" w:eastAsia="Times New Roman" w:hAnsi="Times New Roman" w:cs="Times New Roman"/>
          <w:color w:val="000000"/>
          <w:spacing w:val="0"/>
          <w:w w:val="100"/>
          <w:position w:val="0"/>
          <w:sz w:val="18"/>
          <w:szCs w:val="18"/>
        </w:rPr>
        <w:t>3</w:t>
      </w:r>
      <w:bookmarkEnd w:id="1208"/>
      <w:r>
        <w:rPr>
          <w:color w:val="000000"/>
          <w:spacing w:val="0"/>
          <w:w w:val="100"/>
          <w:position w:val="0"/>
        </w:rPr>
        <w:t>）</w:t>
        <w:tab/>
        <w:t>合理确定承租人将行使购买选择权的情况下，租赁收款额包括购买选择权的行权价格；</w:t>
      </w:r>
    </w:p>
    <w:p>
      <w:pPr>
        <w:pStyle w:val="Style18"/>
        <w:keepNext w:val="0"/>
        <w:keepLines w:val="0"/>
        <w:widowControl w:val="0"/>
        <w:shd w:val="clear" w:color="auto" w:fill="auto"/>
        <w:tabs>
          <w:tab w:pos="808" w:val="left"/>
        </w:tabs>
        <w:bidi w:val="0"/>
        <w:spacing w:before="0" w:after="0" w:line="324" w:lineRule="exact"/>
        <w:ind w:left="0" w:right="0" w:firstLine="440"/>
        <w:jc w:val="left"/>
      </w:pPr>
      <w:bookmarkStart w:id="1209" w:name="bookmark1209"/>
      <w:r>
        <w:rPr>
          <w:rFonts w:ascii="Times New Roman" w:eastAsia="Times New Roman" w:hAnsi="Times New Roman" w:cs="Times New Roman"/>
          <w:color w:val="000000"/>
          <w:spacing w:val="0"/>
          <w:w w:val="100"/>
          <w:position w:val="0"/>
          <w:sz w:val="18"/>
          <w:szCs w:val="18"/>
        </w:rPr>
        <w:t>4</w:t>
      </w:r>
      <w:bookmarkEnd w:id="1209"/>
      <w:r>
        <w:rPr>
          <w:color w:val="000000"/>
          <w:spacing w:val="0"/>
          <w:w w:val="100"/>
          <w:position w:val="0"/>
        </w:rPr>
        <w:t>）</w:t>
        <w:tab/>
        <w:t>租赁期反映出承租人将行使终止租赁选择权的情况下，租赁收款额包括承租人行使终止租赁选择权需支付的款项；</w:t>
      </w:r>
    </w:p>
    <w:p>
      <w:pPr>
        <w:pStyle w:val="Style18"/>
        <w:keepNext w:val="0"/>
        <w:keepLines w:val="0"/>
        <w:widowControl w:val="0"/>
        <w:shd w:val="clear" w:color="auto" w:fill="auto"/>
        <w:tabs>
          <w:tab w:pos="808" w:val="left"/>
        </w:tabs>
        <w:bidi w:val="0"/>
        <w:spacing w:before="0" w:after="0" w:line="324" w:lineRule="exact"/>
        <w:ind w:left="0" w:right="0" w:firstLine="440"/>
        <w:jc w:val="left"/>
      </w:pPr>
      <w:bookmarkStart w:id="1210" w:name="bookmark1210"/>
      <w:r>
        <w:rPr>
          <w:rFonts w:ascii="Times New Roman" w:eastAsia="Times New Roman" w:hAnsi="Times New Roman" w:cs="Times New Roman"/>
          <w:color w:val="000000"/>
          <w:spacing w:val="0"/>
          <w:w w:val="100"/>
          <w:position w:val="0"/>
          <w:sz w:val="18"/>
          <w:szCs w:val="18"/>
        </w:rPr>
        <w:t>5</w:t>
      </w:r>
      <w:bookmarkEnd w:id="1210"/>
      <w:r>
        <w:rPr>
          <w:color w:val="000000"/>
          <w:spacing w:val="0"/>
          <w:w w:val="100"/>
          <w:position w:val="0"/>
        </w:rPr>
        <w:t>）</w:t>
        <w:tab/>
        <w:t>由承租人、与承租人有关的一方以及有经济能力履行担保义务的独立第三方向出租人提供的担保余值。</w:t>
      </w:r>
    </w:p>
    <w:p>
      <w:pPr>
        <w:pStyle w:val="Style18"/>
        <w:keepNext w:val="0"/>
        <w:keepLines w:val="0"/>
        <w:widowControl w:val="0"/>
        <w:shd w:val="clear" w:color="auto" w:fill="auto"/>
        <w:bidi w:val="0"/>
        <w:spacing w:before="0" w:after="380" w:line="324" w:lineRule="exact"/>
        <w:ind w:left="0" w:right="0" w:firstLine="440"/>
        <w:jc w:val="both"/>
      </w:pPr>
      <w:r>
        <w:rPr>
          <w:color w:val="000000"/>
          <w:spacing w:val="0"/>
          <w:w w:val="100"/>
          <w:position w:val="0"/>
        </w:rPr>
        <w:t>本公司按照固定的租赁内含利率计算并确认租赁期内各个期间的利息收入，所取得的未纳入租赁投资净额计量的可变 租赁付款额在实际发生时计入当期损益。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11"/>
      <w:bookmarkEnd w:id="1212"/>
      <w:bookmarkEnd w:id="1214"/>
    </w:p>
    <w:p>
      <w:pPr>
        <w:pStyle w:val="Style18"/>
        <w:keepNext w:val="0"/>
        <w:keepLines w:val="0"/>
        <w:widowControl w:val="0"/>
        <w:numPr>
          <w:ilvl w:val="0"/>
          <w:numId w:val="65"/>
        </w:numPr>
        <w:shd w:val="clear" w:color="auto" w:fill="auto"/>
        <w:bidi w:val="0"/>
        <w:spacing w:before="0" w:after="140" w:line="324" w:lineRule="exact"/>
        <w:ind w:left="0" w:right="0" w:firstLine="380"/>
        <w:jc w:val="left"/>
      </w:pPr>
      <w:bookmarkStart w:id="1215" w:name="bookmark1215"/>
      <w:bookmarkEnd w:id="1215"/>
      <w:r>
        <w:rPr>
          <w:b/>
          <w:bCs/>
          <w:color w:val="000000"/>
          <w:spacing w:val="0"/>
          <w:w w:val="100"/>
          <w:position w:val="0"/>
        </w:rPr>
        <w:t>终止经营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本公司将满足下列条件之一的，且该组成部分已经处置或划归为持有待售类别的、能够单独区分的组成部分确认为终 止经营组成部分：</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18"/>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29"/>
        <w:keepNext/>
        <w:keepLines/>
        <w:widowControl w:val="0"/>
        <w:shd w:val="clear" w:color="auto" w:fill="auto"/>
        <w:tabs>
          <w:tab w:pos="483"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219"/>
      <w:bookmarkEnd w:id="1220"/>
      <w:bookmarkEnd w:id="1222"/>
    </w:p>
    <w:p>
      <w:pPr>
        <w:pStyle w:val="Style40"/>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23"/>
      <w:bookmarkEnd w:id="1224"/>
      <w:bookmarkEnd w:id="122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2554"/>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日召开第七届董 事会第二十一次会议审议通过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408" w:right="0" w:firstLine="0"/>
        <w:jc w:val="left"/>
      </w:pPr>
      <w:r>
        <w:rPr>
          <w:b/>
          <w:bCs/>
          <w:color w:val="000000"/>
          <w:spacing w:val="0"/>
          <w:w w:val="100"/>
          <w:position w:val="0"/>
        </w:rPr>
        <w:t>执行新租赁准则对本公司的影响</w:t>
      </w:r>
    </w:p>
    <w:p>
      <w:pPr>
        <w:pStyle w:val="Style18"/>
        <w:keepNext w:val="0"/>
        <w:keepLines w:val="0"/>
        <w:widowControl w:val="0"/>
        <w:shd w:val="clear" w:color="auto" w:fill="auto"/>
        <w:bidi w:val="0"/>
        <w:spacing w:before="0" w:after="0" w:line="326"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号——租赁》，变更后的会计政策详见附注四、 重要会计政策、会计估计。</w:t>
      </w:r>
    </w:p>
    <w:p>
      <w:pPr>
        <w:pStyle w:val="Style18"/>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18"/>
        <w:keepNext w:val="0"/>
        <w:keepLines w:val="0"/>
        <w:widowControl w:val="0"/>
        <w:shd w:val="clear" w:color="auto" w:fill="auto"/>
        <w:bidi w:val="0"/>
        <w:spacing w:before="0" w:after="0" w:line="346" w:lineRule="exact"/>
        <w:ind w:left="0" w:right="0" w:firstLine="44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号一计政策、会计估计变更和差错更正》的规定选择 采用简化的追溯调整法进行衔接会计处理，即调整首次执行本准则当年年初留存收益及财务报表其他相关项目金额，不调整 </w:t>
      </w:r>
      <w:r>
        <w:rPr>
          <w:color w:val="000000"/>
          <w:spacing w:val="0"/>
          <w:w w:val="100"/>
          <w:position w:val="0"/>
        </w:rPr>
        <w:t>可比期间信息，并对其中的经营租赁根据每项租赁选择使用权资产计量方法和采用相关简化处理，具体如下：</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对于首次执行日前的经营租赁，承租人在首次执行日应当根据剩余租赁付款额按首次执行日承租人增量借款利率折现 的现值计量租赁负债，按照与租赁负债相等的金额，并根据预付租金进行必要调整计量使用权资产。</w:t>
      </w:r>
    </w:p>
    <w:p>
      <w:pPr>
        <w:pStyle w:val="Style18"/>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本公司对低价值资产租赁的会计政策为不确认使用权资产和租赁负债。根据新租赁准则的衔接规定，本公司在首次执</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行日前的低价值资产租赁，自首次执行日起按照新租赁准则进行会计处理，不对低价值资产租赁进行追溯调整。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2419"/>
        <w:gridCol w:w="1560"/>
        <w:gridCol w:w="1272"/>
        <w:gridCol w:w="1277"/>
        <w:gridCol w:w="1277"/>
        <w:gridCol w:w="1853"/>
      </w:tblGrid>
      <w:tr>
        <w:trPr>
          <w:trHeight w:val="355"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7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重分类</w:t>
            </w:r>
          </w:p>
          <w:p>
            <w:pPr>
              <w:pStyle w:val="Style2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重新计量</w:t>
            </w:r>
          </w:p>
          <w:p>
            <w:pPr>
              <w:pStyle w:val="Style2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top"/>
          </w:tcPr>
          <w:p>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18,971,046,264.91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22,971,872.04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22,971,872.04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43,587,913.16</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64,753,674.92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64,753,674.92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64,753,674.92</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8,859,916,326.53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8,947,641,873.49</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注：上表仅呈列受影响的财务报表项目，不受影响的财务报表项目不包括在内，因此所披露的小计和合计无法根据上表</w:t>
      </w:r>
    </w:p>
    <w:p>
      <w:pPr>
        <w:pStyle w:val="Style18"/>
        <w:keepNext w:val="0"/>
        <w:keepLines w:val="0"/>
        <w:widowControl w:val="0"/>
        <w:shd w:val="clear" w:color="auto" w:fill="auto"/>
        <w:bidi w:val="0"/>
        <w:spacing w:before="0" w:after="160" w:line="326" w:lineRule="exact"/>
        <w:ind w:left="0" w:right="0" w:firstLine="0"/>
        <w:jc w:val="left"/>
      </w:pPr>
      <w:r>
        <w:rPr>
          <w:color w:val="000000"/>
          <w:spacing w:val="0"/>
          <w:w w:val="100"/>
          <w:position w:val="0"/>
        </w:rPr>
        <w:t>中呈列的数字重新计算得出。</w:t>
      </w:r>
    </w:p>
    <w:p>
      <w:pPr>
        <w:pStyle w:val="Style18"/>
        <w:keepNext w:val="0"/>
        <w:keepLines w:val="0"/>
        <w:widowControl w:val="0"/>
        <w:numPr>
          <w:ilvl w:val="0"/>
          <w:numId w:val="67"/>
        </w:numPr>
        <w:shd w:val="clear" w:color="auto" w:fill="auto"/>
        <w:tabs>
          <w:tab w:pos="666" w:val="left"/>
        </w:tabs>
        <w:bidi w:val="0"/>
        <w:spacing w:before="0" w:after="160" w:line="326" w:lineRule="exact"/>
        <w:ind w:left="0" w:right="0" w:firstLine="360"/>
        <w:jc w:val="left"/>
      </w:pPr>
      <w:bookmarkStart w:id="1227" w:name="bookmark1227"/>
      <w:bookmarkEnd w:id="1227"/>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号对本公司的影响</w:t>
      </w:r>
    </w:p>
    <w:p>
      <w:pPr>
        <w:pStyle w:val="Style18"/>
        <w:keepNext w:val="0"/>
        <w:keepLines w:val="0"/>
        <w:widowControl w:val="0"/>
        <w:shd w:val="clear" w:color="auto" w:fill="auto"/>
        <w:tabs>
          <w:tab w:pos="6501" w:val="left"/>
        </w:tabs>
        <w:bidi w:val="0"/>
        <w:spacing w:before="0" w:after="0" w:line="326"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60" w:line="326" w:lineRule="exact"/>
        <w:ind w:left="0" w:right="0" w:firstLine="44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18"/>
        <w:keepNext w:val="0"/>
        <w:keepLines w:val="0"/>
        <w:widowControl w:val="0"/>
        <w:numPr>
          <w:ilvl w:val="0"/>
          <w:numId w:val="67"/>
        </w:numPr>
        <w:shd w:val="clear" w:color="auto" w:fill="auto"/>
        <w:tabs>
          <w:tab w:pos="680" w:val="left"/>
        </w:tabs>
        <w:bidi w:val="0"/>
        <w:spacing w:before="0" w:after="160" w:line="326" w:lineRule="exact"/>
        <w:ind w:left="0" w:right="0" w:firstLine="360"/>
        <w:jc w:val="left"/>
      </w:pPr>
      <w:bookmarkStart w:id="1228" w:name="bookmark1228"/>
      <w:bookmarkEnd w:id="1228"/>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号对本公司的影响</w:t>
      </w:r>
    </w:p>
    <w:p>
      <w:pPr>
        <w:pStyle w:val="Style18"/>
        <w:keepNext w:val="0"/>
        <w:keepLines w:val="0"/>
        <w:widowControl w:val="0"/>
        <w:shd w:val="clear" w:color="auto" w:fill="auto"/>
        <w:bidi w:val="0"/>
        <w:spacing w:before="0" w:after="400" w:line="32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），于发布 之日起实施。执行解释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号对本报告期内财务报表无影响。</w:t>
      </w:r>
    </w:p>
    <w:p>
      <w:pPr>
        <w:pStyle w:val="Style40"/>
        <w:keepNext/>
        <w:keepLines/>
        <w:widowControl w:val="0"/>
        <w:shd w:val="clear" w:color="auto" w:fill="auto"/>
        <w:tabs>
          <w:tab w:pos="493" w:val="left"/>
        </w:tabs>
        <w:bidi w:val="0"/>
        <w:spacing w:before="0" w:after="40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29"/>
      <w:bookmarkEnd w:id="1230"/>
      <w:bookmarkEnd w:id="1232"/>
    </w:p>
    <w:p>
      <w:pPr>
        <w:pStyle w:val="Style18"/>
        <w:keepNext w:val="0"/>
        <w:keepLines w:val="0"/>
        <w:widowControl w:val="0"/>
        <w:shd w:val="clear" w:color="auto" w:fill="auto"/>
        <w:bidi w:val="0"/>
        <w:spacing w:before="0" w:after="26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00" w:line="240" w:lineRule="auto"/>
        <w:ind w:left="0" w:right="0" w:firstLine="0"/>
        <w:jc w:val="both"/>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33"/>
      <w:bookmarkEnd w:id="1234"/>
      <w:bookmarkEnd w:id="1236"/>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60" w:line="326"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60" w:line="326"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101,028,345.88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101,028,345.88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5,371,255,740.82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5,371,255,740.82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748,948,093.66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748,948,093.66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448,072,223.46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448,072,223.46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209,636,277.50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209,636,277.50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16,334,548,900.76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16,334,548,900.76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150,104,173.05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150,104,173.05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204,123,718.13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204,123,718.13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149,256,201.76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149,256,201.76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650,485,226.55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650,485,226.55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8,084,625.57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8,084,625.57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67,419,507.98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67,419,507.98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2,548,771,817.19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2,636,497,364.15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18,971,046,264.91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124,461,636.92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124,461,636.92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1,454,145,044.66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1,454,145,044.66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12,962,262.22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12,962,262.22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75,395,282.77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75,395,282.77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1,622,058,779.90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1,622,058,779.90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43,587,913.16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22,971,872.04</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239,311,617.81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239,311,617.81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8,776,727,834.57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8,799,699,706.61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22,971,872.04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64,753,674.92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64,753,674.92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13,829,213.11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13,829,213.11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83,188,491.96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147,942,166.88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64,753,674.92</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8,859,916,326.53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8,947,641,873.49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2,156,905,868.17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2,156,905,868.17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738,291,318.03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738,291,318.03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9,914,498,620.25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9,914,498,620.25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108,905,771.17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108,905,771.17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10,023,404,391.42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10,023,404,391.42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18,971,046,264.91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87,725,546.96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r>
        <w:br w:type="page"/>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1,078,314,797.53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1,078,314,797.53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12,607,784.82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12,607,784.82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3,336,027,231.16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3,336,027,231.16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320,753,326.49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320,753,326.49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3,808,857,695.02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3,808,857,695.02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531,257,249.01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531,257,249.01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22,803,771.20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22,803,771.20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93,739,217.53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93,739,217.53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10,684,846,495.84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10,684,846,495.84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126,127,903.76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126,127,903.76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3,844,703,390.68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3,844,703,390.68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577,458,005.06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577,458,005.06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14,642,947.82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14,642,947.82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87,994,468.45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87,994,468.45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19,627,949.60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19,627,949.60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892,361.97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54,245,410.22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54,245,410.22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4,725,792,237.56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4,728,861,259.57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15,410,638,733.40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15,413,707,755.41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2,781,525,412.94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2,781,525,412.94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81,521,674.08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81,521,674.08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583,152,842.35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583,152,842.35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323,092,364.81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323,092,364.81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1,314,989.42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1,314,989.42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18,375,648.52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18,375,648.52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2,929,627,116.24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2,929,627,116.24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16,545,082.24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17,641,042.48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1,095,960.24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42,002,007.42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42,002,007.42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6,777,157,138.02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6,778,253,098.26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1,095,960.24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1,973,061.77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1,973,061.77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9,141,563.07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9,141,563.07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7,878,878.09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7,878,878.09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3,959,302.90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3,959,302.90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20,979,744.06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22,952,805.83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1,973,061.77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6,798,136,882.08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6,801,205,904.09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2,173,159,089.26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2,173,159,089.26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736,913,375.52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736,913,375.52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2,586,947,011.54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2,586,947,011.54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8,612,501,851.32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8,612,501,851.32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15,410,638,733.40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15,413,707,755.41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3,069,022.01</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shd w:val="clear" w:color="auto" w:fill="FFFFFF"/>
        </w:rPr>
        <w:t>（</w:t>
      </w:r>
      <w:bookmarkEnd w:id="123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37"/>
      <w:bookmarkEnd w:id="1238"/>
      <w:bookmarkEnd w:id="124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41"/>
      <w:bookmarkEnd w:id="1242"/>
      <w:bookmarkEnd w:id="1243"/>
    </w:p>
    <w:p>
      <w:pPr>
        <w:pStyle w:val="Style24"/>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六</w:t>
      </w:r>
      <w:bookmarkEnd w:id="1246"/>
      <w:r>
        <w:rPr>
          <w:color w:val="000000"/>
          <w:spacing w:val="0"/>
          <w:w w:val="100"/>
          <w:position w:val="0"/>
        </w:rPr>
        <w:t>、税项</w:t>
      </w:r>
      <w:bookmarkEnd w:id="1244"/>
      <w:bookmarkEnd w:id="1245"/>
      <w:bookmarkEnd w:id="1247"/>
    </w:p>
    <w:p>
      <w:pPr>
        <w:pStyle w:val="Style29"/>
        <w:keepNext/>
        <w:keepLines/>
        <w:widowControl w:val="0"/>
        <w:shd w:val="clear" w:color="auto" w:fill="auto"/>
        <w:bidi w:val="0"/>
        <w:spacing w:before="0" w:after="32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、主要税种及税率</w:t>
      </w:r>
      <w:bookmarkEnd w:id="1248"/>
      <w:bookmarkEnd w:id="1249"/>
      <w:bookmarkEnd w:id="1251"/>
    </w:p>
    <w:tbl>
      <w:tblPr>
        <w:tblOverlap w:val="never"/>
        <w:jc w:val="center"/>
        <w:tblLayout w:type="fixed"/>
      </w:tblPr>
      <w:tblGrid>
        <w:gridCol w:w="2275"/>
        <w:gridCol w:w="5674"/>
        <w:gridCol w:w="163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销售商品、应税劳务收入、不动产租赁服务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母公司、公司所属子公司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北京东华合创科技有限公司、东华医为科技有 限公司的应纳税所得额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泰安东华合创软件有限公司、北京神州新桥科技有限公 司、北京联银通科技有限公司、东华软件工程有限公司、北京威锐达测 控系统有限公司、深圳市至高通信技术发展有限公司、东华至高通信技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2275"/>
        <w:gridCol w:w="5674"/>
        <w:gridCol w:w="1637"/>
      </w:tblGrid>
      <w:tr>
        <w:trPr>
          <w:trHeight w:val="1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3" w:lineRule="exact"/>
              <w:ind w:left="0" w:right="0" w:firstLine="0"/>
              <w:jc w:val="both"/>
            </w:pPr>
            <w:r>
              <w:rPr>
                <w:color w:val="000000"/>
                <w:spacing w:val="0"/>
                <w:w w:val="100"/>
                <w:position w:val="0"/>
              </w:rPr>
              <w:t>术有限公司、东华网络股份公司、西安东华软件有限公司、东华网络股 份公司、东华云计算有限公司、东华软件（沈阳）有限公司、贵州东华 云数据科技有限责任公司等公司；公司所属孙公司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 有限公司、南通东华软件有限公司、东华金云网络股份公司、广东东华 发思特软件有限公司的应纳税所得额</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软件企业两免三减 半</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7"/>
                <w:szCs w:val="17"/>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北京东华合创香港有限公司、公司所属孙公司</w:t>
            </w:r>
            <w:r>
              <w:rPr>
                <w:rFonts w:ascii="Times New Roman" w:eastAsia="Times New Roman" w:hAnsi="Times New Roman" w:cs="Times New Roman"/>
                <w:color w:val="000000"/>
                <w:spacing w:val="0"/>
                <w:w w:val="100"/>
                <w:position w:val="0"/>
                <w:sz w:val="18"/>
                <w:szCs w:val="18"/>
              </w:rPr>
              <w:t>-Hong</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Kong Sino Bridge Limited</w:t>
            </w:r>
            <w:r>
              <w:rPr>
                <w:color w:val="000000"/>
                <w:spacing w:val="0"/>
                <w:w w:val="100"/>
                <w:position w:val="0"/>
              </w:rPr>
              <w:t>的应纳税所得额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DHC DIGITAL SINGAPORE PTE.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除上述公司外的其余公司的应纳税所得额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自用物业的房产税，以房产原值的</w:t>
            </w:r>
            <w:r>
              <w:rPr>
                <w:rFonts w:ascii="Times New Roman" w:eastAsia="Times New Roman" w:hAnsi="Times New Roman" w:cs="Times New Roman"/>
                <w:color w:val="000000"/>
                <w:spacing w:val="0"/>
                <w:w w:val="100"/>
                <w:position w:val="0"/>
                <w:sz w:val="18"/>
                <w:szCs w:val="18"/>
              </w:rPr>
              <w:t>70%-90%</w:t>
            </w:r>
            <w:r>
              <w:rPr>
                <w:color w:val="000000"/>
                <w:spacing w:val="0"/>
                <w:w w:val="100"/>
                <w:position w:val="0"/>
              </w:rPr>
              <w:t>为纳税基准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对外租赁物业的房产税，以物业租赁收入为纳税基准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color w:val="000000"/>
          <w:spacing w:val="0"/>
          <w:w w:val="100"/>
          <w:position w:val="0"/>
        </w:rPr>
        <w:t>、税收优惠</w:t>
      </w:r>
      <w:bookmarkEnd w:id="1252"/>
      <w:bookmarkEnd w:id="1253"/>
      <w:bookmarkEnd w:id="1255"/>
    </w:p>
    <w:p>
      <w:pPr>
        <w:pStyle w:val="Style18"/>
        <w:keepNext w:val="0"/>
        <w:keepLines w:val="0"/>
        <w:widowControl w:val="0"/>
        <w:shd w:val="clear" w:color="auto" w:fill="auto"/>
        <w:tabs>
          <w:tab w:pos="664" w:val="left"/>
        </w:tabs>
        <w:bidi w:val="0"/>
        <w:spacing w:before="0" w:after="160" w:line="322" w:lineRule="exact"/>
        <w:ind w:left="0" w:right="0" w:firstLine="380"/>
        <w:jc w:val="left"/>
      </w:pPr>
      <w:bookmarkStart w:id="1256" w:name="bookmark1256"/>
      <w:r>
        <w:rPr>
          <w:rFonts w:ascii="Times New Roman" w:eastAsia="Times New Roman" w:hAnsi="Times New Roman" w:cs="Times New Roman"/>
          <w:b/>
          <w:bCs/>
          <w:color w:val="000000"/>
          <w:spacing w:val="0"/>
          <w:w w:val="100"/>
          <w:position w:val="0"/>
          <w:sz w:val="18"/>
          <w:szCs w:val="18"/>
        </w:rPr>
        <w:t>1</w:t>
      </w:r>
      <w:bookmarkEnd w:id="1256"/>
      <w:r>
        <w:rPr>
          <w:b/>
          <w:bCs/>
          <w:color w:val="000000"/>
          <w:spacing w:val="0"/>
          <w:w w:val="100"/>
          <w:position w:val="0"/>
        </w:rPr>
        <w:t>、</w:t>
        <w:tab/>
        <w:t>增值税</w:t>
      </w:r>
    </w:p>
    <w:p>
      <w:pPr>
        <w:pStyle w:val="Style18"/>
        <w:keepNext w:val="0"/>
        <w:keepLines w:val="0"/>
        <w:widowControl w:val="0"/>
        <w:shd w:val="clear" w:color="auto" w:fill="auto"/>
        <w:bidi w:val="0"/>
        <w:spacing w:before="0" w:after="0" w:line="322" w:lineRule="exact"/>
        <w:ind w:left="0" w:right="0" w:firstLine="440"/>
        <w:jc w:val="both"/>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根据财税</w:t>
      </w:r>
      <w:r>
        <w:rPr>
          <w:rFonts w:ascii="Times New Roman" w:eastAsia="Times New Roman" w:hAnsi="Times New Roman" w:cs="Times New Roman"/>
          <w:color w:val="000000"/>
          <w:spacing w:val="0"/>
          <w:w w:val="100"/>
          <w:position w:val="0"/>
          <w:sz w:val="18"/>
          <w:szCs w:val="18"/>
        </w:rPr>
        <w:t>[2013]106</w:t>
      </w:r>
      <w:r>
        <w:rPr>
          <w:color w:val="000000"/>
          <w:spacing w:val="0"/>
          <w:w w:val="100"/>
          <w:position w:val="0"/>
        </w:rPr>
        <w:t>号文件《营业税改征增值税试点过渡政策的规定》，试点纳税人提供技术转让、技术开发和与 之相关的技术咨询、技术服务免征增值税。公司及所属子公司从事上述业务取得的收入免征增值税。</w:t>
      </w:r>
    </w:p>
    <w:p>
      <w:pPr>
        <w:pStyle w:val="Style18"/>
        <w:keepNext w:val="0"/>
        <w:keepLines w:val="0"/>
        <w:widowControl w:val="0"/>
        <w:shd w:val="clear" w:color="auto" w:fill="auto"/>
        <w:tabs>
          <w:tab w:pos="903" w:val="left"/>
        </w:tabs>
        <w:bidi w:val="0"/>
        <w:spacing w:before="0" w:after="160" w:line="322" w:lineRule="exact"/>
        <w:ind w:left="0" w:right="0" w:firstLine="44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依据国务院下发的《国务院关于印发进一步鼓励软件产业和集成电路产业发展若干政策的通知》（国发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 xml:space="preserve">[2011]4 </w:t>
      </w:r>
      <w:r>
        <w:rPr>
          <w:color w:val="000000"/>
          <w:spacing w:val="0"/>
          <w:w w:val="100"/>
          <w:position w:val="0"/>
        </w:rPr>
        <w:t>号）的规定，以及财政部、国家税务总局联合下发的《财政部、国家税务总局关于软件产品增值税政策的通知》（财税</w:t>
      </w:r>
      <w:r>
        <w:rPr>
          <w:rFonts w:ascii="Times New Roman" w:eastAsia="Times New Roman" w:hAnsi="Times New Roman" w:cs="Times New Roman"/>
          <w:color w:val="000000"/>
          <w:spacing w:val="0"/>
          <w:w w:val="100"/>
          <w:position w:val="0"/>
          <w:sz w:val="18"/>
          <w:szCs w:val="18"/>
        </w:rPr>
        <w:t xml:space="preserve">[2011]100 </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日起，公司及公司的所属子公司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北京东华合创科技有限公司、北京神州新桥科技有限公司、东 华医为科技有限公司、北京东华博泰科技有限公司、东华软件（沈阳）有限公司、北京东华万兴软件有限公司、东华云都技 术有限公司、东华软件工程有限公司、泰安东华合创软件有限公司、北京东华信息技术有限公司、西安东华软件有限公司、 北京联银通科技有限公司、北京东华厚盾软件有限公司、东华合创软件有限公司、深圳市至高通信技术发展有限公司，公司 所属孙子公司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西安锐益达风电技术有限公司、广东东华发思特软件有限公司、北京卓智能研科技有限公司等公司销售自行 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的法定税率征收增值税后，享受增值税实际税负超过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的部分实行即征即退的优惠政策。</w:t>
      </w:r>
    </w:p>
    <w:p>
      <w:pPr>
        <w:pStyle w:val="Style18"/>
        <w:keepNext w:val="0"/>
        <w:keepLines w:val="0"/>
        <w:widowControl w:val="0"/>
        <w:shd w:val="clear" w:color="auto" w:fill="auto"/>
        <w:tabs>
          <w:tab w:pos="678" w:val="left"/>
        </w:tabs>
        <w:bidi w:val="0"/>
        <w:spacing w:before="0" w:after="160" w:line="322" w:lineRule="exact"/>
        <w:ind w:left="0" w:right="0" w:firstLine="380"/>
        <w:jc w:val="both"/>
      </w:pPr>
      <w:bookmarkStart w:id="1259" w:name="bookmark1259"/>
      <w:r>
        <w:rPr>
          <w:rFonts w:ascii="Times New Roman" w:eastAsia="Times New Roman" w:hAnsi="Times New Roman" w:cs="Times New Roman"/>
          <w:b/>
          <w:bCs/>
          <w:color w:val="000000"/>
          <w:spacing w:val="0"/>
          <w:w w:val="100"/>
          <w:position w:val="0"/>
          <w:sz w:val="18"/>
          <w:szCs w:val="18"/>
        </w:rPr>
        <w:t>2</w:t>
      </w:r>
      <w:bookmarkEnd w:id="1259"/>
      <w:r>
        <w:rPr>
          <w:b/>
          <w:bCs/>
          <w:color w:val="000000"/>
          <w:spacing w:val="0"/>
          <w:w w:val="100"/>
          <w:position w:val="0"/>
        </w:rPr>
        <w:t>、</w:t>
        <w:tab/>
        <w:t>企业所得税</w:t>
      </w:r>
    </w:p>
    <w:p>
      <w:pPr>
        <w:pStyle w:val="Style18"/>
        <w:keepNext w:val="0"/>
        <w:keepLines w:val="0"/>
        <w:widowControl w:val="0"/>
        <w:shd w:val="clear" w:color="auto" w:fill="auto"/>
        <w:bidi w:val="0"/>
        <w:spacing w:before="0" w:after="0" w:line="322" w:lineRule="exact"/>
        <w:ind w:left="0" w:right="0" w:firstLine="44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年高新技术企业复审，并收到北京市科学技术委员会、北京市财政局、国家税务总局北京市税务 局联合下发的高新技术企业证书，证书编号：</w:t>
      </w:r>
      <w:r>
        <w:rPr>
          <w:rFonts w:ascii="Times New Roman" w:eastAsia="Times New Roman" w:hAnsi="Times New Roman" w:cs="Times New Roman"/>
          <w:color w:val="000000"/>
          <w:spacing w:val="0"/>
          <w:w w:val="100"/>
          <w:position w:val="0"/>
          <w:sz w:val="18"/>
          <w:szCs w:val="18"/>
        </w:rPr>
        <w:t>GR202011002454</w:t>
      </w:r>
      <w:r>
        <w:rPr>
          <w:color w:val="000000"/>
          <w:spacing w:val="0"/>
          <w:w w:val="100"/>
          <w:position w:val="0"/>
        </w:rPr>
        <w:t>，有效期三年。根据相关规定，通过高新技术企业复审后，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年起，连续三年继续享受国家关于高新技术企业的相关优惠政策。另外，公司认为符合重点软件企业条件，目前正在 进行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年度国家规划布局内重点软件企业企业所得税优惠事项备案，根据《财政部税务总局发展改革委工业和信息化 部关于促进集成电路产业和软件产业高质量发展企业所得税政策的公告》（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 缴纳企业所得税。</w:t>
      </w:r>
    </w:p>
    <w:p>
      <w:pPr>
        <w:pStyle w:val="Style18"/>
        <w:keepNext w:val="0"/>
        <w:keepLines w:val="0"/>
        <w:widowControl w:val="0"/>
        <w:shd w:val="clear" w:color="auto" w:fill="auto"/>
        <w:tabs>
          <w:tab w:pos="898" w:val="left"/>
        </w:tabs>
        <w:bidi w:val="0"/>
        <w:spacing w:before="0" w:after="0" w:line="322" w:lineRule="exact"/>
        <w:ind w:left="0" w:right="0" w:firstLine="44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 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GR202011001371</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年起，连续三年继续享受国家关于高新技术企业的相关优惠政策。另外，北 </w:t>
      </w:r>
      <w:r>
        <w:rPr>
          <w:color w:val="000000"/>
          <w:spacing w:val="0"/>
          <w:w w:val="100"/>
          <w:position w:val="0"/>
        </w:rPr>
        <w:t>京东华合创科技有限公司认为符合重点软件企业条件，目前正在进行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年度国家规划布局内重点软件企业企业所得税优惠 事项备案，根据《财政部税务总局发展改革委工业和信息化部关于促进集成电路产业和软件产业高质量发展企业所得税 政策的公告》（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18"/>
        <w:keepNext w:val="0"/>
        <w:keepLines w:val="0"/>
        <w:widowControl w:val="0"/>
        <w:shd w:val="clear" w:color="auto" w:fill="auto"/>
        <w:tabs>
          <w:tab w:pos="898" w:val="left"/>
        </w:tabs>
        <w:bidi w:val="0"/>
        <w:spacing w:before="0" w:after="0" w:line="322" w:lineRule="exact"/>
        <w:ind w:left="0" w:right="0" w:firstLine="42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西安东华软件有限公司于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年被认定为高新技术企业，并收到陕西省科学技术厅、陕西省财 政厅、国家税务总局陕西省税务局联合下发的高新技术企业证书，证书编号：</w:t>
      </w:r>
      <w:r>
        <w:rPr>
          <w:rFonts w:ascii="Times New Roman" w:eastAsia="Times New Roman" w:hAnsi="Times New Roman" w:cs="Times New Roman"/>
          <w:color w:val="000000"/>
          <w:spacing w:val="0"/>
          <w:w w:val="100"/>
          <w:position w:val="0"/>
          <w:sz w:val="18"/>
          <w:szCs w:val="18"/>
        </w:rPr>
        <w:t>GR202161000333</w:t>
      </w:r>
      <w:r>
        <w:rPr>
          <w:color w:val="000000"/>
          <w:spacing w:val="0"/>
          <w:w w:val="100"/>
          <w:position w:val="0"/>
        </w:rPr>
        <w:t>，有效期三年。根据相关规 定，通过高新技术企业认定后，自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率征收。</w:t>
      </w:r>
    </w:p>
    <w:p>
      <w:pPr>
        <w:pStyle w:val="Style18"/>
        <w:keepNext w:val="0"/>
        <w:keepLines w:val="0"/>
        <w:widowControl w:val="0"/>
        <w:shd w:val="clear" w:color="auto" w:fill="auto"/>
        <w:tabs>
          <w:tab w:pos="898" w:val="left"/>
        </w:tabs>
        <w:bidi w:val="0"/>
        <w:spacing w:before="0" w:after="0" w:line="322" w:lineRule="exact"/>
        <w:ind w:left="0" w:right="0" w:firstLine="42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东华金云网络股份公司于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年被认定为高新技术企业，并收到安徽省科学技术厅、安徽省财 政厅、国家税务总局安徽省税务局联合下发的高新技术企业证书，证书编号：</w:t>
      </w:r>
      <w:r>
        <w:rPr>
          <w:rFonts w:ascii="Times New Roman" w:eastAsia="Times New Roman" w:hAnsi="Times New Roman" w:cs="Times New Roman"/>
          <w:color w:val="000000"/>
          <w:spacing w:val="0"/>
          <w:w w:val="100"/>
          <w:position w:val="0"/>
          <w:sz w:val="18"/>
          <w:szCs w:val="18"/>
        </w:rPr>
        <w:t>GR202134000163</w:t>
      </w:r>
      <w:r>
        <w:rPr>
          <w:color w:val="000000"/>
          <w:spacing w:val="0"/>
          <w:w w:val="100"/>
          <w:position w:val="0"/>
        </w:rPr>
        <w:t>，有效期三年。根据相关规 定，通过高新技术企业认定后，自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率征收。</w:t>
      </w:r>
    </w:p>
    <w:p>
      <w:pPr>
        <w:pStyle w:val="Style18"/>
        <w:keepNext w:val="0"/>
        <w:keepLines w:val="0"/>
        <w:widowControl w:val="0"/>
        <w:shd w:val="clear" w:color="auto" w:fill="auto"/>
        <w:tabs>
          <w:tab w:pos="894" w:val="left"/>
        </w:tabs>
        <w:bidi w:val="0"/>
        <w:spacing w:before="0" w:after="0" w:line="322" w:lineRule="exact"/>
        <w:ind w:left="0" w:right="0" w:firstLine="42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年高新技术企业复审，并收到陕西省科学技术厅、陕 西省财政厅、国家税务总局陕西省税务局联合下发的高新技术企业证书，证书编号：</w:t>
      </w:r>
      <w:r>
        <w:rPr>
          <w:rFonts w:ascii="Times New Roman" w:eastAsia="Times New Roman" w:hAnsi="Times New Roman" w:cs="Times New Roman"/>
          <w:color w:val="000000"/>
          <w:spacing w:val="0"/>
          <w:w w:val="100"/>
          <w:position w:val="0"/>
          <w:sz w:val="18"/>
          <w:szCs w:val="18"/>
        </w:rPr>
        <w:t>GR201961001607</w:t>
      </w:r>
      <w:r>
        <w:rPr>
          <w:color w:val="000000"/>
          <w:spacing w:val="0"/>
          <w:w w:val="100"/>
          <w:position w:val="0"/>
        </w:rPr>
        <w:t>,</w:t>
      </w:r>
      <w:r>
        <w:rPr>
          <w:color w:val="000000"/>
          <w:spacing w:val="0"/>
          <w:w w:val="100"/>
          <w:position w:val="0"/>
        </w:rPr>
        <w:t>有效期三年。根据 相关规定，通过高新技术企业复审后，自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w:t>
      </w:r>
    </w:p>
    <w:p>
      <w:pPr>
        <w:pStyle w:val="Style18"/>
        <w:keepNext w:val="0"/>
        <w:keepLines w:val="0"/>
        <w:widowControl w:val="0"/>
        <w:shd w:val="clear" w:color="auto" w:fill="auto"/>
        <w:tabs>
          <w:tab w:pos="894" w:val="left"/>
        </w:tabs>
        <w:bidi w:val="0"/>
        <w:spacing w:before="0" w:after="0" w:line="322" w:lineRule="exact"/>
        <w:ind w:left="0" w:right="0" w:firstLine="42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泰安东华合创软件有限公司通过了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年高新技术企业复审，并收到山东省科学技术厅、山东 省财政厅、山东省国家税务局、国家税务总局山东省税务局联合下发的高新技术企业证书，证书编号：</w:t>
      </w:r>
      <w:r>
        <w:rPr>
          <w:rFonts w:ascii="Times New Roman" w:eastAsia="Times New Roman" w:hAnsi="Times New Roman" w:cs="Times New Roman"/>
          <w:color w:val="000000"/>
          <w:spacing w:val="0"/>
          <w:w w:val="100"/>
          <w:position w:val="0"/>
          <w:sz w:val="18"/>
          <w:szCs w:val="18"/>
        </w:rPr>
        <w:t>GR201937002282</w:t>
      </w:r>
      <w:r>
        <w:rPr>
          <w:color w:val="000000"/>
          <w:spacing w:val="0"/>
          <w:w w:val="100"/>
          <w:position w:val="0"/>
        </w:rPr>
        <w:t xml:space="preserve">， </w:t>
      </w:r>
      <w:r>
        <w:rPr>
          <w:color w:val="000000"/>
          <w:spacing w:val="0"/>
          <w:w w:val="100"/>
          <w:position w:val="0"/>
        </w:rPr>
        <w:t>有效期三年。根据相关规定，通过高新技术企业复审后，自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 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894" w:val="left"/>
        </w:tabs>
        <w:bidi w:val="0"/>
        <w:spacing w:before="0" w:after="0" w:line="322" w:lineRule="exact"/>
        <w:ind w:left="0" w:right="0" w:firstLine="42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 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GR202011004787</w:t>
      </w:r>
      <w:r>
        <w:rPr>
          <w:color w:val="000000"/>
          <w:spacing w:val="0"/>
          <w:w w:val="100"/>
          <w:position w:val="0"/>
        </w:rPr>
        <w:t>，有效期三年。根据 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年起，连续三年继续享受国家关于高新技术企业的相关优惠政策，企业所得税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898" w:val="left"/>
        </w:tabs>
        <w:bidi w:val="0"/>
        <w:spacing w:before="0" w:after="0" w:line="322" w:lineRule="exact"/>
        <w:ind w:left="0" w:right="0" w:firstLine="42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 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GR202011004954</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年起，连续三年继续享受国家关于高新技术企业的相关优惠政策，企业所得 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898" w:val="left"/>
        </w:tabs>
        <w:bidi w:val="0"/>
        <w:spacing w:before="0" w:after="0" w:line="322" w:lineRule="exact"/>
        <w:ind w:left="0" w:right="0" w:firstLine="42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东华软件工程有限公司通过了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年高新技术企业复审，并收到安徽省科学技术厅、安徽省财 政厅、国家税务总局安徽省税务局联合下发的高新技术企业证书，证书编号：</w:t>
      </w:r>
      <w:r>
        <w:rPr>
          <w:rFonts w:ascii="Times New Roman" w:eastAsia="Times New Roman" w:hAnsi="Times New Roman" w:cs="Times New Roman"/>
          <w:color w:val="000000"/>
          <w:spacing w:val="0"/>
          <w:w w:val="100"/>
          <w:position w:val="0"/>
          <w:sz w:val="18"/>
          <w:szCs w:val="18"/>
        </w:rPr>
        <w:t>GR202034000798</w:t>
      </w:r>
      <w:r>
        <w:rPr>
          <w:color w:val="000000"/>
          <w:spacing w:val="0"/>
          <w:w w:val="100"/>
          <w:position w:val="0"/>
        </w:rPr>
        <w:t>，有效期三年。根据相关规 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w:t>
      </w:r>
    </w:p>
    <w:p>
      <w:pPr>
        <w:pStyle w:val="Style18"/>
        <w:keepNext w:val="0"/>
        <w:keepLines w:val="0"/>
        <w:widowControl w:val="0"/>
        <w:shd w:val="clear" w:color="auto" w:fill="auto"/>
        <w:tabs>
          <w:tab w:pos="990" w:val="left"/>
        </w:tabs>
        <w:bidi w:val="0"/>
        <w:spacing w:before="0" w:after="0" w:line="322" w:lineRule="exact"/>
        <w:ind w:left="0" w:right="0" w:firstLine="420"/>
        <w:jc w:val="both"/>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北京威锐达测控系统有限公司通过了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 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GR202011003250</w:t>
      </w:r>
      <w:r>
        <w:rPr>
          <w:color w:val="000000"/>
          <w:spacing w:val="0"/>
          <w:w w:val="100"/>
          <w:position w:val="0"/>
        </w:rPr>
        <w:t>，</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985" w:val="left"/>
        </w:tabs>
        <w:bidi w:val="0"/>
        <w:spacing w:before="0" w:after="0" w:line="322" w:lineRule="exact"/>
        <w:ind w:left="0" w:right="0" w:firstLine="420"/>
        <w:jc w:val="both"/>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年高新技术企业复审，并收到深圳市科技创新委 员会、深圳市财政局、国家税务总局深圳市税务局联合颁发的高新技术企业证书，证书编号：</w:t>
      </w:r>
      <w:r>
        <w:rPr>
          <w:rFonts w:ascii="Times New Roman" w:eastAsia="Times New Roman" w:hAnsi="Times New Roman" w:cs="Times New Roman"/>
          <w:color w:val="000000"/>
          <w:spacing w:val="0"/>
          <w:w w:val="100"/>
          <w:position w:val="0"/>
          <w:sz w:val="18"/>
          <w:szCs w:val="18"/>
        </w:rPr>
        <w:t>GR202144202833</w:t>
      </w:r>
      <w:r>
        <w:rPr>
          <w:color w:val="000000"/>
          <w:spacing w:val="0"/>
          <w:w w:val="100"/>
          <w:position w:val="0"/>
        </w:rPr>
        <w:t>,</w:t>
      </w:r>
      <w:r>
        <w:rPr>
          <w:color w:val="000000"/>
          <w:spacing w:val="0"/>
          <w:w w:val="100"/>
          <w:position w:val="0"/>
        </w:rPr>
        <w:t>有效期三 年。根据相关规定，通过高新技术企业复审后，自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年起，连续三年享受国家关于高新技术企业的相关优惠政策，企业所 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985" w:val="left"/>
        </w:tabs>
        <w:bidi w:val="0"/>
        <w:spacing w:before="0" w:after="0" w:line="322" w:lineRule="exact"/>
        <w:ind w:left="0" w:right="0" w:firstLine="420"/>
        <w:jc w:val="both"/>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东华网络股份公司通过了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年高新技术企业复审，并收到辽宁省科学技术厅、辽宁省财政厅、 国家税务总局辽宁省税务局联合颁发的高新技术企业证书，证书编号：</w:t>
      </w:r>
      <w:r>
        <w:rPr>
          <w:rFonts w:ascii="Times New Roman" w:eastAsia="Times New Roman" w:hAnsi="Times New Roman" w:cs="Times New Roman"/>
          <w:color w:val="000000"/>
          <w:spacing w:val="0"/>
          <w:w w:val="100"/>
          <w:position w:val="0"/>
          <w:sz w:val="18"/>
          <w:szCs w:val="18"/>
        </w:rPr>
        <w:t>GR202021001610</w:t>
      </w:r>
      <w:r>
        <w:rPr>
          <w:color w:val="000000"/>
          <w:spacing w:val="0"/>
          <w:w w:val="100"/>
          <w:position w:val="0"/>
        </w:rPr>
        <w:t>，</w:t>
      </w:r>
      <w:r>
        <w:rPr>
          <w:color w:val="000000"/>
          <w:spacing w:val="0"/>
          <w:w w:val="100"/>
          <w:position w:val="0"/>
        </w:rPr>
        <w:t>有效期三年。根据相关规定，通 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476" w:val="left"/>
        </w:tabs>
        <w:bidi w:val="0"/>
        <w:spacing w:before="0" w:after="0" w:line="322" w:lineRule="exact"/>
        <w:ind w:left="0" w:right="0" w:firstLine="42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年高新技术企业复审，并收到北京市科学技术委员会、 </w:t>
      </w:r>
      <w:r>
        <w:rPr>
          <w:color w:val="000000"/>
          <w:spacing w:val="0"/>
          <w:w w:val="100"/>
          <w:position w:val="0"/>
        </w:rPr>
        <w:t>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GR202011005908</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日被认定为软件企业，根据《财政部、国家税务总局关于 企业所得税若干优惠政策的通知》（财税〔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号）的规定，我国境内新办软件生产企业经认定后，自获利年度起，第 一年和第二年免征企业所得税，第三年至第五年减半征收企业所得税。</w:t>
      </w:r>
    </w:p>
    <w:p>
      <w:pPr>
        <w:pStyle w:val="Style18"/>
        <w:keepNext w:val="0"/>
        <w:keepLines w:val="0"/>
        <w:widowControl w:val="0"/>
        <w:shd w:val="clear" w:color="auto" w:fill="auto"/>
        <w:bidi w:val="0"/>
        <w:spacing w:before="0" w:after="0" w:line="322" w:lineRule="exact"/>
        <w:ind w:left="0" w:right="0" w:firstLine="42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年高新技术企业认证，并收到北京市科学技术委员会、北京 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GR202011000919</w:t>
      </w:r>
      <w:r>
        <w:rPr>
          <w:color w:val="000000"/>
          <w:spacing w:val="0"/>
          <w:w w:val="100"/>
          <w:position w:val="0"/>
        </w:rPr>
        <w:t>,</w:t>
      </w:r>
      <w:r>
        <w:rPr>
          <w:color w:val="000000"/>
          <w:spacing w:val="0"/>
          <w:w w:val="100"/>
          <w:position w:val="0"/>
        </w:rPr>
        <w:t>有效期三年。根据相 关规定，通过高新技术企业认证后，自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的税率征收。另外，东华医为科技有限公司认为符合重点软件企业条件，目前正在进行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年度国家规划布局内重点软件企 业企业所得税优惠事项备案，根据《财政部税务总局发展改革委工业和信息化部关于促进集成电路产业和软件产业高质 量发展企业所得税政策的公告》（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18"/>
        <w:keepNext w:val="0"/>
        <w:keepLines w:val="0"/>
        <w:widowControl w:val="0"/>
        <w:shd w:val="clear" w:color="auto" w:fill="auto"/>
        <w:tabs>
          <w:tab w:pos="990" w:val="left"/>
        </w:tabs>
        <w:bidi w:val="0"/>
        <w:spacing w:before="0" w:after="0" w:line="322" w:lineRule="exact"/>
        <w:ind w:left="0" w:right="0" w:firstLine="42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东华云计算有限公司通过了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年高新技术企业认证，并收到北京市科学技术委员会、北京市 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GR202011008354</w:t>
      </w:r>
      <w:r>
        <w:rPr>
          <w:color w:val="000000"/>
          <w:spacing w:val="0"/>
          <w:w w:val="100"/>
          <w:position w:val="0"/>
        </w:rPr>
        <w:t>，有效期三年。根据相关 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税率征收。</w:t>
      </w:r>
    </w:p>
    <w:p>
      <w:pPr>
        <w:pStyle w:val="Style18"/>
        <w:keepNext w:val="0"/>
        <w:keepLines w:val="0"/>
        <w:widowControl w:val="0"/>
        <w:shd w:val="clear" w:color="auto" w:fill="auto"/>
        <w:bidi w:val="0"/>
        <w:spacing w:before="0" w:after="0" w:line="322" w:lineRule="exact"/>
        <w:ind w:left="0" w:right="0" w:firstLine="42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东华软件（沈阳）有限公司通过了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年高新技术企业认证，并收到辽宁省科学技术厅、辽宁 省财政厅、国家税务总局辽宁省税务局联合下发的高新技术企业证书，证书编号：</w:t>
      </w:r>
      <w:r>
        <w:rPr>
          <w:rFonts w:ascii="Times New Roman" w:eastAsia="Times New Roman" w:hAnsi="Times New Roman" w:cs="Times New Roman"/>
          <w:color w:val="000000"/>
          <w:spacing w:val="0"/>
          <w:w w:val="100"/>
          <w:position w:val="0"/>
          <w:sz w:val="18"/>
          <w:szCs w:val="18"/>
        </w:rPr>
        <w:t>GR202021001575</w:t>
      </w:r>
      <w:r>
        <w:rPr>
          <w:color w:val="000000"/>
          <w:spacing w:val="0"/>
          <w:w w:val="100"/>
          <w:position w:val="0"/>
        </w:rPr>
        <w:t>,</w:t>
      </w:r>
      <w:r>
        <w:rPr>
          <w:color w:val="000000"/>
          <w:spacing w:val="0"/>
          <w:w w:val="100"/>
          <w:position w:val="0"/>
        </w:rPr>
        <w:t>有效期三年。根据相 关规定，通过高新技术企业认证后，自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w:t>
      </w:r>
    </w:p>
    <w:p>
      <w:pPr>
        <w:pStyle w:val="Style18"/>
        <w:keepNext w:val="0"/>
        <w:keepLines w:val="0"/>
        <w:widowControl w:val="0"/>
        <w:shd w:val="clear" w:color="auto" w:fill="auto"/>
        <w:tabs>
          <w:tab w:pos="990" w:val="left"/>
        </w:tabs>
        <w:bidi w:val="0"/>
        <w:spacing w:before="0" w:after="0" w:line="322" w:lineRule="exact"/>
        <w:ind w:left="0" w:right="0" w:firstLine="42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贵州东华云数据科技有限责任公司通过了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年高新技术企业认证，并收到贵州省科学技术厅、 贵州省财政厅、国家税务总局贵州省税务局联合下发的高新技术企业证书，证书编号：</w:t>
      </w:r>
      <w:r>
        <w:rPr>
          <w:rFonts w:ascii="Times New Roman" w:eastAsia="Times New Roman" w:hAnsi="Times New Roman" w:cs="Times New Roman"/>
          <w:color w:val="000000"/>
          <w:spacing w:val="0"/>
          <w:w w:val="100"/>
          <w:position w:val="0"/>
          <w:sz w:val="18"/>
          <w:szCs w:val="18"/>
        </w:rPr>
        <w:t>GR201952000235</w:t>
      </w:r>
      <w:r>
        <w:rPr>
          <w:color w:val="000000"/>
          <w:spacing w:val="0"/>
          <w:w w:val="100"/>
          <w:position w:val="0"/>
        </w:rPr>
        <w:t>，有效期三年。根 据相关规定，通过高新技术企业认证后，自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990" w:val="left"/>
        </w:tabs>
        <w:bidi w:val="0"/>
        <w:spacing w:before="0" w:after="0" w:line="322" w:lineRule="exact"/>
        <w:ind w:left="0" w:right="0" w:firstLine="420"/>
        <w:jc w:val="both"/>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南通东华软件有限公司通过了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年高新技术企业认证，并收到江苏省科学技术厅、江苏省财 政厅、国家税务总局江苏省税务局联合下发的高新技术企业证书，证书编号：</w:t>
      </w:r>
      <w:r>
        <w:rPr>
          <w:rFonts w:ascii="Times New Roman" w:eastAsia="Times New Roman" w:hAnsi="Times New Roman" w:cs="Times New Roman"/>
          <w:color w:val="000000"/>
          <w:spacing w:val="0"/>
          <w:w w:val="100"/>
          <w:position w:val="0"/>
          <w:sz w:val="18"/>
          <w:szCs w:val="18"/>
        </w:rPr>
        <w:t>GR201932000537</w:t>
      </w:r>
      <w:r>
        <w:rPr>
          <w:color w:val="000000"/>
          <w:spacing w:val="0"/>
          <w:w w:val="100"/>
          <w:position w:val="0"/>
        </w:rPr>
        <w:t>,</w:t>
      </w:r>
      <w:r>
        <w:rPr>
          <w:color w:val="000000"/>
          <w:spacing w:val="0"/>
          <w:w w:val="100"/>
          <w:position w:val="0"/>
        </w:rPr>
        <w:t>有效期三年。根据相关规 定，通过高新技术企业认证后，自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率征收。</w:t>
      </w:r>
    </w:p>
    <w:p>
      <w:pPr>
        <w:pStyle w:val="Style18"/>
        <w:keepNext w:val="0"/>
        <w:keepLines w:val="0"/>
        <w:widowControl w:val="0"/>
        <w:shd w:val="clear" w:color="auto" w:fill="auto"/>
        <w:tabs>
          <w:tab w:pos="990" w:val="left"/>
        </w:tabs>
        <w:bidi w:val="0"/>
        <w:spacing w:before="0" w:after="0" w:line="322" w:lineRule="exact"/>
        <w:ind w:left="0" w:right="0" w:firstLine="42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东华至高通信技术有限公司于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年被认定为高新技术企业，并收到深圳市科技创新委员会、 深圳市财政局、国家税务总局深圳市税务局联合颁发的高新技术企业证书联合下发的高新技术企业证书，证书编号： </w:t>
      </w:r>
      <w:r>
        <w:rPr>
          <w:rFonts w:ascii="Times New Roman" w:eastAsia="Times New Roman" w:hAnsi="Times New Roman" w:cs="Times New Roman"/>
          <w:color w:val="000000"/>
          <w:spacing w:val="0"/>
          <w:w w:val="100"/>
          <w:position w:val="0"/>
          <w:sz w:val="18"/>
          <w:szCs w:val="18"/>
        </w:rPr>
        <w:t>GR202144204324</w:t>
      </w:r>
      <w:r>
        <w:rPr>
          <w:color w:val="000000"/>
          <w:spacing w:val="0"/>
          <w:w w:val="100"/>
          <w:position w:val="0"/>
        </w:rPr>
        <w:t>，有效期三年。根据相关规定，通过高新技术企业认定后，自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年起，连续三年享受国家关于高新技术 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tabs>
          <w:tab w:pos="990" w:val="left"/>
        </w:tabs>
        <w:bidi w:val="0"/>
        <w:spacing w:before="0" w:after="360" w:line="322" w:lineRule="exact"/>
        <w:ind w:left="0" w:right="0" w:firstLine="420"/>
        <w:jc w:val="both"/>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广东东华发思特软件有限公司于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年被认定为高新技术企业，并收到广东省科学技术厅、广 东省财政厅、国家税务总局广东省税务局联合颁发的高新技术企业证书联合下发的高新技术企业证书，证书编号： </w:t>
      </w:r>
      <w:r>
        <w:rPr>
          <w:rFonts w:ascii="Times New Roman" w:eastAsia="Times New Roman" w:hAnsi="Times New Roman" w:cs="Times New Roman"/>
          <w:color w:val="000000"/>
          <w:spacing w:val="0"/>
          <w:w w:val="100"/>
          <w:position w:val="0"/>
          <w:sz w:val="18"/>
          <w:szCs w:val="18"/>
        </w:rPr>
        <w:t>GR202044005622</w:t>
      </w:r>
      <w:r>
        <w:rPr>
          <w:color w:val="000000"/>
          <w:spacing w:val="0"/>
          <w:w w:val="100"/>
          <w:position w:val="0"/>
        </w:rPr>
        <w:t>，有效期三年。根据相关规定，通过高新技术企业认定后，自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 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18"/>
        <w:keepNext w:val="0"/>
        <w:keepLines w:val="0"/>
        <w:widowControl w:val="0"/>
        <w:shd w:val="clear" w:color="auto" w:fill="auto"/>
        <w:bidi w:val="0"/>
        <w:spacing w:before="0" w:after="42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keepLines/>
        <w:widowControl w:val="0"/>
        <w:shd w:val="clear" w:color="auto" w:fill="auto"/>
        <w:bidi w:val="0"/>
        <w:spacing w:before="0" w:after="28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color w:val="000000"/>
          <w:spacing w:val="0"/>
          <w:w w:val="100"/>
          <w:position w:val="0"/>
        </w:rPr>
        <w:t>、其他</w:t>
      </w:r>
      <w:bookmarkEnd w:id="1280"/>
      <w:bookmarkEnd w:id="1281"/>
      <w:bookmarkEnd w:id="1283"/>
    </w:p>
    <w:p>
      <w:pPr>
        <w:pStyle w:val="Style18"/>
        <w:keepNext w:val="0"/>
        <w:keepLines w:val="0"/>
        <w:widowControl w:val="0"/>
        <w:shd w:val="clear" w:color="auto" w:fill="auto"/>
        <w:bidi w:val="0"/>
        <w:spacing w:before="0" w:after="320" w:line="317" w:lineRule="exact"/>
        <w:ind w:left="0" w:right="0" w:firstLine="420"/>
        <w:jc w:val="both"/>
        <w:rPr>
          <w:sz w:val="18"/>
          <w:szCs w:val="18"/>
        </w:rPr>
      </w:pPr>
      <w:r>
        <w:rPr>
          <w:color w:val="000000"/>
          <w:spacing w:val="0"/>
          <w:w w:val="100"/>
          <w:position w:val="0"/>
          <w:sz w:val="17"/>
          <w:szCs w:val="17"/>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北京东华合创香港有限公司公司、所属孙公司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Hong Kong Sino Bridge Limited</w:t>
      </w:r>
      <w:r>
        <w:rPr>
          <w:color w:val="000000"/>
          <w:spacing w:val="0"/>
          <w:w w:val="100"/>
          <w:position w:val="0"/>
          <w:sz w:val="17"/>
          <w:szCs w:val="17"/>
        </w:rPr>
        <w:t>系在中国香港特别行政 区注册的企业，按照属地原则按规定缴纳企业所得税，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年度所得税税率为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。公司所属子公司</w:t>
      </w:r>
      <w:r>
        <w:rPr>
          <w:rFonts w:ascii="Times New Roman" w:eastAsia="Times New Roman" w:hAnsi="Times New Roman" w:cs="Times New Roman"/>
          <w:color w:val="000000"/>
          <w:spacing w:val="0"/>
          <w:w w:val="100"/>
          <w:position w:val="0"/>
          <w:sz w:val="18"/>
          <w:szCs w:val="18"/>
        </w:rPr>
        <w:t>-DHC DIGITAL</w:t>
      </w:r>
      <w:r>
        <w:br w:type="page"/>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SINGAPORE PTE. LTD.</w:t>
      </w:r>
      <w:r>
        <w:rPr>
          <w:color w:val="000000"/>
          <w:spacing w:val="0"/>
          <w:w w:val="100"/>
          <w:position w:val="0"/>
        </w:rPr>
        <w:t>系在新加坡注册的企业，按照属地原则按规定缴纳企业所得税，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七</w:t>
      </w:r>
      <w:bookmarkEnd w:id="1286"/>
      <w:r>
        <w:rPr>
          <w:color w:val="000000"/>
          <w:spacing w:val="0"/>
          <w:w w:val="100"/>
          <w:position w:val="0"/>
        </w:rPr>
        <w:t>、合并财务报表项目注释</w:t>
      </w:r>
      <w:bookmarkEnd w:id="1284"/>
      <w:bookmarkEnd w:id="1285"/>
      <w:bookmarkEnd w:id="1287"/>
    </w:p>
    <w:p>
      <w:pPr>
        <w:pStyle w:val="Style29"/>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color w:val="000000"/>
          <w:spacing w:val="0"/>
          <w:w w:val="100"/>
          <w:position w:val="0"/>
        </w:rPr>
        <w:t>、货币资金</w:t>
      </w:r>
      <w:bookmarkEnd w:id="1288"/>
      <w:bookmarkEnd w:id="1289"/>
      <w:bookmarkEnd w:id="1291"/>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1,162,381.69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2,592,823,201.15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2,518,759,980.77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71,078,447.67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46,817,303.28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2,664,325,972.93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2,566,739,665.74</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41,054,385.99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52,745,877.72</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center"/>
        <w:tblLayout w:type="fixed"/>
      </w:tblPr>
      <w:tblGrid>
        <w:gridCol w:w="3130"/>
        <w:gridCol w:w="3259"/>
        <w:gridCol w:w="3269"/>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66,404,374.76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18,521,984.87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4,119,340.06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28,295,029.98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550,045.84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58,500,000.00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10,082,016.00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2,387,772.55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7,909,500.00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农民工工资保证金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139,216.47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73,600,749.68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123,308,530.85</w:t>
            </w:r>
          </w:p>
        </w:tc>
      </w:tr>
    </w:tbl>
    <w:p>
      <w:pPr>
        <w:widowControl w:val="0"/>
        <w:spacing w:after="37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color w:val="000000"/>
          <w:spacing w:val="0"/>
          <w:w w:val="100"/>
          <w:position w:val="0"/>
        </w:rPr>
        <w:t>、</w:t>
        <w:tab/>
        <w:t>交易性金融资产</w:t>
      </w:r>
      <w:bookmarkEnd w:id="1292"/>
      <w:bookmarkEnd w:id="1293"/>
      <w:bookmarkEnd w:id="1295"/>
    </w:p>
    <w:p>
      <w:pPr>
        <w:pStyle w:val="Style18"/>
        <w:keepNext w:val="0"/>
        <w:keepLines w:val="0"/>
        <w:widowControl w:val="0"/>
        <w:shd w:val="clear" w:color="auto" w:fill="auto"/>
        <w:bidi w:val="0"/>
        <w:spacing w:before="0" w:after="380" w:line="240" w:lineRule="auto"/>
        <w:ind w:left="0" w:right="0" w:firstLine="0"/>
        <w:jc w:val="left"/>
      </w:pPr>
      <w:bookmarkStart w:id="1296" w:name="bookmark1296"/>
      <w:r>
        <w:rPr>
          <w:color w:val="000000"/>
          <w:spacing w:val="0"/>
          <w:w w:val="100"/>
          <w:position w:val="0"/>
        </w:rPr>
        <w:t>□</w:t>
      </w:r>
      <w:r>
        <w:rPr>
          <w:color w:val="000000"/>
          <w:spacing w:val="0"/>
          <w:w w:val="100"/>
          <w:position w:val="0"/>
        </w:rPr>
        <w:t>适用”不适用</w:t>
      </w:r>
      <w:bookmarkEnd w:id="1296"/>
    </w:p>
    <w:p>
      <w:pPr>
        <w:pStyle w:val="Style29"/>
        <w:keepNext/>
        <w:keepLines/>
        <w:widowControl w:val="0"/>
        <w:shd w:val="clear" w:color="auto" w:fill="auto"/>
        <w:tabs>
          <w:tab w:pos="378" w:val="left"/>
        </w:tabs>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color w:val="000000"/>
          <w:spacing w:val="0"/>
          <w:w w:val="100"/>
          <w:position w:val="0"/>
        </w:rPr>
        <w:t>、</w:t>
        <w:tab/>
        <w:t>衍生金融资产</w:t>
      </w:r>
      <w:bookmarkEnd w:id="1297"/>
      <w:bookmarkEnd w:id="1298"/>
      <w:bookmarkEnd w:id="130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color w:val="000000"/>
          <w:spacing w:val="0"/>
          <w:w w:val="100"/>
          <w:position w:val="0"/>
        </w:rPr>
        <w:t>、</w:t>
        <w:tab/>
        <w:t>应收票据</w:t>
      </w:r>
      <w:bookmarkEnd w:id="1301"/>
      <w:bookmarkEnd w:id="1302"/>
      <w:bookmarkEnd w:id="1304"/>
    </w:p>
    <w:p>
      <w:pPr>
        <w:pStyle w:val="Style40"/>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05"/>
      <w:bookmarkEnd w:id="1306"/>
      <w:bookmarkEnd w:id="130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8,237,217.63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62,611,822.46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80,901,164.29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38,416,523.42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89,138,381.92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101,028,345.88</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89,955,5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817,183.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89,138,38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8,237,217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81,718,3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817,183.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80,901,16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38,804,56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38,416,52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89,955,5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817,183.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89,138,38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9"/>
      <w:bookmarkEnd w:id="1310"/>
      <w:bookmarkEnd w:id="131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388,045.70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429,137.78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817,183.48</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388,045.70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429,137.78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817,183.48</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0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313"/>
      <w:bookmarkEnd w:id="1314"/>
      <w:bookmarkEnd w:id="1316"/>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0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317"/>
      <w:bookmarkEnd w:id="1318"/>
      <w:bookmarkEnd w:id="1320"/>
    </w:p>
    <w:p>
      <w:pPr>
        <w:pStyle w:val="Style1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60,394,598.24</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60,394,598.24</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321"/>
      <w:bookmarkEnd w:id="1322"/>
      <w:bookmarkEnd w:id="132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325"/>
      <w:bookmarkEnd w:id="1326"/>
      <w:bookmarkEnd w:id="132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5</w:t>
      </w:r>
      <w:bookmarkEnd w:id="1331"/>
      <w:r>
        <w:rPr>
          <w:color w:val="000000"/>
          <w:spacing w:val="0"/>
          <w:w w:val="100"/>
          <w:position w:val="0"/>
        </w:rPr>
        <w:t>、应收账款</w:t>
      </w:r>
      <w:bookmarkEnd w:id="1329"/>
      <w:bookmarkEnd w:id="1330"/>
      <w:bookmarkEnd w:id="1332"/>
    </w:p>
    <w:p>
      <w:pPr>
        <w:pStyle w:val="Style40"/>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33"/>
      <w:bookmarkEnd w:id="1334"/>
      <w:bookmarkEnd w:id="13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740,445,</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6,078,583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5,922,666</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551,410,2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740,445,</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6,078,583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5,922,666</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551,410,2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740,445,</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6,078,583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5,922,666</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551,410,2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3,476,135,813.70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34,862,414.93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1,577,764,880.18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79,773,728.77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663,834,871.77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68,020,274.49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490,432,332.94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155,022,011.69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456,318,279.13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248,223,800.40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154,542,836.77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154,542,836.77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6,819,029,014.49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740,445,067.05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3,476,135,813.70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1,577,764,880.18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663,834,871.77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1,101,293,448.84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490,432,332.94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456,318,279.13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154,542,836.77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6,819,029,014.49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37"/>
      <w:bookmarkEnd w:id="1338"/>
      <w:bookmarkEnd w:id="134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551,410,284.30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189,655,623.50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620,630.40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740,445,067.05</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551,410,284.30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189,655,623.50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620,630.40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740,445,067.05</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41"/>
      <w:bookmarkEnd w:id="1342"/>
      <w:bookmarkEnd w:id="1344"/>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620,630.40</w:t>
            </w:r>
          </w:p>
        </w:tc>
      </w:tr>
    </w:tbl>
    <w:p>
      <w:pPr>
        <w:pStyle w:val="Style40"/>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45"/>
      <w:bookmarkEnd w:id="1346"/>
      <w:bookmarkEnd w:id="134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期末余额前五名应收账 款汇总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697,269,104.87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24,856,896.74</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697,269,104.87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349"/>
      <w:bookmarkEnd w:id="1350"/>
      <w:bookmarkEnd w:id="135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353"/>
      <w:bookmarkEnd w:id="1354"/>
      <w:bookmarkEnd w:id="135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6</w:t>
      </w:r>
      <w:bookmarkEnd w:id="1359"/>
      <w:r>
        <w:rPr>
          <w:color w:val="000000"/>
          <w:spacing w:val="0"/>
          <w:w w:val="100"/>
          <w:position w:val="0"/>
        </w:rPr>
        <w:t>、应收款项融资</w:t>
      </w:r>
      <w:bookmarkEnd w:id="1357"/>
      <w:bookmarkEnd w:id="1358"/>
      <w:bookmarkEnd w:id="136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25,268,086.02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25,268,086.02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期末公司已背书或贴现且资产负债表日尚未到期的应收票据</w:t>
      </w:r>
    </w:p>
    <w:tbl>
      <w:tblPr>
        <w:tblOverlap w:val="never"/>
        <w:jc w:val="center"/>
        <w:tblLayout w:type="fixed"/>
      </w:tblPr>
      <w:tblGrid>
        <w:gridCol w:w="2851"/>
        <w:gridCol w:w="3538"/>
        <w:gridCol w:w="3130"/>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84,105,068.60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84,105,068.60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7</w:t>
      </w:r>
      <w:bookmarkEnd w:id="1363"/>
      <w:r>
        <w:rPr>
          <w:color w:val="000000"/>
          <w:spacing w:val="0"/>
          <w:w w:val="100"/>
          <w:position w:val="0"/>
        </w:rPr>
        <w:t>、预付款项</w:t>
      </w:r>
      <w:bookmarkEnd w:id="1361"/>
      <w:bookmarkEnd w:id="1362"/>
      <w:bookmarkEnd w:id="1364"/>
    </w:p>
    <w:p>
      <w:pPr>
        <w:pStyle w:val="Style40"/>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65"/>
      <w:bookmarkEnd w:id="1366"/>
      <w:bookmarkEnd w:id="136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467,924,653.91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655,364,256.57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123,983,665.60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33,159,430.68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19,364,904.09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26,826,273.07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25,575,755.62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33,598,133.34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636,848,979.22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748,948,093.66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79" w:line="1" w:lineRule="exact"/>
      </w:pPr>
    </w:p>
    <w:p>
      <w:pPr>
        <w:widowControl w:val="0"/>
        <w:spacing w:line="1" w:lineRule="exact"/>
      </w:pPr>
    </w:p>
    <w:tbl>
      <w:tblPr>
        <w:tblOverlap w:val="never"/>
        <w:jc w:val="center"/>
        <w:tblLayout w:type="fixed"/>
      </w:tblPr>
      <w:tblGrid>
        <w:gridCol w:w="2525"/>
        <w:gridCol w:w="1930"/>
        <w:gridCol w:w="1123"/>
        <w:gridCol w:w="3941"/>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19,335,642.99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青岛旷视科技有限公司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18,457,368.98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37,793,011.97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69"/>
      <w:bookmarkEnd w:id="1370"/>
      <w:bookmarkEnd w:id="1372"/>
    </w:p>
    <w:tbl>
      <w:tblPr>
        <w:tblOverlap w:val="never"/>
        <w:jc w:val="center"/>
        <w:tblLayout w:type="fixed"/>
      </w:tblPr>
      <w:tblGrid>
        <w:gridCol w:w="3379"/>
        <w:gridCol w:w="2578"/>
        <w:gridCol w:w="3562"/>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299,228,936.22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8</w:t>
      </w:r>
      <w:bookmarkEnd w:id="1375"/>
      <w:r>
        <w:rPr>
          <w:color w:val="000000"/>
          <w:spacing w:val="0"/>
          <w:w w:val="100"/>
          <w:position w:val="0"/>
        </w:rPr>
        <w:t>、其他应收款</w:t>
      </w:r>
      <w:bookmarkEnd w:id="1373"/>
      <w:bookmarkEnd w:id="1374"/>
      <w:bookmarkEnd w:id="137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494,195,716.53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448,072,223.46</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494,195,716.53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448,072,223.46</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377"/>
      <w:bookmarkEnd w:id="1378"/>
      <w:bookmarkEnd w:id="138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81"/>
      <w:bookmarkEnd w:id="1382"/>
      <w:bookmarkEnd w:id="138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85"/>
      <w:bookmarkEnd w:id="1386"/>
      <w:bookmarkEnd w:id="1388"/>
    </w:p>
    <w:p>
      <w:pPr>
        <w:pStyle w:val="Style74"/>
        <w:keepNext/>
        <w:keepLines/>
        <w:widowControl w:val="0"/>
        <w:shd w:val="clear" w:color="auto" w:fill="auto"/>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color w:val="000000"/>
          <w:spacing w:val="0"/>
          <w:w w:val="100"/>
          <w:position w:val="0"/>
        </w:rPr>
        <w:t>）其他应收款按款项性质分类情况</w:t>
      </w:r>
      <w:bookmarkEnd w:id="1389"/>
      <w:bookmarkEnd w:id="1390"/>
      <w:bookmarkEnd w:id="139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137,308,655.79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147,524,172.98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194,838,831.51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195,412,836.74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154,663,018.54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165,548,658.28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62,956,370.28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28,359,068.30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42,811,181.81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592,578,057.93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536,844,736.30</w:t>
            </w:r>
          </w:p>
        </w:tc>
      </w:tr>
    </w:tbl>
    <w:p>
      <w:pPr>
        <w:widowControl w:val="0"/>
        <w:spacing w:after="319" w:line="1" w:lineRule="exact"/>
      </w:pPr>
    </w:p>
    <w:p>
      <w:pPr>
        <w:pStyle w:val="Style74"/>
        <w:keepNext/>
        <w:keepLines/>
        <w:widowControl w:val="0"/>
        <w:shd w:val="clear" w:color="auto" w:fill="auto"/>
        <w:bidi w:val="0"/>
        <w:spacing w:before="0" w:after="40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color w:val="000000"/>
          <w:spacing w:val="0"/>
          <w:w w:val="100"/>
          <w:position w:val="0"/>
        </w:rPr>
        <w:t>）坏账准备计提情况</w:t>
      </w:r>
      <w:bookmarkEnd w:id="1393"/>
      <w:bookmarkEnd w:id="1394"/>
      <w:bookmarkEnd w:id="139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13,275,439.66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75,497,073.18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88,772,512.84</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-990,440.32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11,285,466.11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11,285,466.11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-1,257,444.55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-350,582.11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-67,597.31</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23,468,701.09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74,913,640.31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98,382,341.40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300,184,705.54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105,599,585.49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54,706,430.49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132,087,336.41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39,163,149.15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28,795,166.68</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64,129,020.58</w:t>
            </w:r>
          </w:p>
        </w:tc>
      </w:tr>
    </w:tbl>
    <w:p>
      <w:pPr>
        <w:widowControl w:val="0"/>
        <w:spacing w:line="1" w:lineRule="exact"/>
      </w:pPr>
      <w:r>
        <w:br w:type="page"/>
      </w:r>
    </w:p>
    <w:tbl>
      <w:tblPr>
        <w:tblOverlap w:val="never"/>
        <w:jc w:val="center"/>
        <w:tblLayout w:type="fixed"/>
      </w:tblPr>
      <w:tblGrid>
        <w:gridCol w:w="4790"/>
        <w:gridCol w:w="4795"/>
      </w:tblGrid>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592,578,057.93</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color w:val="000000"/>
          <w:spacing w:val="0"/>
          <w:w w:val="100"/>
          <w:position w:val="0"/>
        </w:rPr>
        <w:t>） 本期计提、收回或转回的坏账准备情况</w:t>
      </w:r>
      <w:bookmarkEnd w:id="1397"/>
      <w:bookmarkEnd w:id="1398"/>
      <w:bookmarkEnd w:id="140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4"/>
        <w:keepNext/>
        <w:keepLines/>
        <w:widowControl w:val="0"/>
        <w:shd w:val="clear" w:color="auto" w:fill="auto"/>
        <w:tabs>
          <w:tab w:pos="392" w:val="left"/>
        </w:tabs>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color w:val="000000"/>
          <w:spacing w:val="0"/>
          <w:w w:val="100"/>
          <w:position w:val="0"/>
        </w:rPr>
        <w:t>）</w:t>
        <w:tab/>
        <w:t>本期实际核销的其他应收款情况</w:t>
      </w:r>
      <w:bookmarkEnd w:id="1401"/>
      <w:bookmarkEnd w:id="1402"/>
      <w:bookmarkEnd w:id="14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350,582.11</w:t>
            </w:r>
          </w:p>
        </w:tc>
      </w:tr>
    </w:tbl>
    <w:p>
      <w:pPr>
        <w:widowControl w:val="0"/>
        <w:spacing w:after="339" w:line="1" w:lineRule="exact"/>
      </w:pPr>
    </w:p>
    <w:p>
      <w:pPr>
        <w:pStyle w:val="Style74"/>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5</w:t>
      </w:r>
      <w:bookmarkEnd w:id="1407"/>
      <w:r>
        <w:rPr>
          <w:color w:val="000000"/>
          <w:spacing w:val="0"/>
          <w:w w:val="100"/>
          <w:position w:val="0"/>
        </w:rPr>
        <w:t>）按欠款方归集的期末余额前五名的其他应收款情况</w:t>
      </w:r>
      <w:bookmarkEnd w:id="1405"/>
      <w:bookmarkEnd w:id="1406"/>
      <w:bookmarkEnd w:id="14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儋州星控信联企业 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10,797,750.00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107,977.50</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儋州星控综联企业 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10,797,750.00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107,977.50</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兴业银行股份有限 公司北京知春路支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银承保证金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10,645,472.47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106,454.72</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丽江市清洁载能产 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儋州星控融联企业 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49,740,972.47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897,409.72</w:t>
            </w:r>
          </w:p>
        </w:tc>
      </w:tr>
    </w:tbl>
    <w:p>
      <w:pPr>
        <w:widowControl w:val="0"/>
        <w:spacing w:after="339" w:line="1" w:lineRule="exact"/>
      </w:pPr>
    </w:p>
    <w:p>
      <w:pPr>
        <w:pStyle w:val="Style74"/>
        <w:keepNext/>
        <w:keepLines/>
        <w:widowControl w:val="0"/>
        <w:shd w:val="clear" w:color="auto" w:fill="auto"/>
        <w:tabs>
          <w:tab w:pos="392"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6</w:t>
      </w:r>
      <w:bookmarkEnd w:id="1411"/>
      <w:r>
        <w:rPr>
          <w:color w:val="000000"/>
          <w:spacing w:val="0"/>
          <w:w w:val="100"/>
          <w:position w:val="0"/>
        </w:rPr>
        <w:t>）</w:t>
        <w:tab/>
        <w:t>涉及政府补助的应收款项</w:t>
      </w:r>
      <w:bookmarkEnd w:id="1409"/>
      <w:bookmarkEnd w:id="1410"/>
      <w:bookmarkEnd w:id="141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4"/>
        <w:keepNext/>
        <w:keepLines/>
        <w:widowControl w:val="0"/>
        <w:shd w:val="clear" w:color="auto" w:fill="auto"/>
        <w:tabs>
          <w:tab w:pos="387"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7</w:t>
      </w:r>
      <w:bookmarkEnd w:id="1415"/>
      <w:r>
        <w:rPr>
          <w:color w:val="000000"/>
          <w:spacing w:val="0"/>
          <w:w w:val="100"/>
          <w:position w:val="0"/>
        </w:rPr>
        <w:t>）</w:t>
        <w:tab/>
        <w:t>因金融资产转移而终止确认的其他应收款</w:t>
      </w:r>
      <w:bookmarkEnd w:id="1413"/>
      <w:bookmarkEnd w:id="1414"/>
      <w:bookmarkEnd w:id="141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4"/>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8</w:t>
      </w:r>
      <w:bookmarkEnd w:id="1419"/>
      <w:r>
        <w:rPr>
          <w:color w:val="000000"/>
          <w:spacing w:val="0"/>
          <w:w w:val="100"/>
          <w:position w:val="0"/>
        </w:rPr>
        <w:t>）转移其他应收款且继续涉入形成的资产、负债金额</w:t>
      </w:r>
      <w:bookmarkEnd w:id="1417"/>
      <w:bookmarkEnd w:id="1418"/>
      <w:bookmarkEnd w:id="1420"/>
    </w:p>
    <w:p>
      <w:pPr>
        <w:pStyle w:val="Style18"/>
        <w:keepNext w:val="0"/>
        <w:keepLines w:val="0"/>
        <w:widowControl w:val="0"/>
        <w:shd w:val="clear" w:color="auto" w:fill="auto"/>
        <w:bidi w:val="0"/>
        <w:spacing w:before="0" w:after="380" w:line="240" w:lineRule="auto"/>
        <w:ind w:left="0" w:right="0" w:firstLine="0"/>
        <w:jc w:val="both"/>
      </w:pPr>
      <w:bookmarkStart w:id="1421" w:name="bookmark1421"/>
      <w:r>
        <w:rPr>
          <w:color w:val="000000"/>
          <w:spacing w:val="0"/>
          <w:w w:val="100"/>
          <w:position w:val="0"/>
        </w:rPr>
        <w:t>□</w:t>
      </w:r>
      <w:r>
        <w:rPr>
          <w:color w:val="000000"/>
          <w:spacing w:val="0"/>
          <w:w w:val="100"/>
          <w:position w:val="0"/>
        </w:rPr>
        <w:t>适用”不适用</w:t>
      </w:r>
      <w:bookmarkEnd w:id="1421"/>
    </w:p>
    <w:p>
      <w:pPr>
        <w:pStyle w:val="Style29"/>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9</w:t>
      </w:r>
      <w:bookmarkEnd w:id="1424"/>
      <w:r>
        <w:rPr>
          <w:color w:val="000000"/>
          <w:spacing w:val="0"/>
          <w:w w:val="100"/>
          <w:position w:val="0"/>
        </w:rPr>
        <w:t>、存货</w:t>
      </w:r>
      <w:bookmarkEnd w:id="1422"/>
      <w:bookmarkEnd w:id="1423"/>
      <w:bookmarkEnd w:id="1425"/>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26"/>
      <w:bookmarkEnd w:id="1427"/>
      <w:bookmarkEnd w:id="14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5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60,224,795.82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10,698,705.66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49,526,090.16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56,215,140.55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11,156,560.65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45,058,579.90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196,626.99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199,815.49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134,232,849.26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5,879,653.47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128,353,195.79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151,269,441.91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5,838,802.35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145,430,639.56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297,641,512.21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297,641,512.21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299,343,036.82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299,343,036.82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6,799,859,213.03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6,799,859,213.03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5,662,341,510.30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5,662,341,510.30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1,569,413.64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1,569,413.64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1,569,749.85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1,569,749.85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3,973,135.31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3,973,135.31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3,957,489.36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3,957,489.36</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7,297,697,546.26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16,578,359.13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7,281,119,187.13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6,174,896,184.28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16,995,363.00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6,157,900,821.28</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30"/>
      <w:bookmarkEnd w:id="1431"/>
      <w:bookmarkEnd w:id="14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11,156,560.65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955,143.48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1,412,998.47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10,698,705.66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5,838,802.35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333,643.89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5,879,653.47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16,995,363.00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1,288,787.37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1,705,791.24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16,578,359.13</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434"/>
      <w:bookmarkEnd w:id="1435"/>
      <w:bookmarkEnd w:id="1437"/>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438"/>
      <w:bookmarkEnd w:id="1439"/>
      <w:bookmarkEnd w:id="144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42"/>
      <w:bookmarkEnd w:id="1443"/>
      <w:bookmarkEnd w:id="1445"/>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712,250,725.09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137,094,502.01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575,156,223.08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844,831,787.77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152,990,358.04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691,841,429.73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712,250,725.09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137,094,502.01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575,156,223.08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844,831,787.77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152,990,358.04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691,841,429.73</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15,895,856.03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15,895,856.03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tabs>
          <w:tab w:pos="474"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46"/>
      <w:bookmarkEnd w:id="1447"/>
      <w:bookmarkEnd w:id="144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50"/>
      <w:bookmarkEnd w:id="1451"/>
      <w:bookmarkEnd w:id="1453"/>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78,966,508.71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39,126,302.69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78,966,508.71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39,126,302.69</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54"/>
      <w:bookmarkEnd w:id="1455"/>
      <w:bookmarkEnd w:id="1457"/>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5,137,360.83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14,574,288.52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63,320,181.33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142,601,799.05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57,279,526.78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44,684,588.33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870,002.50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7,359.09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11,631,178.40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6,898,240.01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待退回股权投资款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147,515,987.67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209,636,277.50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58"/>
      <w:bookmarkEnd w:id="1459"/>
      <w:bookmarkEnd w:id="146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62"/>
      <w:bookmarkEnd w:id="1463"/>
      <w:bookmarkEnd w:id="146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bookmarkEnd w:id="146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66"/>
      <w:bookmarkEnd w:id="1467"/>
      <w:bookmarkEnd w:id="1469"/>
    </w:p>
    <w:p>
      <w:pPr>
        <w:pStyle w:val="Style40"/>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70"/>
      <w:bookmarkEnd w:id="1471"/>
      <w:bookmarkEnd w:id="14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430"/>
        <w:gridCol w:w="1138"/>
        <w:gridCol w:w="1272"/>
        <w:gridCol w:w="1277"/>
        <w:gridCol w:w="1138"/>
        <w:gridCol w:w="1272"/>
        <w:gridCol w:w="64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折现率 区间</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358,218,399.22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3,582,184.01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354,636,215.21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190,232,074.58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188,329,753.84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985,181.17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975,329.36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900,721.90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减：一年内到期 的长期应收款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-79,764,150.22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-797,641.51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-78,966,508.71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-39,521,517.87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279,439,430.17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2,794,394.31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276,645,035.86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151,620,376.81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150,104,173.05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1,911,418.94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1,911,418.94</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1,680,616.88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1,680,616.88</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3,592,035.82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3,592,035.82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tabs>
          <w:tab w:pos="493"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74"/>
      <w:bookmarkEnd w:id="1475"/>
      <w:bookmarkEnd w:id="147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478"/>
      <w:bookmarkEnd w:id="1479"/>
      <w:bookmarkEnd w:id="148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82"/>
      <w:bookmarkEnd w:id="1483"/>
      <w:bookmarkEnd w:id="14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5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瑞客东华</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转化医学</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研究中心</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北京卓讯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科信技术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14,908,14</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19,969,47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奇秦科技</w:t>
            </w:r>
          </w:p>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（北京）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10,093,93</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-3,934,23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6,159,702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深圳市贝 尔加数据 信息有限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113,520,0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111,939,0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广西数字 医疗科技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2,468,639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7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宁波和丰 鲲鹏产业 园开发经 营有限公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60,001,53</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59,987,03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江西国投</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福建腾蓝</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信息产业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3,044,294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-1,804,55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1,239,737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北京快立</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方科技有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7,326,939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贵州东华 电科节能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河南豫资 东华信息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186,306.7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204,123,7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204,123,7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bookmarkEnd w:id="148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86"/>
      <w:bookmarkEnd w:id="1487"/>
      <w:bookmarkEnd w:id="1489"/>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bookmarkEnd w:id="149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90"/>
      <w:bookmarkEnd w:id="1491"/>
      <w:bookmarkEnd w:id="14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成都高新区中科前程科技有限公司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1,854,226.62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1,854,226.62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256,330,452.11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254,287,612.44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天津南大通用数据技术股份有限公司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1,180,449.23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DHCC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506,142.74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506,142.74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味道云（北京）科技有限公司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24,222,076.00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24,222,076.00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235,443,820.99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216,083,340.52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东华光普大数据技术有限公司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314,606.74</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湖北华中大数据交易股份有限公司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北京和隆优化科技股份有限公司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东合汇（北京）科技有限公司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209,809,342.24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213,069,118.12</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山西银行股份有限公司（原长治银行股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35,647,759.79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35,647,759.79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北京爱诺斯科技有限公司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10,920,000.00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北京国科东华软件技术有限公司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北京神舟航天软件技术股份有限公司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79,700,000.00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杭州字节信息技术有限公司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北京拓普丰联信息科技股份有限公司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34,291,196.00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宝德计算机系统股份有限公司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东华瑞舟技术有限公司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山东机场信息科技有限公司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1,007,975,065.72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907,874,882.97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94"/>
      <w:bookmarkEnd w:id="1495"/>
      <w:bookmarkEnd w:id="1497"/>
    </w:p>
    <w:p>
      <w:pPr>
        <w:pStyle w:val="Style40"/>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98"/>
      <w:bookmarkEnd w:id="1499"/>
      <w:bookmarkEnd w:id="1501"/>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27,057,248.85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27,057,248.85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27,057,248.85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27,057,248.85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2,784,641.86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2,784,641.86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4,069,861.18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4,069,861.18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22,987,387.67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22,987,387.67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24,272,606.99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502"/>
      <w:bookmarkEnd w:id="1503"/>
      <w:bookmarkEnd w:id="150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506"/>
      <w:bookmarkEnd w:id="1507"/>
      <w:bookmarkEnd w:id="1509"/>
    </w:p>
    <w:p>
      <w:pPr>
        <w:pStyle w:val="Style1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、固定资产</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306,133,049.24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256,826,821.46</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306,133,049.24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256,826,821.46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10"/>
      <w:bookmarkEnd w:id="1511"/>
      <w:bookmarkEnd w:id="15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1378"/>
        <w:gridCol w:w="1594"/>
        <w:gridCol w:w="1594"/>
        <w:gridCol w:w="1603"/>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158,243,232.62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62,375,181.28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26,077,532.10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631,011,422.06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877,707,368.06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10,436,309.69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17,045,564.75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2,036,256.47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78,344,164.95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107,862,295.86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17,045,564.75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2,036,256.47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78,344,164.95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97,425,986.17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10,436,309.69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10,436,309.69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1,686,454.58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403,407.65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64,118,370.20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66,208,232.43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1,686,454.58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403,407.65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64,118,370.20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66,208,232.43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168,679,542.31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77,734,291.45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27,710,380.92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645,237,216.81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919,361,431.49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80,275,152.54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20,031,228.94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17,514,711.44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503,059,453.68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620,880,546.60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7,534,676.12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7,302,352.52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2,732,376.25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37,175,698.14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54,745,103.03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7,534,676.12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7,302,352.52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2,732,376.25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37,175,698.14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54,745,103.03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1,530,038.44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383,237.07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60,483,991.87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62,397,267.38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1,530,038.44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383,237.07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60,483,991.87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62,397,267.38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87,809,828.66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25,803,543.02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19,863,850.62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479,751,159.95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613,228,382.25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80,869,713.65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51,930,748.43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7,846,530.30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165,486,056.86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306,133,049.24</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77,968,080.08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42,343,952.34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8,562,820.66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127,951,968.38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256,826,821.46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14"/>
      <w:bookmarkEnd w:id="1515"/>
      <w:bookmarkEnd w:id="151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518"/>
      <w:bookmarkEnd w:id="1519"/>
      <w:bookmarkEnd w:id="152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522"/>
      <w:bookmarkEnd w:id="1523"/>
      <w:bookmarkEnd w:id="152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526"/>
      <w:bookmarkEnd w:id="1527"/>
      <w:bookmarkEnd w:id="152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30"/>
      <w:bookmarkEnd w:id="1531"/>
      <w:bookmarkEnd w:id="15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34"/>
      <w:bookmarkEnd w:id="1535"/>
      <w:bookmarkEnd w:id="15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泰安东华软件园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23,839,132.56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23,839,132.56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31,196,619.57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31,196,619.57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金云产业园项目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113,815,492.03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113,815,492.03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83,016,939.08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83,016,939.08</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曹州云都数据中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3,485,431.02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3,485,431.02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东华软件副中心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19,691,628.76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19,691,628.76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160,831,684.37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38"/>
      <w:bookmarkEnd w:id="1539"/>
      <w:bookmarkEnd w:id="15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资金来 源</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9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华软件 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金云产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业园项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83,016,9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30,798,5</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曹州云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都数据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3,485,43</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3,485,43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东华软 件副中 心产业 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19,691,6</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19,691,6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57,054,4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10,436,3</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42"/>
      <w:bookmarkEnd w:id="1543"/>
      <w:bookmarkEnd w:id="1545"/>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46"/>
      <w:bookmarkEnd w:id="1547"/>
      <w:bookmarkEnd w:id="1549"/>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50"/>
      <w:bookmarkEnd w:id="1551"/>
      <w:bookmarkEnd w:id="1553"/>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54"/>
      <w:bookmarkEnd w:id="1555"/>
      <w:bookmarkEnd w:id="1557"/>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58"/>
      <w:bookmarkEnd w:id="1559"/>
      <w:bookmarkEnd w:id="15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21,688,372.75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21,688,372.75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21,688,372.75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21,688,372.75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109,413,919.71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109,413,919.71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29,750,245.61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29,750,245.61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29,750,245.61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29,750,245.61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29,750,245.61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29,750,245.61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79,663,674.10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79,663,674.10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87,725,546.96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87,725,546.96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62"/>
      <w:bookmarkEnd w:id="1563"/>
      <w:bookmarkEnd w:id="1565"/>
    </w:p>
    <w:p>
      <w:pPr>
        <w:pStyle w:val="Style40"/>
        <w:keepNext/>
        <w:keepLines/>
        <w:widowControl w:val="0"/>
        <w:shd w:val="clear" w:color="auto" w:fill="auto"/>
        <w:bidi w:val="0"/>
        <w:spacing w:before="0" w:after="4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66"/>
      <w:bookmarkEnd w:id="1567"/>
      <w:bookmarkEnd w:id="15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7"/>
        <w:gridCol w:w="1123"/>
        <w:gridCol w:w="1368"/>
        <w:gridCol w:w="1368"/>
        <w:gridCol w:w="1368"/>
        <w:gridCol w:w="1373"/>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104,639,154.86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45,409,600.48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378,765,856.09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528,815,611.43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36,035,143.12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38,945,234.24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75,070,476.38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36,035,143.12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22,934,540.16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59,059,782.30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140,674,297.98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90,099.02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45,409,600.48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417,711,090.33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603,886,087.81</w:t>
            </w:r>
          </w:p>
        </w:tc>
      </w:tr>
    </w:tbl>
    <w:p>
      <w:pPr>
        <w:widowControl w:val="0"/>
        <w:spacing w:line="1" w:lineRule="exact"/>
      </w:pPr>
      <w:r>
        <w:br w:type="page"/>
      </w:r>
    </w:p>
    <w:tbl>
      <w:tblPr>
        <w:tblOverlap w:val="never"/>
        <w:jc w:val="center"/>
        <w:tblLayout w:type="fixed"/>
      </w:tblPr>
      <w:tblGrid>
        <w:gridCol w:w="1709"/>
        <w:gridCol w:w="1277"/>
        <w:gridCol w:w="1123"/>
        <w:gridCol w:w="1368"/>
        <w:gridCol w:w="1368"/>
        <w:gridCol w:w="1368"/>
        <w:gridCol w:w="1373"/>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2,771,241.37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30,211,168.73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346,575,999.57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379,559,409.67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2,467,375.31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7,977,919.38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16,601,567.47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27,057,373.71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2,467,375.31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7,977,919.38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16,601,567.47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27,057,373.71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5,238,616.68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38,189,088.11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363,177,567.04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406,616,783.38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135,435,681.30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79,587.47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7,220,512.37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54,533,523.29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197,269,304.43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101,867,913.49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15,198,431.75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32,189,856.52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149,256,201.76</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p>
    <w:p>
      <w:pPr>
        <w:pStyle w:val="Style40"/>
        <w:keepNext/>
        <w:keepLines/>
        <w:widowControl w:val="0"/>
        <w:shd w:val="clear" w:color="auto" w:fill="auto"/>
        <w:bidi w:val="0"/>
        <w:spacing w:before="0" w:after="40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70"/>
      <w:bookmarkEnd w:id="1571"/>
      <w:bookmarkEnd w:id="1573"/>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74"/>
      <w:bookmarkEnd w:id="1575"/>
      <w:bookmarkEnd w:id="157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277"/>
        <w:gridCol w:w="850"/>
        <w:gridCol w:w="1416"/>
        <w:gridCol w:w="1272"/>
        <w:gridCol w:w="1075"/>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基于机器大数据的智能运 维平台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2,347,755.63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2,347,755.63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大数据采集管理平台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3,524,574.25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3,524,574.25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数据治理支撑平台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3,017,330.11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3,017,330.11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故障诊断流程的智能编 排管理平台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1,464,160.89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软件规模评估与计量管理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970,967.70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970,967.70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560"/>
        <w:gridCol w:w="1277"/>
        <w:gridCol w:w="850"/>
        <w:gridCol w:w="1416"/>
        <w:gridCol w:w="1272"/>
        <w:gridCol w:w="1075"/>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商业智能显示管理平台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1,763,520.01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非银金融高管驾驶舱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1,380,025.18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企业日常报销管理系统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一体化智能监控平台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1,993,863.42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1,993,863.42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企业项目核算管理系统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2,150,820.39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2,150,820.39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4,144,683.81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4,144,683.81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78"/>
      <w:bookmarkEnd w:id="1579"/>
      <w:bookmarkEnd w:id="1580"/>
    </w:p>
    <w:p>
      <w:pPr>
        <w:pStyle w:val="Style40"/>
        <w:keepNext/>
        <w:keepLines/>
        <w:widowControl w:val="0"/>
        <w:shd w:val="clear" w:color="auto" w:fill="auto"/>
        <w:bidi w:val="0"/>
        <w:spacing w:before="0" w:after="40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81"/>
      <w:bookmarkEnd w:id="1582"/>
      <w:bookmarkEnd w:id="158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1843"/>
        <w:gridCol w:w="1843"/>
        <w:gridCol w:w="1685"/>
        <w:gridCol w:w="1373"/>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247,618,632.50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247,618,632.50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225,266,979.44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225,266,979.44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1,942,851.06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1,942,851.06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469,339,595.86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469,339,595.86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565,135,229.20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565,135,229.20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151,607,495.56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151,607,495.56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广东东华发思特软件有限公司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2,448,272.58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2,448,272.58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微掌文科技（北京）有限公司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1,607,926.45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1,607,926.45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55,685,302.03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55,685,302.03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1,720,652,284.68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1,720,652,284.68</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85"/>
      <w:bookmarkEnd w:id="1586"/>
      <w:bookmarkEnd w:id="158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69"/>
        <w:gridCol w:w="1843"/>
        <w:gridCol w:w="1416"/>
        <w:gridCol w:w="1421"/>
        <w:gridCol w:w="1637"/>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73,621,036.39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73,621,036.39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348,697,515.38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348,697,515.38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512,294,206.06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8,709,925.95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521,004,132.01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135,554,300.30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135,554,300.30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1,070,167,058.13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8,709,925.95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1,078,876,984.08</w:t>
            </w:r>
          </w:p>
        </w:tc>
      </w:tr>
    </w:tbl>
    <w:p>
      <w:pPr>
        <w:pStyle w:val="Style18"/>
        <w:keepNext w:val="0"/>
        <w:keepLines w:val="0"/>
        <w:widowControl w:val="0"/>
        <w:shd w:val="clear" w:color="auto" w:fill="auto"/>
        <w:bidi w:val="0"/>
        <w:spacing w:before="0" w:after="200" w:line="234" w:lineRule="exact"/>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160" w:line="234" w:lineRule="exact"/>
        <w:ind w:left="0" w:right="0" w:firstLine="360"/>
        <w:jc w:val="left"/>
      </w:pPr>
      <w:r>
        <w:rPr>
          <w:color w:val="000000"/>
          <w:spacing w:val="0"/>
          <w:w w:val="100"/>
          <w:position w:val="0"/>
        </w:rPr>
        <w:t>公司将与商誉相关的固定资产、无形资产等长期资产确认为资产组。</w:t>
      </w:r>
    </w:p>
    <w:p>
      <w:pPr>
        <w:pStyle w:val="Style18"/>
        <w:keepNext w:val="0"/>
        <w:keepLines w:val="0"/>
        <w:widowControl w:val="0"/>
        <w:shd w:val="clear" w:color="auto" w:fill="auto"/>
        <w:bidi w:val="0"/>
        <w:spacing w:before="0" w:after="160" w:line="235" w:lineRule="exact"/>
        <w:ind w:left="0" w:right="0" w:firstLine="360"/>
        <w:jc w:val="left"/>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18"/>
        <w:keepNext w:val="0"/>
        <w:keepLines w:val="0"/>
        <w:widowControl w:val="0"/>
        <w:shd w:val="clear" w:color="auto" w:fill="auto"/>
        <w:tabs>
          <w:tab w:pos="790" w:val="left"/>
        </w:tabs>
        <w:bidi w:val="0"/>
        <w:spacing w:before="0" w:after="160" w:line="234" w:lineRule="exact"/>
        <w:ind w:left="0" w:right="0" w:firstLine="360"/>
        <w:jc w:val="left"/>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测试过程</w:t>
      </w:r>
    </w:p>
    <w:p>
      <w:pPr>
        <w:pStyle w:val="Style18"/>
        <w:keepNext w:val="0"/>
        <w:keepLines w:val="0"/>
        <w:widowControl w:val="0"/>
        <w:shd w:val="clear" w:color="auto" w:fill="auto"/>
        <w:bidi w:val="0"/>
        <w:spacing w:before="0" w:after="160" w:line="233" w:lineRule="exact"/>
        <w:ind w:left="0" w:right="0" w:firstLine="360"/>
        <w:jc w:val="left"/>
      </w:pPr>
      <w:r>
        <w:rPr>
          <w:color w:val="000000"/>
          <w:spacing w:val="0"/>
          <w:w w:val="100"/>
          <w:position w:val="0"/>
        </w:rPr>
        <w:t>公司期末对包含商誉的资产组进行了减值测试，将资产组账面价值与可收回金额进行比较，以确定资产组（包括商誉） 是否发生了减值，可收回金额按照预计未来现金流量现值计算。测试结果表明包含分摊的商誉的资产组的可收回金额低于账 面价值的，确认相应的减值损失。</w:t>
      </w:r>
    </w:p>
    <w:p>
      <w:pPr>
        <w:pStyle w:val="Style18"/>
        <w:keepNext w:val="0"/>
        <w:keepLines w:val="0"/>
        <w:widowControl w:val="0"/>
        <w:shd w:val="clear" w:color="auto" w:fill="auto"/>
        <w:tabs>
          <w:tab w:pos="790" w:val="left"/>
        </w:tabs>
        <w:bidi w:val="0"/>
        <w:spacing w:before="0" w:after="200" w:line="234" w:lineRule="exact"/>
        <w:ind w:left="0" w:right="0" w:firstLine="360"/>
        <w:jc w:val="left"/>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关键参数</w:t>
      </w:r>
    </w:p>
    <w:tbl>
      <w:tblPr>
        <w:tblOverlap w:val="never"/>
        <w:jc w:val="center"/>
        <w:tblLayout w:type="fixed"/>
      </w:tblPr>
      <w:tblGrid>
        <w:gridCol w:w="1142"/>
        <w:gridCol w:w="1133"/>
        <w:gridCol w:w="1560"/>
        <w:gridCol w:w="1138"/>
        <w:gridCol w:w="1133"/>
        <w:gridCol w:w="1133"/>
        <w:gridCol w:w="1133"/>
        <w:gridCol w:w="1426"/>
      </w:tblGrid>
      <w:tr>
        <w:trPr>
          <w:trHeight w:val="346"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380"/>
              <w:jc w:val="left"/>
            </w:pPr>
            <w:r>
              <w:rPr>
                <w:color w:val="000000"/>
                <w:spacing w:val="0"/>
                <w:w w:val="100"/>
                <w:position w:val="0"/>
              </w:rPr>
              <w:t>项目</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r>
      <w:tr>
        <w:trPr>
          <w:trHeight w:val="36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联银通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威锐达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至高通信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万兴新锐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神州新桥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东华博泰</w:t>
            </w: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预测收入增长 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758" w:val="left"/>
              </w:tabs>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年收入 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年之</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后增长</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参考历史增长率、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行业增长率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参考历史毛利率 水平</w:t>
            </w:r>
          </w:p>
        </w:tc>
      </w:tr>
      <w:tr>
        <w:trPr>
          <w:trHeight w:val="100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税前折现率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按加权平均资本 成本</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计 算得出</w:t>
            </w:r>
          </w:p>
        </w:tc>
      </w:tr>
    </w:tbl>
    <w:p>
      <w:pPr>
        <w:pStyle w:val="Style26"/>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）商誉减值损失的确认方法</w:t>
      </w:r>
    </w:p>
    <w:p>
      <w:pPr>
        <w:widowControl w:val="0"/>
        <w:spacing w:after="159" w:line="1" w:lineRule="exact"/>
      </w:pPr>
    </w:p>
    <w:p>
      <w:pPr>
        <w:pStyle w:val="Style18"/>
        <w:keepNext w:val="0"/>
        <w:keepLines w:val="0"/>
        <w:widowControl w:val="0"/>
        <w:shd w:val="clear" w:color="auto" w:fill="auto"/>
        <w:bidi w:val="0"/>
        <w:spacing w:before="0" w:after="200" w:line="235" w:lineRule="exact"/>
        <w:ind w:left="0" w:right="0" w:firstLine="360"/>
        <w:jc w:val="left"/>
      </w:pPr>
      <w:r>
        <w:rPr>
          <w:color w:val="000000"/>
          <w:spacing w:val="0"/>
          <w:w w:val="100"/>
          <w:position w:val="0"/>
        </w:rPr>
        <w:t>基于公司管理层对未来发展趋势的判断和经营规划，在未来预测能够实现的前提下，对包含商誉的资产组账面价值与预 计未来现金流量现值进行比较后确认商誉是否发生减值。</w:t>
      </w:r>
    </w:p>
    <w:p>
      <w:pPr>
        <w:pStyle w:val="Style18"/>
        <w:keepNext w:val="0"/>
        <w:keepLines w:val="0"/>
        <w:widowControl w:val="0"/>
        <w:shd w:val="clear" w:color="auto" w:fill="auto"/>
        <w:bidi w:val="0"/>
        <w:spacing w:before="0" w:after="200" w:line="232" w:lineRule="exact"/>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160" w:line="232" w:lineRule="exact"/>
        <w:ind w:left="0" w:right="0" w:firstLine="360"/>
        <w:jc w:val="both"/>
      </w:pPr>
      <w:r>
        <w:rPr>
          <w:color w:val="000000"/>
          <w:spacing w:val="0"/>
          <w:w w:val="100"/>
          <w:position w:val="0"/>
        </w:rPr>
        <w:t>公司聘请评估机构对北京威锐达测控系统有限公司、深圳市至高通信技术发展有限公司、北京联银通科技有限公司、北 京东华博泰科技有限公司进行了商誉减值测试。公司对北京神州新桥科技有限公司、北京东华万兴软件有限公司、广东东华 发思特软件有限公司、微掌文科技（北京）有限公司、北京东华信息技术有限公司自行进行了商誉减值测试。经过商誉减值 测试后，公司本期对深圳市至高通信技术发展有限公司计提商誉减值准备</w:t>
      </w:r>
      <w:r>
        <w:rPr>
          <w:rFonts w:ascii="Times New Roman" w:eastAsia="Times New Roman" w:hAnsi="Times New Roman" w:cs="Times New Roman"/>
          <w:color w:val="000000"/>
          <w:spacing w:val="0"/>
          <w:w w:val="100"/>
          <w:position w:val="0"/>
          <w:sz w:val="18"/>
          <w:szCs w:val="18"/>
        </w:rPr>
        <w:t>8,709,925.95</w:t>
      </w:r>
      <w:r>
        <w:rPr>
          <w:color w:val="000000"/>
          <w:spacing w:val="0"/>
          <w:w w:val="100"/>
          <w:position w:val="0"/>
        </w:rPr>
        <w:t>元。具体情况为：</w:t>
      </w:r>
    </w:p>
    <w:tbl>
      <w:tblPr>
        <w:tblOverlap w:val="never"/>
        <w:jc w:val="center"/>
        <w:tblLayout w:type="fixed"/>
      </w:tblPr>
      <w:tblGrid>
        <w:gridCol w:w="2136"/>
        <w:gridCol w:w="1133"/>
        <w:gridCol w:w="1277"/>
        <w:gridCol w:w="1416"/>
        <w:gridCol w:w="1277"/>
        <w:gridCol w:w="1133"/>
        <w:gridCol w:w="1286"/>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联银通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威锐达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至高通信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万兴新锐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神州新桥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中能博泰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商誉账面余额①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247,618,632.50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469,339,595.86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565,135,229.20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151,607,495.56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225,266,979.44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55,685,302.03</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未确认归属于少数股东权益的商</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誉金额②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15,423,658.19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22,916,295.87</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包含未确认归属于少数股东权益</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的商誉余额③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①</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247,618,632.50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469,339,595.86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565,135,229.20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167,031,153.75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225,266,979.44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78,601,597.90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资产组的账面价值④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10,944,114.71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607,032.81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4,406,802.81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53,356.30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94,743,243.27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1,629,301.37</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包含整体商誉的资产组账面价值</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⑤</w:t>
            </w:r>
            <w:r>
              <w:rPr>
                <w:color w:val="000000"/>
                <w:spacing w:val="0"/>
                <w:w w:val="100"/>
                <w:position w:val="0"/>
                <w:sz w:val="15"/>
                <w:szCs w:val="15"/>
              </w:rPr>
              <w:t>二</w:t>
            </w:r>
            <w:r>
              <w:rPr>
                <w:color w:val="000000"/>
                <w:spacing w:val="0"/>
                <w:w w:val="100"/>
                <w:position w:val="0"/>
                <w:sz w:val="14"/>
                <w:szCs w:val="14"/>
              </w:rPr>
              <w:t>"③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258,562,747.21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469,946,628.67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569,542,032.01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167,084,510.05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320,010,222.71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80,230,899.27</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资产组预计未来现金流量的现值</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可收回金额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188,118,500.00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129,997,400.00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48,537,900.00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33,400,000.00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833,543,795.32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99,333,000.00</w:t>
            </w:r>
          </w:p>
        </w:tc>
      </w:tr>
    </w:tbl>
    <w:p>
      <w:pPr>
        <w:sectPr>
          <w:footnotePr>
            <w:pos w:val="pageBottom"/>
            <w:numFmt w:val="decimal"/>
            <w:numRestart w:val="continuous"/>
          </w:footnotePr>
          <w:pgSz w:w="11900" w:h="16840"/>
          <w:pgMar w:top="1369" w:right="1050" w:bottom="1441" w:left="1043"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2136"/>
        <w:gridCol w:w="1133"/>
        <w:gridCol w:w="1277"/>
        <w:gridCol w:w="1416"/>
        <w:gridCol w:w="1277"/>
        <w:gridCol w:w="1133"/>
        <w:gridCol w:w="1286"/>
      </w:tblGrid>
      <w:tr>
        <w:trPr>
          <w:trHeight w:val="6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商誉减值损失（大于</w:t>
            </w: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4"/>
                <w:szCs w:val="14"/>
              </w:rPr>
              <w:t>时）⑦</w:t>
            </w:r>
            <w:r>
              <w:rPr>
                <w:color w:val="000000"/>
                <w:spacing w:val="0"/>
                <w:w w:val="100"/>
                <w:position w:val="0"/>
                <w:sz w:val="15"/>
                <w:szCs w:val="15"/>
              </w:rPr>
              <w:t>二</w:t>
            </w:r>
            <w:r>
              <w:rPr>
                <w:color w:val="000000"/>
                <w:spacing w:val="0"/>
                <w:w w:val="100"/>
                <w:position w:val="0"/>
                <w:sz w:val="14"/>
                <w:szCs w:val="14"/>
              </w:rPr>
              <w:t>⑤</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70,444,247.21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339,949,228.67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521,004,132.01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133,684,510.05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归属于母公司的商誉减值损失⑧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70,444,247.21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339,949,228.67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521,004,132.01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68,179,100.13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以前年度已计提商誉减值损失⑨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73,621,036.39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348,697,515.38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512,294,206.06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135,554,300.30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本期应计提商誉减值损失⑩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8,709,925.95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bookmarkEnd w:id="159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91"/>
      <w:bookmarkEnd w:id="1592"/>
      <w:bookmarkEnd w:id="15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8,084,625.57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2,977,455.56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2,906,500.51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8,155,580.62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8,084,625.57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2,977,455.56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2,906,500.51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8,155,580.62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95"/>
      <w:bookmarkEnd w:id="1596"/>
      <w:bookmarkEnd w:id="1598"/>
    </w:p>
    <w:p>
      <w:pPr>
        <w:pStyle w:val="Style40"/>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99"/>
      <w:bookmarkEnd w:id="1600"/>
      <w:bookmarkEnd w:id="16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709,632,411.40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74,473,125.43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622,234,903.77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63,895,691.65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34,846,362.38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3,856,496.52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12,841,884.47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1,683,881.79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24,189,601.89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2,509,995.02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12,266,230.30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1,839,934.54</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768,668,375.67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80,839,616.97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647,343,018.54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67,419,507.98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03"/>
      <w:bookmarkEnd w:id="1604"/>
      <w:bookmarkEnd w:id="16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收购少数股东股权形成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149,691,355.70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14,969,135.57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138,290,772.96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13,829,077.30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149,692,713.83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14,969,271.38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138,292,131.09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13,829,213.11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07"/>
      <w:bookmarkEnd w:id="1608"/>
      <w:bookmarkEnd w:id="1610"/>
      <w:r>
        <w:br w:type="page"/>
      </w:r>
    </w:p>
    <w:tbl>
      <w:tblPr>
        <w:tblOverlap w:val="never"/>
        <w:jc w:val="center"/>
        <w:tblLayout w:type="fixed"/>
      </w:tblPr>
      <w:tblGrid>
        <w:gridCol w:w="1920"/>
        <w:gridCol w:w="1915"/>
        <w:gridCol w:w="1915"/>
        <w:gridCol w:w="1915"/>
        <w:gridCol w:w="1925"/>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80,839,616.97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67,419,507.98</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14,969,271.38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13,829,213.11</w:t>
            </w:r>
          </w:p>
        </w:tc>
      </w:tr>
    </w:tbl>
    <w:p>
      <w:pPr>
        <w:widowControl w:val="0"/>
        <w:spacing w:after="319" w:line="1" w:lineRule="exact"/>
      </w:pPr>
    </w:p>
    <w:p>
      <w:pPr>
        <w:pStyle w:val="Style40"/>
        <w:keepNext/>
        <w:keepLines/>
        <w:widowControl w:val="0"/>
        <w:numPr>
          <w:ilvl w:val="0"/>
          <w:numId w:val="69"/>
        </w:numPr>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未确认递延所得税资产明细</w:t>
      </w:r>
      <w:bookmarkEnd w:id="1611"/>
      <w:bookmarkEnd w:id="1612"/>
      <w:bookmarkEnd w:id="1614"/>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1,622,478,856.82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1,188,630,720.23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287,277,077.44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205,536,215.95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1,909,755,934.26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1,394,166,936.18</w:t>
            </w:r>
          </w:p>
        </w:tc>
      </w:tr>
    </w:tbl>
    <w:p>
      <w:pPr>
        <w:widowControl w:val="0"/>
        <w:spacing w:after="319" w:line="1" w:lineRule="exact"/>
      </w:pPr>
    </w:p>
    <w:p>
      <w:pPr>
        <w:pStyle w:val="Style40"/>
        <w:keepNext/>
        <w:keepLines/>
        <w:widowControl w:val="0"/>
        <w:numPr>
          <w:ilvl w:val="0"/>
          <w:numId w:val="69"/>
        </w:numPr>
        <w:shd w:val="clear" w:color="auto" w:fill="auto"/>
        <w:bidi w:val="0"/>
        <w:spacing w:before="0" w:after="40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未确认递延所得税资产的可抵扣亏损将于以下年度到期</w:t>
      </w:r>
      <w:bookmarkEnd w:id="1615"/>
      <w:bookmarkEnd w:id="1616"/>
      <w:bookmarkEnd w:id="161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136,708,745.91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145,571,424.02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143,936,619.24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217,976,291.59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226,945,444.89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332,905,401.30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328,193,618.72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342,124,070.00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352,846,291.47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583,901,669.91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1,622,478,856.82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1,188,630,720.23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19"/>
      <w:bookmarkEnd w:id="1620"/>
      <w:bookmarkEnd w:id="162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4,892,112.05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4,892,112.05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4,991,912.05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4,991,912.05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bl>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23"/>
      <w:bookmarkEnd w:id="1624"/>
      <w:bookmarkEnd w:id="1626"/>
    </w:p>
    <w:p>
      <w:pPr>
        <w:pStyle w:val="Style40"/>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27"/>
      <w:bookmarkEnd w:id="1628"/>
      <w:bookmarkEnd w:id="16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139,692,963.45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105,053,241.56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595,433,680.21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308,800,000.00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2,047,401,680.80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2,487,232,425.07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短期贸易融资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880,138,163.30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431,964,064.16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已贴现未到期不终止确认票据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60,394,598.24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3,723,061,491.55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3,333,049,730.79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59" w:line="1" w:lineRule="exact"/>
      </w:pPr>
    </w:p>
    <w:p>
      <w:pPr>
        <w:pStyle w:val="Style18"/>
        <w:keepNext w:val="0"/>
        <w:keepLines w:val="0"/>
        <w:widowControl w:val="0"/>
        <w:shd w:val="clear" w:color="auto" w:fill="auto"/>
        <w:tabs>
          <w:tab w:pos="851" w:val="left"/>
        </w:tabs>
        <w:bidi w:val="0"/>
        <w:spacing w:before="0" w:after="160" w:line="234" w:lineRule="exact"/>
        <w:ind w:left="0" w:right="0" w:firstLine="38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北京神州新桥科技有限公司与星展银行签订信贷额度协议，最高应付账款融 资额度合计人民币壹亿元，同时，双方签订《最高额应收账款质押合同》（编号</w:t>
      </w:r>
      <w:r>
        <w:rPr>
          <w:rFonts w:ascii="Times New Roman" w:eastAsia="Times New Roman" w:hAnsi="Times New Roman" w:cs="Times New Roman"/>
          <w:color w:val="000000"/>
          <w:spacing w:val="0"/>
          <w:w w:val="100"/>
          <w:position w:val="0"/>
          <w:sz w:val="18"/>
          <w:szCs w:val="18"/>
        </w:rPr>
        <w:t>“AR/SZ/20190904-01”</w:t>
      </w:r>
      <w:r>
        <w:rPr>
          <w:color w:val="000000"/>
          <w:spacing w:val="0"/>
          <w:w w:val="100"/>
          <w:position w:val="0"/>
        </w:rPr>
        <w:t>）</w:t>
      </w:r>
      <w:r>
        <w:rPr>
          <w:color w:val="000000"/>
          <w:spacing w:val="0"/>
          <w:w w:val="100"/>
          <w:position w:val="0"/>
        </w:rPr>
        <w:t>，质押的应收账款最 高债权额度为人民币壹亿元。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日，双方签订《最高额应收账款质押补充登记协议》（编号 </w:t>
      </w:r>
      <w:r>
        <w:rPr>
          <w:rFonts w:ascii="Times New Roman" w:eastAsia="Times New Roman" w:hAnsi="Times New Roman" w:cs="Times New Roman"/>
          <w:color w:val="000000"/>
          <w:spacing w:val="0"/>
          <w:w w:val="100"/>
          <w:position w:val="0"/>
          <w:sz w:val="18"/>
          <w:szCs w:val="18"/>
        </w:rPr>
        <w:t>“ARG/SZ/SN/20210323”</w:t>
      </w:r>
      <w:r>
        <w:rPr>
          <w:color w:val="000000"/>
          <w:spacing w:val="0"/>
          <w:w w:val="100"/>
          <w:position w:val="0"/>
        </w:rPr>
        <w:t>），</w:t>
      </w:r>
      <w:r>
        <w:rPr>
          <w:color w:val="000000"/>
          <w:spacing w:val="0"/>
          <w:w w:val="100"/>
          <w:position w:val="0"/>
        </w:rPr>
        <w:t>增加应收账款质押合同的相对方企业名单。截至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 司在该合同项下的借款余额为</w:t>
      </w:r>
      <w:r>
        <w:rPr>
          <w:rFonts w:ascii="Times New Roman" w:eastAsia="Times New Roman" w:hAnsi="Times New Roman" w:cs="Times New Roman"/>
          <w:color w:val="000000"/>
          <w:spacing w:val="0"/>
          <w:w w:val="100"/>
          <w:position w:val="0"/>
          <w:sz w:val="18"/>
          <w:szCs w:val="18"/>
        </w:rPr>
        <w:t>43,586,652.18</w:t>
      </w:r>
      <w:r>
        <w:rPr>
          <w:color w:val="000000"/>
          <w:spacing w:val="0"/>
          <w:w w:val="100"/>
          <w:position w:val="0"/>
        </w:rPr>
        <w:t>元。</w:t>
      </w:r>
    </w:p>
    <w:p>
      <w:pPr>
        <w:pStyle w:val="Style18"/>
        <w:keepNext w:val="0"/>
        <w:keepLines w:val="0"/>
        <w:widowControl w:val="0"/>
        <w:shd w:val="clear" w:color="auto" w:fill="auto"/>
        <w:tabs>
          <w:tab w:pos="788" w:val="left"/>
        </w:tabs>
        <w:bidi w:val="0"/>
        <w:spacing w:before="0" w:after="0" w:line="233" w:lineRule="exact"/>
        <w:ind w:left="0" w:right="0" w:firstLine="380"/>
        <w:jc w:val="both"/>
      </w:pPr>
      <w:bookmarkStart w:id="1632" w:name="bookmark1632"/>
      <w:r>
        <w:rPr>
          <w:color w:val="000000"/>
          <w:spacing w:val="0"/>
          <w:w w:val="100"/>
          <w:position w:val="0"/>
        </w:rPr>
        <w:t>（</w:t>
      </w:r>
      <w:bookmarkEnd w:id="16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北京神州新桥科技有限公司与中穗商业保理有限公司签订《国内商业保理</w:t>
      </w:r>
    </w:p>
    <w:p>
      <w:pPr>
        <w:pStyle w:val="Style18"/>
        <w:keepNext w:val="0"/>
        <w:keepLines w:val="0"/>
        <w:widowControl w:val="0"/>
        <w:shd w:val="clear" w:color="auto" w:fill="auto"/>
        <w:tabs>
          <w:tab w:pos="2210" w:val="left"/>
        </w:tabs>
        <w:bidi w:val="0"/>
        <w:spacing w:before="0" w:after="0" w:line="233" w:lineRule="exact"/>
        <w:ind w:left="0" w:right="0" w:firstLine="0"/>
        <w:jc w:val="left"/>
      </w:pPr>
      <w:r>
        <w:rPr>
          <w:color w:val="000000"/>
          <w:spacing w:val="0"/>
          <w:w w:val="100"/>
          <w:position w:val="0"/>
        </w:rPr>
        <w:t>合同》（编号</w:t>
      </w:r>
      <w:r>
        <w:rPr>
          <w:rFonts w:ascii="Times New Roman" w:eastAsia="Times New Roman" w:hAnsi="Times New Roman" w:cs="Times New Roman"/>
          <w:color w:val="000000"/>
          <w:spacing w:val="0"/>
          <w:w w:val="100"/>
          <w:position w:val="0"/>
          <w:sz w:val="18"/>
          <w:szCs w:val="18"/>
        </w:rPr>
        <w:t>“2021-0836”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日，中穗商业保理有限公司、海南银行股份有限公司澄迈科技支行与北京神州</w:t>
      </w:r>
    </w:p>
    <w:p>
      <w:pPr>
        <w:pStyle w:val="Style18"/>
        <w:keepNext w:val="0"/>
        <w:keepLines w:val="0"/>
        <w:widowControl w:val="0"/>
        <w:shd w:val="clear" w:color="auto" w:fill="auto"/>
        <w:bidi w:val="0"/>
        <w:spacing w:before="0" w:after="160" w:line="233" w:lineRule="exact"/>
        <w:ind w:left="0" w:right="0" w:firstLine="0"/>
        <w:jc w:val="left"/>
      </w:pPr>
      <w:r>
        <w:rPr>
          <w:color w:val="000000"/>
          <w:spacing w:val="0"/>
          <w:w w:val="100"/>
          <w:position w:val="0"/>
        </w:rPr>
        <w:t>新桥科技有限公司签订《资金监管协议》（编号</w:t>
      </w:r>
      <w:r>
        <w:rPr>
          <w:rFonts w:ascii="Times New Roman" w:eastAsia="Times New Roman" w:hAnsi="Times New Roman" w:cs="Times New Roman"/>
          <w:color w:val="000000"/>
          <w:spacing w:val="0"/>
          <w:w w:val="100"/>
          <w:position w:val="0"/>
          <w:sz w:val="18"/>
          <w:szCs w:val="18"/>
        </w:rPr>
        <w:t>“A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海银澄科资管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0805001］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），协议约定北京神州新桥科技有 限公司将指定应收账款做质押，从海南银行获取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亿元额度的贷款，应收账款回款用于归还贷款。截至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北京神州新桥科技有限公司在该合同项下的借款余额为人民币</w:t>
      </w:r>
      <w:r>
        <w:rPr>
          <w:rFonts w:ascii="Times New Roman" w:eastAsia="Times New Roman" w:hAnsi="Times New Roman" w:cs="Times New Roman"/>
          <w:color w:val="000000"/>
          <w:spacing w:val="0"/>
          <w:w w:val="100"/>
          <w:position w:val="0"/>
          <w:sz w:val="18"/>
          <w:szCs w:val="18"/>
        </w:rPr>
        <w:t>73,798,000.00</w:t>
      </w:r>
      <w:r>
        <w:rPr>
          <w:color w:val="000000"/>
          <w:spacing w:val="0"/>
          <w:w w:val="100"/>
          <w:position w:val="0"/>
        </w:rPr>
        <w:t>元。</w:t>
      </w:r>
    </w:p>
    <w:p>
      <w:pPr>
        <w:pStyle w:val="Style18"/>
        <w:keepNext w:val="0"/>
        <w:keepLines w:val="0"/>
        <w:widowControl w:val="0"/>
        <w:shd w:val="clear" w:color="auto" w:fill="auto"/>
        <w:tabs>
          <w:tab w:pos="851" w:val="left"/>
        </w:tabs>
        <w:bidi w:val="0"/>
        <w:spacing w:before="0" w:after="160" w:line="230" w:lineRule="exact"/>
        <w:ind w:left="0" w:right="0" w:firstLine="380"/>
        <w:jc w:val="both"/>
      </w:pPr>
      <w:bookmarkStart w:id="1633" w:name="bookmark1633"/>
      <w:r>
        <w:rPr>
          <w:color w:val="000000"/>
          <w:spacing w:val="0"/>
          <w:w w:val="100"/>
          <w:position w:val="0"/>
        </w:rPr>
        <w:t>（</w:t>
      </w:r>
      <w:bookmarkEnd w:id="16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北京神州新桥科技有限公司将指定应收账款质押于平安银行股份有限公司北京分行进行融资贷 款。截至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日，北京神州新桥科技有限公司在该业务项下的借款余额为</w:t>
      </w:r>
      <w:r>
        <w:rPr>
          <w:rFonts w:ascii="Times New Roman" w:eastAsia="Times New Roman" w:hAnsi="Times New Roman" w:cs="Times New Roman"/>
          <w:color w:val="000000"/>
          <w:spacing w:val="0"/>
          <w:w w:val="100"/>
          <w:position w:val="0"/>
          <w:sz w:val="18"/>
          <w:szCs w:val="18"/>
        </w:rPr>
        <w:t>22,308,311.27</w:t>
      </w:r>
      <w:r>
        <w:rPr>
          <w:color w:val="000000"/>
          <w:spacing w:val="0"/>
          <w:w w:val="100"/>
          <w:position w:val="0"/>
        </w:rPr>
        <w:t>元。</w:t>
      </w:r>
    </w:p>
    <w:p>
      <w:pPr>
        <w:pStyle w:val="Style18"/>
        <w:keepNext w:val="0"/>
        <w:keepLines w:val="0"/>
        <w:widowControl w:val="0"/>
        <w:shd w:val="clear" w:color="auto" w:fill="auto"/>
        <w:tabs>
          <w:tab w:pos="851" w:val="left"/>
        </w:tabs>
        <w:bidi w:val="0"/>
        <w:spacing w:before="0" w:after="160" w:line="233" w:lineRule="exact"/>
        <w:ind w:left="0" w:right="0" w:firstLine="380"/>
        <w:jc w:val="both"/>
      </w:pPr>
      <w:bookmarkStart w:id="1634" w:name="bookmark1634"/>
      <w:r>
        <w:rPr>
          <w:color w:val="000000"/>
          <w:spacing w:val="0"/>
          <w:w w:val="100"/>
          <w:position w:val="0"/>
        </w:rPr>
        <w:t>（</w:t>
      </w:r>
      <w:bookmarkEnd w:id="16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北京神州新桥科技有限公司借款余额</w:t>
      </w:r>
      <w:r>
        <w:rPr>
          <w:rFonts w:ascii="Times New Roman" w:eastAsia="Times New Roman" w:hAnsi="Times New Roman" w:cs="Times New Roman"/>
          <w:color w:val="000000"/>
          <w:spacing w:val="0"/>
          <w:w w:val="100"/>
          <w:position w:val="0"/>
          <w:sz w:val="18"/>
          <w:szCs w:val="18"/>
        </w:rPr>
        <w:t>378,200,000.00</w:t>
      </w:r>
      <w:r>
        <w:rPr>
          <w:color w:val="000000"/>
          <w:spacing w:val="0"/>
          <w:w w:val="100"/>
          <w:position w:val="0"/>
        </w:rPr>
        <w:t xml:space="preserve">元，信用证余额 </w:t>
      </w:r>
      <w:r>
        <w:rPr>
          <w:rFonts w:ascii="Times New Roman" w:eastAsia="Times New Roman" w:hAnsi="Times New Roman" w:cs="Times New Roman"/>
          <w:color w:val="000000"/>
          <w:spacing w:val="0"/>
          <w:w w:val="100"/>
          <w:position w:val="0"/>
          <w:sz w:val="18"/>
          <w:szCs w:val="18"/>
        </w:rPr>
        <w:t>34,925,784.70</w:t>
      </w:r>
      <w:r>
        <w:rPr>
          <w:color w:val="000000"/>
          <w:spacing w:val="0"/>
          <w:w w:val="100"/>
          <w:position w:val="0"/>
        </w:rPr>
        <w:t>元，由本公司提供连带责任保证。公司所属子公司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北京东华合创科技有限公司借款余额</w:t>
      </w:r>
      <w:r>
        <w:rPr>
          <w:rFonts w:ascii="Times New Roman" w:eastAsia="Times New Roman" w:hAnsi="Times New Roman" w:cs="Times New Roman"/>
          <w:color w:val="000000"/>
          <w:spacing w:val="0"/>
          <w:w w:val="100"/>
          <w:position w:val="0"/>
          <w:sz w:val="18"/>
          <w:szCs w:val="18"/>
        </w:rPr>
        <w:t>129,380,680.21</w:t>
      </w:r>
      <w:r>
        <w:rPr>
          <w:color w:val="000000"/>
          <w:spacing w:val="0"/>
          <w:w w:val="100"/>
          <w:position w:val="0"/>
        </w:rPr>
        <w:t>元， 由本公司提供连带责任保证。公司所属子公司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东华医为科技有限公司借款余额</w:t>
      </w:r>
      <w:r>
        <w:rPr>
          <w:rFonts w:ascii="Times New Roman" w:eastAsia="Times New Roman" w:hAnsi="Times New Roman" w:cs="Times New Roman"/>
          <w:color w:val="000000"/>
          <w:spacing w:val="0"/>
          <w:w w:val="100"/>
          <w:position w:val="0"/>
          <w:sz w:val="18"/>
          <w:szCs w:val="18"/>
        </w:rPr>
        <w:t>38,000,000.00</w:t>
      </w:r>
      <w:r>
        <w:rPr>
          <w:color w:val="000000"/>
          <w:spacing w:val="0"/>
          <w:w w:val="100"/>
          <w:position w:val="0"/>
        </w:rPr>
        <w:t>元，由本公司提供连带责任保 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北京联银通科技有限公司借款余额</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元，由本公司提供连带责任保证。公司所属子公司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北京东华博泰科技有限公司借款余额</w:t>
      </w:r>
      <w:r>
        <w:rPr>
          <w:rFonts w:ascii="Times New Roman" w:eastAsia="Times New Roman" w:hAnsi="Times New Roman" w:cs="Times New Roman"/>
          <w:color w:val="000000"/>
          <w:spacing w:val="0"/>
          <w:w w:val="100"/>
          <w:position w:val="0"/>
          <w:sz w:val="18"/>
          <w:szCs w:val="18"/>
        </w:rPr>
        <w:t>16,003,000.00</w:t>
      </w:r>
      <w:r>
        <w:rPr>
          <w:color w:val="000000"/>
          <w:spacing w:val="0"/>
          <w:w w:val="100"/>
          <w:position w:val="0"/>
        </w:rPr>
        <w:t>元，由本公司提供连带责任保证。公司所属子公司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北京威锐达测控系统 有限公司借款余额</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元，由本公司提供连带责任保证。</w:t>
      </w:r>
    </w:p>
    <w:p>
      <w:pPr>
        <w:pStyle w:val="Style18"/>
        <w:keepNext w:val="0"/>
        <w:keepLines w:val="0"/>
        <w:widowControl w:val="0"/>
        <w:shd w:val="clear" w:color="auto" w:fill="auto"/>
        <w:tabs>
          <w:tab w:pos="861" w:val="left"/>
        </w:tabs>
        <w:bidi w:val="0"/>
        <w:spacing w:before="0" w:after="160" w:line="233" w:lineRule="exact"/>
        <w:ind w:left="0" w:right="0" w:firstLine="380"/>
        <w:jc w:val="both"/>
      </w:pPr>
      <w:bookmarkStart w:id="1635" w:name="bookmark1635"/>
      <w:r>
        <w:rPr>
          <w:color w:val="000000"/>
          <w:spacing w:val="0"/>
          <w:w w:val="100"/>
          <w:position w:val="0"/>
        </w:rPr>
        <w:t>（</w:t>
      </w:r>
      <w:bookmarkEnd w:id="163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日，公司所属子公司北京神州新桥科技有限公司与南京银行股份有限公司北京分行签订最高债权 额合同，编号</w:t>
      </w:r>
      <w:r>
        <w:rPr>
          <w:rFonts w:ascii="Times New Roman" w:eastAsia="Times New Roman" w:hAnsi="Times New Roman" w:cs="Times New Roman"/>
          <w:color w:val="000000"/>
          <w:spacing w:val="0"/>
          <w:w w:val="100"/>
          <w:position w:val="0"/>
          <w:sz w:val="18"/>
          <w:szCs w:val="18"/>
        </w:rPr>
        <w:t>“A0455152012170012”</w:t>
      </w:r>
      <w:r>
        <w:rPr>
          <w:color w:val="000000"/>
          <w:spacing w:val="0"/>
          <w:w w:val="100"/>
          <w:position w:val="0"/>
        </w:rPr>
        <w:t>，本合同项下最高债权额为人民币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万元，债权确定期间为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日，由张建华、王俭、周曙、江海标提供最高额保证担保。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日，双方签订借款合同，编号 </w:t>
      </w:r>
      <w:r>
        <w:rPr>
          <w:rFonts w:ascii="Times New Roman" w:eastAsia="Times New Roman" w:hAnsi="Times New Roman" w:cs="Times New Roman"/>
          <w:color w:val="000000"/>
          <w:spacing w:val="0"/>
          <w:w w:val="100"/>
          <w:position w:val="0"/>
          <w:sz w:val="18"/>
          <w:szCs w:val="18"/>
        </w:rPr>
        <w:t>“Ba155152103190001”</w:t>
      </w:r>
      <w:r>
        <w:rPr>
          <w:color w:val="000000"/>
          <w:spacing w:val="0"/>
          <w:w w:val="100"/>
          <w:position w:val="0"/>
        </w:rPr>
        <w:t>，</w:t>
      </w:r>
      <w:r>
        <w:rPr>
          <w:color w:val="000000"/>
          <w:spacing w:val="0"/>
          <w:w w:val="100"/>
          <w:position w:val="0"/>
        </w:rPr>
        <w:t>借款金额为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日，双方签订借款合同，编号</w:t>
      </w:r>
      <w:r>
        <w:rPr>
          <w:rFonts w:ascii="Times New Roman" w:eastAsia="Times New Roman" w:hAnsi="Times New Roman" w:cs="Times New Roman"/>
          <w:color w:val="000000"/>
          <w:spacing w:val="0"/>
          <w:w w:val="100"/>
          <w:position w:val="0"/>
          <w:sz w:val="18"/>
          <w:szCs w:val="18"/>
        </w:rPr>
        <w:t>“Ba155152103290005”</w:t>
      </w:r>
      <w:r>
        <w:rPr>
          <w:color w:val="000000"/>
          <w:spacing w:val="0"/>
          <w:w w:val="100"/>
          <w:position w:val="0"/>
        </w:rPr>
        <w:t>，借款 金额为</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日，北京神州新桥科技有限公司在该合同项下的借款余额为</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万元。</w:t>
      </w:r>
    </w:p>
    <w:p>
      <w:pPr>
        <w:pStyle w:val="Style18"/>
        <w:keepNext w:val="0"/>
        <w:keepLines w:val="0"/>
        <w:widowControl w:val="0"/>
        <w:shd w:val="clear" w:color="auto" w:fill="auto"/>
        <w:tabs>
          <w:tab w:pos="851" w:val="left"/>
        </w:tabs>
        <w:bidi w:val="0"/>
        <w:spacing w:before="0" w:after="380" w:line="245" w:lineRule="exact"/>
        <w:ind w:left="0" w:right="0" w:firstLine="380"/>
        <w:jc w:val="both"/>
      </w:pPr>
      <w:bookmarkStart w:id="1636" w:name="bookmark1636"/>
      <w:r>
        <w:rPr>
          <w:color w:val="000000"/>
          <w:spacing w:val="0"/>
          <w:w w:val="100"/>
          <w:position w:val="0"/>
        </w:rPr>
        <w:t>（</w:t>
      </w:r>
      <w:bookmarkEnd w:id="163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本期已贴现未到期不终止确认票据期末余额为</w:t>
      </w:r>
      <w:r>
        <w:rPr>
          <w:rFonts w:ascii="Times New Roman" w:eastAsia="Times New Roman" w:hAnsi="Times New Roman" w:cs="Times New Roman"/>
          <w:color w:val="000000"/>
          <w:spacing w:val="0"/>
          <w:w w:val="100"/>
          <w:position w:val="0"/>
          <w:sz w:val="18"/>
          <w:szCs w:val="18"/>
        </w:rPr>
        <w:t>60,394,598.24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22,031,871.55</w:t>
      </w:r>
      <w:r>
        <w:rPr>
          <w:color w:val="000000"/>
          <w:spacing w:val="0"/>
          <w:w w:val="100"/>
          <w:position w:val="0"/>
        </w:rPr>
        <w:t>元属于应收票据贴现并质押借 款。</w:t>
      </w:r>
    </w:p>
    <w:p>
      <w:pPr>
        <w:pStyle w:val="Style40"/>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37"/>
      <w:bookmarkEnd w:id="1638"/>
      <w:bookmarkEnd w:id="1640"/>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41"/>
      <w:bookmarkEnd w:id="1642"/>
      <w:bookmarkEnd w:id="164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45"/>
      <w:bookmarkEnd w:id="1646"/>
      <w:bookmarkEnd w:id="164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49"/>
      <w:bookmarkEnd w:id="1650"/>
      <w:bookmarkEnd w:id="1652"/>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9,120,441.00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147,753,802.60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115,341,195.92</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148,527,052.60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124,461,636.92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53"/>
      <w:bookmarkEnd w:id="1654"/>
      <w:bookmarkEnd w:id="1656"/>
    </w:p>
    <w:p>
      <w:pPr>
        <w:pStyle w:val="Style4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57"/>
      <w:bookmarkEnd w:id="1658"/>
      <w:bookmarkEnd w:id="166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1,971,326,140.65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1,454,145,044.66</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1,971,326,140.65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1,454,145,044.66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61"/>
      <w:bookmarkEnd w:id="1662"/>
      <w:bookmarkEnd w:id="1664"/>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270"/>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中国移动通信集团山东有限公司青岛分公司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14,648,598.44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北京明浩世纪科技有限公司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25,518,598.44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65"/>
      <w:bookmarkEnd w:id="1666"/>
      <w:bookmarkEnd w:id="166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69"/>
      <w:bookmarkEnd w:id="1670"/>
      <w:bookmarkEnd w:id="167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2,249,643,098.63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1,894,727,438.38</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2,249,643,098.63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1,894,727,438.38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73"/>
      <w:bookmarkEnd w:id="1674"/>
      <w:bookmarkEnd w:id="1676"/>
    </w:p>
    <w:p>
      <w:pPr>
        <w:pStyle w:val="Style40"/>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77"/>
      <w:bookmarkEnd w:id="1678"/>
      <w:bookmarkEnd w:id="16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12,164,686.81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1,744,728,610.99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1,744,268,095.65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12,625,202.15</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103,423,843.62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103,367,798.74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96,620.29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3,324,558.25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3,980,158.25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12,962,262.22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1,851,477,012.86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1,851,616,052.64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12,823,222.44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81"/>
      <w:bookmarkEnd w:id="1682"/>
      <w:bookmarkEnd w:id="16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843"/>
        <w:gridCol w:w="1843"/>
        <w:gridCol w:w="164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10,827,669.80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1,604,314,147.04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1,603,626,487.89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11,515,328.95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6,582,795.27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6,582,795.27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72,823,418.39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72,842,148.26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58,075.86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69,987,856.48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70,016,710.12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46,373.12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1,781,725.99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1,771,602.22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10,573.18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1,053,835.92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1,053,835.92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55,672,291.20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55,881,726.97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1,041,686.51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5,335,959.09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5,334,937.26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1,042,708.34</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12,164,686.81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1,744,728,610.99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1,744,268,095.65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12,625,202.15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85"/>
      <w:bookmarkEnd w:id="1686"/>
      <w:bookmarkEnd w:id="16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99,750,762.98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99,710,006.68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78,704.80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3,673,080.64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3,657,792.06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17,915.49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103,423,843.62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103,367,798.74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96,620.29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4</w:t>
      </w:r>
      <w:bookmarkEnd w:id="169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89"/>
      <w:bookmarkEnd w:id="1690"/>
      <w:bookmarkEnd w:id="169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60,538,992.19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48,915,343.68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12,147,153.73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12,079,487.84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13,295,088.06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11,835,714.72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1,251,440.36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1,286,186.91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499,358.05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506,557.69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345,662.83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342,639.20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200,599.60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75,659.64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79,011.29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153,337.54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238,509.77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35,504.77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88,548,297.63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75,395,282.77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93"/>
      <w:bookmarkEnd w:id="1694"/>
      <w:bookmarkEnd w:id="169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445,460,695.71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884,446,432.73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1,191,487,501.79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1,329,907,128.44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1,622,058,779.90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97"/>
      <w:bookmarkEnd w:id="1698"/>
      <w:bookmarkEnd w:id="170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01"/>
      <w:bookmarkEnd w:id="1702"/>
      <w:bookmarkEnd w:id="1704"/>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445,460,695.71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445,460,695.71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r>
    </w:tbl>
    <w:p>
      <w:pPr>
        <w:widowControl w:val="0"/>
        <w:spacing w:after="319" w:line="1" w:lineRule="exact"/>
      </w:pPr>
    </w:p>
    <w:p>
      <w:pPr>
        <w:pStyle w:val="Style40"/>
        <w:keepNext/>
        <w:keepLines/>
        <w:widowControl w:val="0"/>
        <w:numPr>
          <w:ilvl w:val="0"/>
          <w:numId w:val="71"/>
        </w:numPr>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其他应付款</w:t>
      </w:r>
      <w:bookmarkEnd w:id="1705"/>
      <w:bookmarkEnd w:id="1706"/>
      <w:bookmarkEnd w:id="1708"/>
    </w:p>
    <w:p>
      <w:pPr>
        <w:pStyle w:val="Style74"/>
        <w:keepNext/>
        <w:keepLines/>
        <w:widowControl w:val="0"/>
        <w:numPr>
          <w:ilvl w:val="0"/>
          <w:numId w:val="73"/>
        </w:numPr>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按款项性质列示其他应付款</w:t>
      </w:r>
      <w:bookmarkEnd w:id="1709"/>
      <w:bookmarkEnd w:id="1710"/>
      <w:bookmarkEnd w:id="171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49,738,975.95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44,373,568.36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15,598,781.44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8,526,988.63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819,108,675.34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1,138,535,944.80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884,446,432.73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1,191,487,501.79</w:t>
            </w:r>
          </w:p>
        </w:tc>
      </w:tr>
    </w:tbl>
    <w:p>
      <w:pPr>
        <w:widowControl w:val="0"/>
        <w:spacing w:after="319" w:line="1" w:lineRule="exact"/>
      </w:pPr>
    </w:p>
    <w:p>
      <w:pPr>
        <w:pStyle w:val="Style74"/>
        <w:keepNext/>
        <w:keepLines/>
        <w:widowControl w:val="0"/>
        <w:numPr>
          <w:ilvl w:val="0"/>
          <w:numId w:val="73"/>
        </w:numPr>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13"/>
      <w:bookmarkEnd w:id="1714"/>
      <w:bookmarkEnd w:id="17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728,323,749.91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用于上市公司业务发展，尚未偿还</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728,323,749.91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17"/>
      <w:bookmarkEnd w:id="1718"/>
      <w:bookmarkEnd w:id="172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4</w:t>
      </w:r>
      <w:bookmarkEnd w:id="172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21"/>
      <w:bookmarkEnd w:id="1722"/>
      <w:bookmarkEnd w:id="172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21,455,721.41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20,616,041.12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30,489,580.29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22,971,872.04</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51,945,301.70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43,587,913.16</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25"/>
      <w:bookmarkEnd w:id="1726"/>
      <w:bookmarkEnd w:id="1728"/>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应付融资性售后回租款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42,865,591.69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29,388,548.94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30,509,391.01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168,797,731.51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179,413,677.86</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211,663,323.20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239,311,617.81</w:t>
            </w:r>
          </w:p>
        </w:tc>
      </w:tr>
    </w:tbl>
    <w:p>
      <w:pPr>
        <w:widowControl w:val="0"/>
        <w:spacing w:after="3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729"/>
      <w:bookmarkEnd w:id="1730"/>
      <w:bookmarkEnd w:id="173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4</w:t>
      </w:r>
      <w:bookmarkEnd w:id="1735"/>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733"/>
      <w:bookmarkEnd w:id="1734"/>
      <w:bookmarkEnd w:id="1736"/>
    </w:p>
    <w:p>
      <w:pPr>
        <w:pStyle w:val="Style40"/>
        <w:keepNext/>
        <w:keepLines/>
        <w:widowControl w:val="0"/>
        <w:shd w:val="clear" w:color="auto" w:fill="auto"/>
        <w:tabs>
          <w:tab w:pos="493"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737"/>
      <w:bookmarkEnd w:id="1738"/>
      <w:bookmarkEnd w:id="174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741"/>
      <w:bookmarkEnd w:id="1742"/>
      <w:bookmarkEnd w:id="174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45"/>
      <w:bookmarkEnd w:id="1746"/>
      <w:bookmarkEnd w:id="174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49"/>
      <w:bookmarkEnd w:id="1750"/>
      <w:bookmarkEnd w:id="175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53"/>
      <w:bookmarkEnd w:id="1754"/>
      <w:bookmarkEnd w:id="17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51,809,549.84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64,753,674.92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51,809,549.84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64,753,674.92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2909"/>
        <w:gridCol w:w="3480"/>
        <w:gridCol w:w="3269"/>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34,730,148.83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27,158,342.92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29,534,557.10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26,719,554.84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18,147,149.33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23,002,888.05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4,211,234.12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15,248,444.61</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980,305.42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2,409,258.25</w:t>
            </w:r>
          </w:p>
        </w:tc>
      </w:tr>
    </w:tbl>
    <w:p>
      <w:pPr>
        <w:spacing w:lineRule="exact" w:line="1"/>
        <w:rPr>
          <w:sz w:val="2"/>
          <w:szCs w:val="2"/>
        </w:rPr>
      </w:pPr>
      <w:r>
        <w:br w:type="page"/>
      </w:r>
    </w:p>
    <w:tbl>
      <w:tblPr>
        <w:tblOverlap w:val="never"/>
        <w:jc w:val="center"/>
        <w:tblLayout w:type="fixed"/>
      </w:tblPr>
      <w:tblGrid>
        <w:gridCol w:w="2909"/>
        <w:gridCol w:w="3480"/>
        <w:gridCol w:w="326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599,942.92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租赁付款额总额小计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87,603,394.80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95,138,431.59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5,304,264.67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7,412,884.63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租赁付款额现值小计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82,299,130.13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87,725,546.96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30,489,580.29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22,971,872.04</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51,809,549.84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64,753,674.92</w:t>
            </w:r>
          </w:p>
        </w:tc>
      </w:tr>
    </w:tbl>
    <w:p>
      <w:pPr>
        <w:widowControl w:val="0"/>
        <w:spacing w:after="1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本期确认租赁负债利息费用</w:t>
      </w:r>
      <w:r>
        <w:rPr>
          <w:rFonts w:ascii="Times New Roman" w:eastAsia="Times New Roman" w:hAnsi="Times New Roman" w:cs="Times New Roman"/>
          <w:color w:val="000000"/>
          <w:spacing w:val="0"/>
          <w:w w:val="100"/>
          <w:position w:val="0"/>
          <w:sz w:val="18"/>
          <w:szCs w:val="18"/>
        </w:rPr>
        <w:t>3,831,164.79</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4</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57"/>
      <w:bookmarkEnd w:id="1758"/>
      <w:bookmarkEnd w:id="176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21,930,116.15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43,125,062.43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21,930,116.15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43,125,062.43</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61"/>
      <w:bookmarkEnd w:id="1762"/>
      <w:bookmarkEnd w:id="176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应付融资性售后回租款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7,679,958.69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13,052,537.08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35,705,878.87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49,283,232.41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1,405,334.06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21,455,721.41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20,616,041.12</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21,930,116.15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43,125,062.43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8"/>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应收账款质押借款是公司所属子公司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东华互联宜家数据服务有限公司及贵阳分公司与贵州广电传媒集团有限公司签订 的《应收账款债权转让及回购协议》形成。</w:t>
      </w:r>
    </w:p>
    <w:p>
      <w:pPr>
        <w:pStyle w:val="Style40"/>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65"/>
      <w:bookmarkEnd w:id="1766"/>
      <w:bookmarkEnd w:id="1768"/>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4</w:t>
      </w:r>
      <w:bookmarkEnd w:id="177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69"/>
      <w:bookmarkEnd w:id="1770"/>
      <w:bookmarkEnd w:id="1772"/>
    </w:p>
    <w:p>
      <w:pPr>
        <w:pStyle w:val="Style40"/>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73"/>
      <w:bookmarkEnd w:id="1774"/>
      <w:bookmarkEnd w:id="1776"/>
    </w:p>
    <w:p>
      <w:pPr>
        <w:pStyle w:val="Style18"/>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numPr>
          <w:ilvl w:val="0"/>
          <w:numId w:val="75"/>
        </w:numPr>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设定受益计划变动情况</w:t>
      </w:r>
      <w:bookmarkEnd w:id="1777"/>
      <w:bookmarkEnd w:id="1778"/>
      <w:bookmarkEnd w:id="178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5</w:t>
      </w:r>
      <w:bookmarkEnd w:id="178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81"/>
      <w:bookmarkEnd w:id="1782"/>
      <w:bookmarkEnd w:id="178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85"/>
      <w:bookmarkEnd w:id="1786"/>
      <w:bookmarkEnd w:id="17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与资产相关政府补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13,964,216.42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71,958,500.00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10,667,486.18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75,255,230.24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与收益相关政府补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71,958,500.00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10,667,486.18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87,525,230.24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133"/>
        <w:gridCol w:w="1133"/>
        <w:gridCol w:w="1277"/>
        <w:gridCol w:w="1133"/>
        <w:gridCol w:w="1133"/>
        <w:gridCol w:w="427"/>
        <w:gridCol w:w="1046"/>
        <w:gridCol w:w="1018"/>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超大规模数据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智能分析平台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497,709.40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电力装备智能</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运维平台关键</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技术研究及应</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529,587.90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基于大数据的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3,862,759.83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大数据及人工 智能技术健康 监测分析与管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1,715,458.58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基于住院病案</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首页的慢病多 源数据整合与 交换机制研究</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715,120.96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0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基于人工智能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的人禽传递耐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133"/>
        <w:gridCol w:w="1133"/>
        <w:gridCol w:w="1277"/>
        <w:gridCol w:w="1133"/>
        <w:gridCol w:w="1133"/>
        <w:gridCol w:w="427"/>
        <w:gridCol w:w="1046"/>
        <w:gridCol w:w="1018"/>
      </w:tblGrid>
      <w:tr>
        <w:trPr>
          <w:trHeight w:val="10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药菌快速识别</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和防控技术体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工业互联网标</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识解析基础软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硬件协同开发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552,194.15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0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面向医疗装备 领域的创新成 果产业化公共 服务平台项目</w:t>
            </w:r>
          </w:p>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实施协议（国 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1,562,619.47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年关键软 件适配验证中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91,401.16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882,098.84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高清</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像机及关键技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深圳市财政委 员会军民融合 专项资金第四 批自助计划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深圳市军民融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合专项资金第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一批项目资助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0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深圳市工业和 信息化局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年新冠肺炎疫 情防控重点物 资生产企业技 术改造项目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深圳市龙岗区 财政局防控疫 情物资生产企 业专项扶持补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321,164.97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年深圳市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军民融合发展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286"/>
        <w:gridCol w:w="1133"/>
        <w:gridCol w:w="1133"/>
        <w:gridCol w:w="1277"/>
        <w:gridCol w:w="1133"/>
        <w:gridCol w:w="1133"/>
        <w:gridCol w:w="427"/>
        <w:gridCol w:w="1046"/>
        <w:gridCol w:w="1018"/>
      </w:tblGrid>
      <w:tr>
        <w:trPr>
          <w:trHeight w:val="10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专项资金第一 批项目资助计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4" w:lineRule="exact"/>
              <w:ind w:left="0" w:right="0" w:firstLine="0"/>
              <w:jc w:val="left"/>
            </w:pPr>
            <w:r>
              <w:rPr>
                <w:color w:val="000000"/>
                <w:spacing w:val="0"/>
                <w:w w:val="100"/>
                <w:position w:val="0"/>
              </w:rPr>
              <w:t>东华软件全国 副中心项目落 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产业资金扶 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1,481,666.62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62,018,333.3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宁波国家高新 区管委会拨付 装修及设备补 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4,010,353.33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3,153,140.00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857,213.33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山西转型综合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改革示范区信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71,958,500.00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10,667,486.18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87,525,230.2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89"/>
      <w:bookmarkEnd w:id="1790"/>
      <w:bookmarkEnd w:id="179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93"/>
      <w:bookmarkEnd w:id="1794"/>
      <w:bookmarkEnd w:id="179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277"/>
        <w:gridCol w:w="955"/>
        <w:gridCol w:w="1200"/>
        <w:gridCol w:w="682"/>
        <w:gridCol w:w="1277"/>
        <w:gridCol w:w="1637"/>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3,205,482,375.00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18"/>
        <w:keepNext w:val="0"/>
        <w:keepLines w:val="0"/>
        <w:widowControl w:val="0"/>
        <w:shd w:val="clear" w:color="auto" w:fill="auto"/>
        <w:bidi w:val="0"/>
        <w:spacing w:before="0" w:after="380" w:line="245" w:lineRule="exact"/>
        <w:ind w:left="0" w:right="0" w:firstLine="380"/>
        <w:jc w:val="left"/>
      </w:pPr>
      <w:r>
        <w:rPr>
          <w:color w:val="000000"/>
          <w:spacing w:val="0"/>
          <w:w w:val="100"/>
          <w:position w:val="0"/>
        </w:rPr>
        <w:t>公司股本业经大华会计师事务所（特殊普通合伙）于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[2021]000672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 认。</w:t>
      </w:r>
    </w:p>
    <w:p>
      <w:pPr>
        <w:pStyle w:val="Style29"/>
        <w:keepNext/>
        <w:keepLines/>
        <w:widowControl w:val="0"/>
        <w:shd w:val="clear" w:color="auto" w:fill="auto"/>
        <w:tabs>
          <w:tab w:pos="483"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97"/>
      <w:bookmarkEnd w:id="1798"/>
      <w:bookmarkEnd w:id="1800"/>
    </w:p>
    <w:p>
      <w:pPr>
        <w:pStyle w:val="Style18"/>
        <w:keepNext w:val="0"/>
        <w:keepLines w:val="0"/>
        <w:widowControl w:val="0"/>
        <w:shd w:val="clear" w:color="auto" w:fill="auto"/>
        <w:bidi w:val="0"/>
        <w:spacing w:before="0" w:after="380" w:line="28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5</w:t>
      </w:r>
      <w:bookmarkEnd w:id="180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801"/>
      <w:bookmarkEnd w:id="1802"/>
      <w:bookmarkEnd w:id="180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627"/>
        <w:gridCol w:w="2213"/>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2,137,392,795.76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515,394,839.86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2,652,787,635.62</w:t>
            </w:r>
          </w:p>
        </w:tc>
      </w:tr>
    </w:tbl>
    <w:p>
      <w:pPr>
        <w:spacing w:lineRule="exact" w:line="1"/>
        <w:rPr>
          <w:sz w:val="2"/>
          <w:szCs w:val="2"/>
        </w:rPr>
      </w:pPr>
      <w:r>
        <w:br w:type="page"/>
      </w:r>
    </w:p>
    <w:tbl>
      <w:tblPr>
        <w:tblOverlap w:val="never"/>
        <w:jc w:val="center"/>
        <w:tblLayout w:type="fixed"/>
      </w:tblPr>
      <w:tblGrid>
        <w:gridCol w:w="1920"/>
        <w:gridCol w:w="1915"/>
        <w:gridCol w:w="1915"/>
        <w:gridCol w:w="1627"/>
        <w:gridCol w:w="2213"/>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19,513,072.41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96,937,299.01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116,450,371.42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2,156,905,868.17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612,332,138.87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2,769,238,007.04</w:t>
            </w:r>
          </w:p>
        </w:tc>
      </w:tr>
    </w:tbl>
    <w:p>
      <w:pPr>
        <w:widowControl w:val="0"/>
        <w:spacing w:after="59" w:line="1" w:lineRule="exact"/>
      </w:pPr>
    </w:p>
    <w:p>
      <w:pPr>
        <w:pStyle w:val="Style18"/>
        <w:keepNext w:val="0"/>
        <w:keepLines w:val="0"/>
        <w:widowControl w:val="0"/>
        <w:shd w:val="clear" w:color="auto" w:fill="auto"/>
        <w:bidi w:val="0"/>
        <w:spacing w:before="0" w:after="180" w:line="235" w:lineRule="exact"/>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tabs>
          <w:tab w:pos="825" w:val="left"/>
        </w:tabs>
        <w:bidi w:val="0"/>
        <w:spacing w:before="0" w:after="140" w:line="235" w:lineRule="exact"/>
        <w:ind w:left="0" w:right="0" w:firstLine="380"/>
        <w:jc w:val="both"/>
      </w:pPr>
      <w:bookmarkStart w:id="1805" w:name="bookmark1805"/>
      <w:r>
        <w:rPr>
          <w:color w:val="000000"/>
          <w:spacing w:val="0"/>
          <w:w w:val="100"/>
          <w:position w:val="0"/>
        </w:rPr>
        <w:t>（</w:t>
      </w:r>
      <w:bookmarkEnd w:id="18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月，公司向特定发行对象发行人民币普通股，增加股本溢价</w:t>
      </w:r>
      <w:r>
        <w:rPr>
          <w:rFonts w:ascii="Times New Roman" w:eastAsia="Times New Roman" w:hAnsi="Times New Roman" w:cs="Times New Roman"/>
          <w:color w:val="000000"/>
          <w:spacing w:val="0"/>
          <w:w w:val="100"/>
          <w:position w:val="0"/>
          <w:sz w:val="18"/>
          <w:szCs w:val="18"/>
        </w:rPr>
        <w:t>515,394,839.86</w:t>
      </w:r>
      <w:r>
        <w:rPr>
          <w:color w:val="000000"/>
          <w:spacing w:val="0"/>
          <w:w w:val="100"/>
          <w:position w:val="0"/>
        </w:rPr>
        <w:t>元。</w:t>
      </w:r>
    </w:p>
    <w:p>
      <w:pPr>
        <w:pStyle w:val="Style18"/>
        <w:keepNext w:val="0"/>
        <w:keepLines w:val="0"/>
        <w:widowControl w:val="0"/>
        <w:shd w:val="clear" w:color="auto" w:fill="auto"/>
        <w:tabs>
          <w:tab w:pos="901" w:val="left"/>
        </w:tabs>
        <w:bidi w:val="0"/>
        <w:spacing w:before="0" w:after="140" w:line="230" w:lineRule="exact"/>
        <w:ind w:left="0" w:right="0" w:firstLine="380"/>
        <w:jc w:val="both"/>
      </w:pPr>
      <w:bookmarkStart w:id="1806" w:name="bookmark1806"/>
      <w:r>
        <w:rPr>
          <w:color w:val="000000"/>
          <w:spacing w:val="0"/>
          <w:w w:val="100"/>
          <w:position w:val="0"/>
        </w:rPr>
        <w:t>（</w:t>
      </w:r>
      <w:bookmarkEnd w:id="1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公司子公司转让其持有的广东东华发思特软件有限公司部分股权，导致公司享有的该公司净资产份额变动，增加 其他资本公积</w:t>
      </w:r>
      <w:r>
        <w:rPr>
          <w:rFonts w:ascii="Times New Roman" w:eastAsia="Times New Roman" w:hAnsi="Times New Roman" w:cs="Times New Roman"/>
          <w:color w:val="000000"/>
          <w:spacing w:val="0"/>
          <w:w w:val="100"/>
          <w:position w:val="0"/>
          <w:sz w:val="18"/>
          <w:szCs w:val="18"/>
        </w:rPr>
        <w:t>331,195.82</w:t>
      </w:r>
      <w:r>
        <w:rPr>
          <w:color w:val="000000"/>
          <w:spacing w:val="0"/>
          <w:w w:val="100"/>
          <w:position w:val="0"/>
        </w:rPr>
        <w:t>元。</w:t>
      </w:r>
    </w:p>
    <w:p>
      <w:pPr>
        <w:pStyle w:val="Style18"/>
        <w:keepNext w:val="0"/>
        <w:keepLines w:val="0"/>
        <w:widowControl w:val="0"/>
        <w:shd w:val="clear" w:color="auto" w:fill="auto"/>
        <w:tabs>
          <w:tab w:pos="901" w:val="left"/>
        </w:tabs>
        <w:bidi w:val="0"/>
        <w:spacing w:before="0" w:after="140" w:line="235" w:lineRule="exact"/>
        <w:ind w:left="0" w:right="0" w:firstLine="380"/>
        <w:jc w:val="both"/>
      </w:pPr>
      <w:bookmarkStart w:id="1807" w:name="bookmark1807"/>
      <w:r>
        <w:rPr>
          <w:color w:val="000000"/>
          <w:spacing w:val="0"/>
          <w:w w:val="100"/>
          <w:position w:val="0"/>
        </w:rPr>
        <w:t>（</w:t>
      </w:r>
      <w:bookmarkEnd w:id="18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月，公司转让子公司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北京东华博泰科技有限公司部分股权，导致公司享有的该公司净资产份额变动，增 加其他资本公积</w:t>
      </w:r>
      <w:r>
        <w:rPr>
          <w:rFonts w:ascii="Times New Roman" w:eastAsia="Times New Roman" w:hAnsi="Times New Roman" w:cs="Times New Roman"/>
          <w:color w:val="000000"/>
          <w:spacing w:val="0"/>
          <w:w w:val="100"/>
          <w:position w:val="0"/>
          <w:sz w:val="18"/>
          <w:szCs w:val="18"/>
        </w:rPr>
        <w:t>17,301,940.50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月，北京东华博泰科技有限公司新增外部股东出资，公司持股比例降低，导致公 司享有的该公司净资产份额变动，增加其他资本公积</w:t>
      </w:r>
      <w:r>
        <w:rPr>
          <w:rFonts w:ascii="Times New Roman" w:eastAsia="Times New Roman" w:hAnsi="Times New Roman" w:cs="Times New Roman"/>
          <w:color w:val="000000"/>
          <w:spacing w:val="0"/>
          <w:w w:val="100"/>
          <w:position w:val="0"/>
          <w:sz w:val="18"/>
          <w:szCs w:val="18"/>
        </w:rPr>
        <w:t>1,196,988.53</w:t>
      </w:r>
      <w:r>
        <w:rPr>
          <w:color w:val="000000"/>
          <w:spacing w:val="0"/>
          <w:w w:val="100"/>
          <w:position w:val="0"/>
        </w:rPr>
        <w:t>元。</w:t>
      </w:r>
    </w:p>
    <w:p>
      <w:pPr>
        <w:pStyle w:val="Style18"/>
        <w:keepNext w:val="0"/>
        <w:keepLines w:val="0"/>
        <w:widowControl w:val="0"/>
        <w:shd w:val="clear" w:color="auto" w:fill="auto"/>
        <w:tabs>
          <w:tab w:pos="825" w:val="left"/>
        </w:tabs>
        <w:bidi w:val="0"/>
        <w:spacing w:before="0" w:after="180" w:line="235" w:lineRule="exact"/>
        <w:ind w:left="0" w:right="0" w:firstLine="380"/>
        <w:jc w:val="both"/>
      </w:pPr>
      <w:bookmarkStart w:id="1808" w:name="bookmark1808"/>
      <w:r>
        <w:rPr>
          <w:color w:val="000000"/>
          <w:spacing w:val="0"/>
          <w:w w:val="100"/>
          <w:position w:val="0"/>
        </w:rPr>
        <w:t>（</w:t>
      </w:r>
      <w:bookmarkEnd w:id="18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因权益法核算的长期股权投资被投资单位其他权益变动减少其他资本公积</w:t>
      </w:r>
      <w:r>
        <w:rPr>
          <w:rFonts w:ascii="Times New Roman" w:eastAsia="Times New Roman" w:hAnsi="Times New Roman" w:cs="Times New Roman"/>
          <w:color w:val="000000"/>
          <w:spacing w:val="0"/>
          <w:w w:val="100"/>
          <w:position w:val="0"/>
          <w:sz w:val="18"/>
          <w:szCs w:val="18"/>
        </w:rPr>
        <w:t>94,617.56</w:t>
      </w:r>
      <w:r>
        <w:rPr>
          <w:color w:val="000000"/>
          <w:spacing w:val="0"/>
          <w:w w:val="100"/>
          <w:position w:val="0"/>
        </w:rPr>
        <w:t>元。</w:t>
      </w:r>
    </w:p>
    <w:p>
      <w:pPr>
        <w:pStyle w:val="Style18"/>
        <w:keepNext w:val="0"/>
        <w:keepLines w:val="0"/>
        <w:widowControl w:val="0"/>
        <w:shd w:val="clear" w:color="auto" w:fill="auto"/>
        <w:tabs>
          <w:tab w:pos="825" w:val="left"/>
        </w:tabs>
        <w:bidi w:val="0"/>
        <w:spacing w:before="0" w:after="340" w:line="235" w:lineRule="exact"/>
        <w:ind w:left="0" w:right="0" w:firstLine="380"/>
        <w:jc w:val="both"/>
      </w:pPr>
      <w:bookmarkStart w:id="1809" w:name="bookmark1809"/>
      <w:r>
        <w:rPr>
          <w:color w:val="000000"/>
          <w:spacing w:val="0"/>
          <w:w w:val="100"/>
          <w:position w:val="0"/>
        </w:rPr>
        <w:t>（</w:t>
      </w:r>
      <w:bookmarkEnd w:id="18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因子公司北京东华博泰科技有限公司其他权益变动增加其他资本公积</w:t>
      </w:r>
      <w:r>
        <w:rPr>
          <w:rFonts w:ascii="Times New Roman" w:eastAsia="Times New Roman" w:hAnsi="Times New Roman" w:cs="Times New Roman"/>
          <w:color w:val="000000"/>
          <w:spacing w:val="0"/>
          <w:w w:val="100"/>
          <w:position w:val="0"/>
          <w:sz w:val="18"/>
          <w:szCs w:val="18"/>
        </w:rPr>
        <w:t>78,201,791.72</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10"/>
      <w:bookmarkEnd w:id="1811"/>
      <w:bookmarkEnd w:id="181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5</w:t>
      </w:r>
      <w:bookmarkEnd w:id="181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14"/>
      <w:bookmarkEnd w:id="1815"/>
      <w:bookmarkEnd w:id="1817"/>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33"/>
        <w:gridCol w:w="1133"/>
        <w:gridCol w:w="1277"/>
        <w:gridCol w:w="1416"/>
        <w:gridCol w:w="710"/>
        <w:gridCol w:w="994"/>
        <w:gridCol w:w="619"/>
        <w:gridCol w:w="734"/>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 额</w:t>
            </w:r>
          </w:p>
        </w:tc>
      </w:tr>
      <w:tr>
        <w:trPr>
          <w:trHeight w:val="10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减：前期计入其 他综合收益当 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减:前期计入其他 综合收益当期转 入留存收益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二、将重分类进损 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-1,313,176.6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外币财务报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-1,313,176.6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-1,313,176.6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18"/>
      <w:bookmarkEnd w:id="1819"/>
      <w:bookmarkEnd w:id="182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22"/>
      <w:bookmarkEnd w:id="1823"/>
      <w:bookmarkEnd w:id="1825"/>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738,291,318.03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33,652,536.27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771,943,854.30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738,291,318.03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33,652,536.27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771,943,854.30</w:t>
            </w:r>
          </w:p>
        </w:tc>
      </w:tr>
    </w:tbl>
    <w:p>
      <w:pPr>
        <w:pStyle w:val="Style29"/>
        <w:keepNext/>
        <w:keepLines/>
        <w:widowControl w:val="0"/>
        <w:shd w:val="clear" w:color="auto" w:fill="auto"/>
        <w:bidi w:val="0"/>
        <w:spacing w:before="0" w:after="42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26"/>
      <w:bookmarkEnd w:id="1827"/>
      <w:bookmarkEnd w:id="182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459,524,309.55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550,377,093.90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33,652,536.27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4,176,011,809.28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3,905,914,154.75</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445" w:val="left"/>
        </w:tabs>
        <w:bidi w:val="0"/>
        <w:spacing w:before="0" w:after="160" w:line="240" w:lineRule="auto"/>
        <w:ind w:left="0" w:right="0" w:firstLine="0"/>
        <w:jc w:val="left"/>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445" w:val="left"/>
        </w:tabs>
        <w:bidi w:val="0"/>
        <w:spacing w:before="0" w:after="160" w:line="240" w:lineRule="auto"/>
        <w:ind w:left="0" w:right="0" w:firstLine="0"/>
        <w:jc w:val="left"/>
      </w:pPr>
      <w:bookmarkStart w:id="1831" w:name="bookmark1831"/>
      <w:r>
        <w:rPr>
          <w:color w:val="000000"/>
          <w:spacing w:val="0"/>
          <w:w w:val="100"/>
          <w:position w:val="0"/>
        </w:rPr>
        <w:t>（</w:t>
      </w:r>
      <w:bookmarkEnd w:id="18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445" w:val="left"/>
        </w:tabs>
        <w:bidi w:val="0"/>
        <w:spacing w:before="0" w:after="160" w:line="240" w:lineRule="auto"/>
        <w:ind w:left="0" w:right="0" w:firstLine="0"/>
        <w:jc w:val="left"/>
      </w:pPr>
      <w:bookmarkStart w:id="1832" w:name="bookmark1832"/>
      <w:r>
        <w:rPr>
          <w:color w:val="000000"/>
          <w:spacing w:val="0"/>
          <w:w w:val="100"/>
          <w:position w:val="0"/>
        </w:rPr>
        <w:t>（</w:t>
      </w:r>
      <w:bookmarkEnd w:id="18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445" w:val="left"/>
        </w:tabs>
        <w:bidi w:val="0"/>
        <w:spacing w:before="0" w:after="160" w:line="240" w:lineRule="auto"/>
        <w:ind w:left="0" w:right="0" w:firstLine="0"/>
        <w:jc w:val="left"/>
      </w:pPr>
      <w:bookmarkStart w:id="1833" w:name="bookmark1833"/>
      <w:r>
        <w:rPr>
          <w:color w:val="000000"/>
          <w:spacing w:val="0"/>
          <w:w w:val="100"/>
          <w:position w:val="0"/>
        </w:rPr>
        <w:t>（</w:t>
      </w:r>
      <w:bookmarkEnd w:id="18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445" w:val="left"/>
        </w:tabs>
        <w:bidi w:val="0"/>
        <w:spacing w:before="0" w:after="420" w:line="240" w:lineRule="auto"/>
        <w:ind w:left="0" w:right="0" w:firstLine="0"/>
        <w:jc w:val="left"/>
      </w:pPr>
      <w:bookmarkStart w:id="1834" w:name="bookmark1834"/>
      <w:r>
        <w:rPr>
          <w:color w:val="000000"/>
          <w:spacing w:val="0"/>
          <w:w w:val="100"/>
          <w:position w:val="0"/>
        </w:rPr>
        <w:t>（</w:t>
      </w:r>
      <w:bookmarkEnd w:id="18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6</w:t>
      </w:r>
      <w:bookmarkEnd w:id="183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35"/>
      <w:bookmarkEnd w:id="1836"/>
      <w:bookmarkEnd w:id="183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10,880,730,728.42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8,355,548,190.37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9,165,354,220.40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7,057,397,442.66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3,557,914.67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3,301,251.91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10,884,288,643.09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8,358,849,442.28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7,058,682,661.98</w:t>
            </w:r>
          </w:p>
        </w:tc>
      </w:tr>
    </w:tbl>
    <w:p>
      <w:pPr>
        <w:widowControl w:val="0"/>
        <w:spacing w:after="99" w:line="1" w:lineRule="exact"/>
      </w:pPr>
    </w:p>
    <w:p>
      <w:pPr>
        <w:pStyle w:val="Style18"/>
        <w:keepNext w:val="0"/>
        <w:keepLines w:val="0"/>
        <w:widowControl w:val="0"/>
        <w:shd w:val="clear" w:color="auto" w:fill="auto"/>
        <w:bidi w:val="0"/>
        <w:spacing w:before="0" w:after="160" w:line="230" w:lineRule="exact"/>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line="26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30"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line="23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30"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60" w:line="230" w:lineRule="exact"/>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14,578,188,842.93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7,815,243,399.85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5,749,948,943.9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1,012,996,499.18</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29"/>
        <w:keepNext/>
        <w:keepLines/>
        <w:widowControl w:val="0"/>
        <w:shd w:val="clear" w:color="auto" w:fill="auto"/>
        <w:bidi w:val="0"/>
        <w:spacing w:before="0" w:after="36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w:t>
      </w:r>
      <w:bookmarkEnd w:id="184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39"/>
      <w:bookmarkEnd w:id="1840"/>
      <w:bookmarkEnd w:id="1842"/>
    </w:p>
    <w:p>
      <w:pPr>
        <w:pStyle w:val="Style18"/>
        <w:keepNext w:val="0"/>
        <w:keepLines w:val="0"/>
        <w:widowControl w:val="0"/>
        <w:shd w:val="clear" w:color="auto" w:fill="auto"/>
        <w:bidi w:val="0"/>
        <w:spacing w:before="0" w:line="230"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10,752,192.19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9,619,937.34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4,617,540.42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4,092,918.03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2,980,600.41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1,269,055.54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509,417.75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154,763.38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89,062.99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3,886,933.42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3,856,491.15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3,088,477.89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2,728,487.63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139,611.73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防洪保安费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6,668.58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14,722.79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26,010,470.83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21,956,996.37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6</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43"/>
      <w:bookmarkEnd w:id="1844"/>
      <w:bookmarkEnd w:id="184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267,364,289.56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214,925,462.74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38,245,150.87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48,903,655.34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54,069,266.19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35,909,526.02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26,814,731.59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22,771,111.36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28,035.55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1,420,389.50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9,558,977.15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11,670,235.00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27,961,053.90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34,025,974.22</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425,437,459.35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368,234,000.23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47"/>
      <w:bookmarkEnd w:id="1848"/>
      <w:bookmarkEnd w:id="185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380,378,768.09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330,498,289.12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35,713,992.17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43,462,764.06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50,260,037.10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37,394,125.03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24,381,763.45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16,455,046.37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15,318,472.76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11,429,272.20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5,910,606.66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111,017,336.15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74,864,437.45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145,264,500.00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774,900,715.53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507,448,695.08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51"/>
      <w:bookmarkEnd w:id="1852"/>
      <w:bookmarkEnd w:id="185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598,002,298.76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503,832,973.09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94,966,487.27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62,610,297.16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2,185,828.88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6,586,105.15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12,581,237.56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10,982,303.58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3,582,627.39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3,512,026.00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38,735,879.59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3,089,124.43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3,022,635.27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10,262,526.71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9,351,755.55</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728,182,157.00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635,121,949.39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55"/>
      <w:bookmarkEnd w:id="1856"/>
      <w:bookmarkEnd w:id="185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128,745,933.98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107,702,705.11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13,167,977.48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17,404,194.69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12,807,964.62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24,840,703.97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21,565,661.72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10,478,928.09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-13,788,682.45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-9,037,383.50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1,284,039.75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8,546,919.80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3,383,901.43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12,260,915.97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6,915,765.35</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114,634,207.44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92,333,590.77</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6</w:t>
      </w:r>
      <w:bookmarkEnd w:id="186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59"/>
      <w:bookmarkEnd w:id="1860"/>
      <w:bookmarkEnd w:id="1862"/>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106,096,927.56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150,710,429.46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685,959.31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3,616,225.81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3,650,827.28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1,313,580.68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6,882.23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110,433,714.15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155,647,118.18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6</w:t>
      </w:r>
      <w:bookmarkEnd w:id="186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63"/>
      <w:bookmarkEnd w:id="1864"/>
      <w:bookmarkEnd w:id="186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-3,485,112.41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-1,262,785.02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-17,309.18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-1,533,650.79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r>
    </w:tbl>
    <w:p>
      <w:pPr>
        <w:widowControl w:val="0"/>
        <w:spacing w:after="3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67"/>
      <w:bookmarkEnd w:id="1868"/>
      <w:bookmarkEnd w:id="187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71"/>
      <w:bookmarkEnd w:id="1872"/>
      <w:bookmarkEnd w:id="1874"/>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7</w:t>
      </w:r>
      <w:bookmarkEnd w:id="187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75"/>
      <w:bookmarkEnd w:id="1876"/>
      <w:bookmarkEnd w:id="187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-201,793,399.72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-13,862,618.38</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-201,793,399.72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-13,862,618.38</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79"/>
      <w:bookmarkEnd w:id="1880"/>
      <w:bookmarkEnd w:id="188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-1,288,787.37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-17,393,337.63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-15,303,136.88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-8,709,925.95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-21,178,329.82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15,895,856.03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-53,253,665.28</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5,897,142.71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-107,128,469.61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83"/>
      <w:bookmarkEnd w:id="1884"/>
      <w:bookmarkEnd w:id="188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87"/>
      <w:bookmarkEnd w:id="1888"/>
      <w:bookmarkEnd w:id="189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4,928,596.77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3,177,795.40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4,928,596.77</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10,928,596.77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13,350,569.82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10,928,596.77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850"/>
        <w:gridCol w:w="1066"/>
        <w:gridCol w:w="1061"/>
        <w:gridCol w:w="1061"/>
        <w:gridCol w:w="1066"/>
        <w:gridCol w:w="1061"/>
        <w:gridCol w:w="1066"/>
        <w:gridCol w:w="1070"/>
      </w:tblGrid>
      <w:tr>
        <w:trPr>
          <w:trHeight w:val="7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91"/>
      <w:bookmarkEnd w:id="1892"/>
      <w:bookmarkEnd w:id="189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3,618,909.61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1,709,248.42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3,618,909.61</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税收罚款及滞纳金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716,781.91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6,226,486.10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395,381.31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6,226,486.10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10,357,395.71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3,142,411.64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10,357,395.71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7</w:t>
      </w:r>
      <w:bookmarkEnd w:id="189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95"/>
      <w:bookmarkEnd w:id="1896"/>
      <w:bookmarkEnd w:id="1898"/>
    </w:p>
    <w:p>
      <w:pPr>
        <w:pStyle w:val="Style40"/>
        <w:keepNext/>
        <w:keepLines/>
        <w:widowControl w:val="0"/>
        <w:shd w:val="clear" w:color="auto" w:fill="auto"/>
        <w:bidi w:val="0"/>
        <w:spacing w:before="0" w:after="400" w:line="240" w:lineRule="auto"/>
        <w:ind w:left="0" w:right="0" w:firstLine="0"/>
        <w:jc w:val="both"/>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99"/>
      <w:bookmarkEnd w:id="1900"/>
      <w:bookmarkEnd w:id="190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16,777,120.53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19,313,095.25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-12,280,050.72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2,012,378.83</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4,497,069.81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21,325,474.08</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03"/>
      <w:bookmarkEnd w:id="1904"/>
      <w:bookmarkEnd w:id="190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382,880,057.27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38,288,005.73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-33,226,372.14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1,092,892.98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-2,906,214.64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4,561,138.63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-5,742,114.82</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117,261,002.64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技术开发费及残疾人工资加计扣除的影响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-124,265,261.47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21,789,675.00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计提商誉减值准备的影响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-10,664,459.55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-1,691,222.55</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4,497,069.81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7</w:t>
      </w:r>
      <w:bookmarkEnd w:id="190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907"/>
      <w:bookmarkEnd w:id="1908"/>
      <w:bookmarkEnd w:id="191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详见附注六注释</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7</w:t>
      </w:r>
      <w:bookmarkEnd w:id="1913"/>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911"/>
      <w:bookmarkEnd w:id="1912"/>
      <w:bookmarkEnd w:id="1914"/>
    </w:p>
    <w:p>
      <w:pPr>
        <w:pStyle w:val="Style40"/>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15"/>
      <w:bookmarkEnd w:id="1916"/>
      <w:bookmarkEnd w:id="191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12,807,964.62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8,757,370.64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90,101,458.31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60,211,791.15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77,767,909.88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283,387,922.31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4,296,472.99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3,319,027.04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收回受限的保证金等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183,655,553.96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46,093,246.53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368,629,359.76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401,769,357.67</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18"/>
      <w:bookmarkEnd w:id="1919"/>
      <w:bookmarkEnd w:id="192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150,695,620.60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153,379,027.05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133,896,586.64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105,510,645.47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109,118,612.09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97,448,445.21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8,546,919.80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3,383,901.43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170,122,087.21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263,035,027.21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支付受限的保证金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115,337,450.44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44,841,530.50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2,387,772.55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7,909,500.00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11,797,004.49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3,074,250.40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701,902,053.82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678,582,327.27</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21"/>
      <w:bookmarkEnd w:id="1922"/>
      <w:bookmarkEnd w:id="192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925"/>
      <w:bookmarkEnd w:id="1926"/>
      <w:bookmarkEnd w:id="192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929"/>
      <w:bookmarkEnd w:id="1930"/>
      <w:bookmarkEnd w:id="1932"/>
    </w:p>
    <w:p>
      <w:pPr>
        <w:pStyle w:val="Style1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251,604,391.01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期末未终止确认的应收票据贴现款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59,721,501.38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76,721,501.38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251,604,391.01</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33"/>
      <w:bookmarkEnd w:id="1934"/>
      <w:bookmarkEnd w:id="193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330,286,235.45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452,435,829.09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新租赁准则下支付的房租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31,050,452.51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偿还应收账款质押借款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48,740,786.81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子公司注销清算退回少数股东出资款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56,015.53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用于贷款质押的定期存款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410,077,474.77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510,991,844.62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7</w:t>
      </w:r>
      <w:bookmarkEnd w:id="193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37"/>
      <w:bookmarkEnd w:id="1938"/>
      <w:bookmarkEnd w:id="1940"/>
    </w:p>
    <w:p>
      <w:pPr>
        <w:pStyle w:val="Style40"/>
        <w:keepNext/>
        <w:keepLines/>
        <w:widowControl w:val="0"/>
        <w:shd w:val="clear" w:color="auto" w:fill="auto"/>
        <w:bidi w:val="0"/>
        <w:spacing w:before="0" w:after="40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41"/>
      <w:bookmarkEnd w:id="1942"/>
      <w:bookmarkEnd w:id="194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378,382,987.46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545,945,297.52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195,896,257.01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120,991,087.99</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56,030,322.35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45,503,808.25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29,750,245.61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27,057,373.71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28,744,381.69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2,906,500.51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2,524,845.50</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3,618,909.61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1,709,248.42</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154,174,827.43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132,022,665.15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-13,420,108.99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743,600.55</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1,140,058.27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1,268,778.28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-1,122,801,361.98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-740,352,563.68</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-785,391,354.86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-460,993,149.29</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1,553,620,824.93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702,831,056.92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144,806,197.68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-15,910,454.17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614,274,470.33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326,030,825.70</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2,590,725,223.25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2,427,347,801.56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1,922,529,941.21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163,377,421.69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504,817,860.35</w:t>
            </w:r>
          </w:p>
        </w:tc>
      </w:tr>
    </w:tbl>
    <w:p>
      <w:pPr>
        <w:widowControl w:val="0"/>
        <w:spacing w:after="33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44"/>
      <w:bookmarkEnd w:id="1945"/>
      <w:bookmarkEnd w:id="194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48"/>
      <w:bookmarkEnd w:id="1949"/>
      <w:bookmarkEnd w:id="19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138,835.50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其中：河南豫资东华信息科技有限公司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138,835.50</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804,107.24</w:t>
            </w:r>
          </w:p>
        </w:tc>
      </w:tr>
    </w:tbl>
    <w:p>
      <w:pPr>
        <w:spacing w:lineRule="exact" w:line="1"/>
        <w:rPr>
          <w:sz w:val="2"/>
          <w:szCs w:val="2"/>
        </w:rPr>
      </w:pPr>
      <w:r>
        <w:br w:type="page"/>
      </w:r>
    </w:p>
    <w:tbl>
      <w:tblPr>
        <w:tblOverlap w:val="never"/>
        <w:jc w:val="center"/>
        <w:tblLayout w:type="fixed"/>
      </w:tblPr>
      <w:tblGrid>
        <w:gridCol w:w="4997"/>
        <w:gridCol w:w="4589"/>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其中：河南豫资东华信息科技有限公司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804,107.24</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-665,271.74</w:t>
            </w:r>
          </w:p>
        </w:tc>
      </w:tr>
    </w:tbl>
    <w:p>
      <w:pPr>
        <w:widowControl w:val="0"/>
        <w:spacing w:after="319" w:line="1" w:lineRule="exact"/>
      </w:pPr>
    </w:p>
    <w:p>
      <w:pPr>
        <w:pStyle w:val="Style40"/>
        <w:keepNext/>
        <w:keepLines/>
        <w:widowControl w:val="0"/>
        <w:numPr>
          <w:ilvl w:val="0"/>
          <w:numId w:val="77"/>
        </w:numPr>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现金和现金等价物的构成</w:t>
      </w:r>
      <w:bookmarkEnd w:id="1952"/>
      <w:bookmarkEnd w:id="1953"/>
      <w:bookmarkEnd w:id="195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2,590,725,223.25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1,162,381.69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2,590,296,212.13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2,426,185,131.44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2,590,725,223.25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r>
    </w:tbl>
    <w:p>
      <w:pPr>
        <w:widowControl w:val="0"/>
        <w:spacing w:after="3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8</w:t>
      </w:r>
      <w:bookmarkEnd w:id="195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56"/>
      <w:bookmarkEnd w:id="1957"/>
      <w:bookmarkEnd w:id="195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8</w:t>
      </w:r>
      <w:bookmarkEnd w:id="196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60"/>
      <w:bookmarkEnd w:id="1961"/>
      <w:bookmarkEnd w:id="1963"/>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3259"/>
        <w:gridCol w:w="475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73,600,749.68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22,031,871.55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东华互联宜家数据服务有限公司以应收票据质押借款</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122,775,697.97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北京神州新桥科技有限公司、东华互联宜家 数据服务有限公司以应收账款质押融资贷款</w:t>
            </w: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40,727,925.40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东华互联宜家数据服务有限公司与贵州广 电传媒集团有限公司签订《应收账款债权转让及回购协议》， 以该长期应收款进行质押借款</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259,136,244.60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8</w:t>
      </w:r>
      <w:bookmarkEnd w:id="196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64"/>
      <w:bookmarkEnd w:id="1965"/>
      <w:bookmarkEnd w:id="1967"/>
    </w:p>
    <w:p>
      <w:pPr>
        <w:pStyle w:val="Style40"/>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68"/>
      <w:bookmarkEnd w:id="1969"/>
      <w:bookmarkEnd w:id="197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38,422,313.22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5,605,902.67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35,741,553.65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2,775.93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20,041.38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2,883,588.78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2,357,622.19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8,680.93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294,411.63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1,154,744.72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1,154,744.72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18,763,575.25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2,942,982.77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18,763,575.25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23,825,588.85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3,736,936.94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23,825,588.85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845,235,226.33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132,571,361.00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845,235,226.33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tbl>
      <w:tblPr>
        <w:tblOverlap w:val="never"/>
        <w:jc w:val="center"/>
        <w:tblLayout w:type="fixed"/>
      </w:tblPr>
      <w:tblGrid>
        <w:gridCol w:w="1901"/>
        <w:gridCol w:w="1934"/>
        <w:gridCol w:w="1416"/>
        <w:gridCol w:w="2554"/>
        <w:gridCol w:w="1714"/>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年期末折算人民币余额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账面余人民币额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38,422,313.22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38,422,313.22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5,605,902.67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35,741,553.65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35,741,553.65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2,883,588.78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2,357,622.19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2,357,622.19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20,041.38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8,680.93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294,411.63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1,154,744.72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1,154,744.72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1,154,744.72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1,154,744.72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18,763,575.25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18,763,575.25</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2,942,982.77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18,763,575.25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18,763,575.25</w:t>
            </w:r>
          </w:p>
        </w:tc>
      </w:tr>
    </w:tbl>
    <w:p>
      <w:pPr>
        <w:spacing w:lineRule="exact" w:line="1"/>
        <w:rPr>
          <w:sz w:val="2"/>
          <w:szCs w:val="2"/>
        </w:rPr>
      </w:pPr>
      <w:r>
        <w:br w:type="page"/>
      </w:r>
    </w:p>
    <w:tbl>
      <w:tblPr>
        <w:tblOverlap w:val="never"/>
        <w:jc w:val="center"/>
        <w:tblLayout w:type="fixed"/>
      </w:tblPr>
      <w:tblGrid>
        <w:gridCol w:w="1901"/>
        <w:gridCol w:w="1934"/>
        <w:gridCol w:w="1416"/>
        <w:gridCol w:w="2554"/>
        <w:gridCol w:w="17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23,825,588.85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23,825,588.85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3,736,936.94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23,825,588.85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23,825,588.85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845,235,226.33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845,235,226.33</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132,571,361.00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845,235,226.33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845,235,226.33</w:t>
            </w:r>
          </w:p>
        </w:tc>
      </w:tr>
    </w:tbl>
    <w:p>
      <w:pPr>
        <w:widowControl w:val="0"/>
        <w:spacing w:after="239" w:line="1" w:lineRule="exact"/>
      </w:pPr>
    </w:p>
    <w:p>
      <w:pPr>
        <w:pStyle w:val="Style40"/>
        <w:keepNext/>
        <w:keepLines/>
        <w:widowControl w:val="0"/>
        <w:shd w:val="clear" w:color="auto" w:fill="auto"/>
        <w:bidi w:val="0"/>
        <w:spacing w:before="0" w:line="331" w:lineRule="exact"/>
        <w:ind w:left="0" w:right="0" w:firstLine="0"/>
        <w:jc w:val="left"/>
      </w:pPr>
      <w:bookmarkStart w:id="1971" w:name="bookmark1971"/>
      <w:bookmarkStart w:id="1972" w:name="bookmark1972"/>
      <w:bookmarkStart w:id="1973" w:name="bookmark19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71"/>
      <w:bookmarkEnd w:id="1972"/>
      <w:bookmarkEnd w:id="1973"/>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38"/>
        <w:gridCol w:w="2448"/>
        <w:gridCol w:w="2832"/>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子（孙）公司名称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Sino Bridge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 BRIDGE AMERICAN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DIGITAL SINGAPORE PTE. LTD.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63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8</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74"/>
      <w:bookmarkEnd w:id="1975"/>
      <w:bookmarkEnd w:id="197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8</w:t>
      </w:r>
      <w:bookmarkEnd w:id="198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78"/>
      <w:bookmarkEnd w:id="1979"/>
      <w:bookmarkEnd w:id="1981"/>
    </w:p>
    <w:p>
      <w:pPr>
        <w:pStyle w:val="Style40"/>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82"/>
      <w:bookmarkEnd w:id="1983"/>
      <w:bookmarkEnd w:id="198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71,958,500.00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10,667,486.18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95,429,441.38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95,429,441.38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173,387,941.38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112,096,927.56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85"/>
      <w:bookmarkEnd w:id="1986"/>
      <w:bookmarkEnd w:id="1987"/>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78" w:right="1081" w:bottom="1499"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80" w:line="240" w:lineRule="auto"/>
        <w:ind w:left="0" w:right="0" w:firstLine="14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88"/>
      <w:bookmarkEnd w:id="1989"/>
      <w:bookmarkEnd w:id="1990"/>
    </w:p>
    <w:p>
      <w:pPr>
        <w:pStyle w:val="Style24"/>
        <w:keepNext/>
        <w:keepLines/>
        <w:widowControl w:val="0"/>
        <w:shd w:val="clear" w:color="auto" w:fill="auto"/>
        <w:bidi w:val="0"/>
        <w:spacing w:before="0" w:after="380" w:line="240" w:lineRule="auto"/>
        <w:ind w:left="0" w:right="0" w:firstLine="140"/>
        <w:jc w:val="left"/>
      </w:pPr>
      <w:bookmarkStart w:id="1991" w:name="bookmark1991"/>
      <w:bookmarkStart w:id="1992" w:name="bookmark1992"/>
      <w:bookmarkStart w:id="1993" w:name="bookmark1993"/>
      <w:bookmarkStart w:id="1994" w:name="bookmark1994"/>
      <w:r>
        <w:rPr>
          <w:color w:val="000000"/>
          <w:spacing w:val="0"/>
          <w:w w:val="100"/>
          <w:position w:val="0"/>
        </w:rPr>
        <w:t>八</w:t>
      </w:r>
      <w:bookmarkEnd w:id="1993"/>
      <w:r>
        <w:rPr>
          <w:color w:val="000000"/>
          <w:spacing w:val="0"/>
          <w:w w:val="100"/>
          <w:position w:val="0"/>
        </w:rPr>
        <w:t>、合并范围的变更</w:t>
      </w:r>
      <w:bookmarkEnd w:id="1991"/>
      <w:bookmarkEnd w:id="1992"/>
      <w:bookmarkEnd w:id="1994"/>
    </w:p>
    <w:p>
      <w:pPr>
        <w:pStyle w:val="Style29"/>
        <w:keepNext/>
        <w:keepLines/>
        <w:widowControl w:val="0"/>
        <w:shd w:val="clear" w:color="auto" w:fill="auto"/>
        <w:tabs>
          <w:tab w:pos="508" w:val="left"/>
        </w:tabs>
        <w:bidi w:val="0"/>
        <w:spacing w:before="0" w:line="240" w:lineRule="auto"/>
        <w:ind w:left="0" w:right="0" w:firstLine="14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bookmarkEnd w:id="1997"/>
      <w:r>
        <w:rPr>
          <w:color w:val="000000"/>
          <w:spacing w:val="0"/>
          <w:w w:val="100"/>
          <w:position w:val="0"/>
        </w:rPr>
        <w:t>、</w:t>
        <w:tab/>
        <w:t>非同一控制下企业合并</w:t>
      </w:r>
      <w:bookmarkEnd w:id="1995"/>
      <w:bookmarkEnd w:id="1996"/>
      <w:bookmarkEnd w:id="1998"/>
    </w:p>
    <w:p>
      <w:pPr>
        <w:pStyle w:val="Style40"/>
        <w:keepNext/>
        <w:keepLines/>
        <w:widowControl w:val="0"/>
        <w:shd w:val="clear" w:color="auto" w:fill="auto"/>
        <w:tabs>
          <w:tab w:pos="633" w:val="left"/>
        </w:tabs>
        <w:bidi w:val="0"/>
        <w:spacing w:before="0" w:line="240" w:lineRule="auto"/>
        <w:ind w:left="0" w:right="0" w:firstLine="14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999"/>
      <w:bookmarkEnd w:id="2000"/>
      <w:bookmarkEnd w:id="2002"/>
    </w:p>
    <w:p>
      <w:pPr>
        <w:pStyle w:val="Style18"/>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633" w:val="left"/>
        </w:tabs>
        <w:bidi w:val="0"/>
        <w:spacing w:before="0" w:line="240" w:lineRule="auto"/>
        <w:ind w:left="0" w:right="0" w:firstLine="14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2003"/>
      <w:bookmarkEnd w:id="2004"/>
      <w:bookmarkEnd w:id="2006"/>
    </w:p>
    <w:p>
      <w:pPr>
        <w:pStyle w:val="Style18"/>
        <w:keepNext w:val="0"/>
        <w:keepLines w:val="0"/>
        <w:widowControl w:val="0"/>
        <w:shd w:val="clear" w:color="auto" w:fill="auto"/>
        <w:bidi w:val="0"/>
        <w:spacing w:before="0" w:after="2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tabs>
          <w:tab w:pos="633" w:val="left"/>
        </w:tabs>
        <w:bidi w:val="0"/>
        <w:spacing w:before="0" w:after="260" w:line="240" w:lineRule="auto"/>
        <w:ind w:left="0" w:right="0" w:firstLine="140"/>
        <w:jc w:val="left"/>
        <w:rPr>
          <w:sz w:val="20"/>
          <w:szCs w:val="20"/>
        </w:rPr>
      </w:pPr>
      <w:bookmarkStart w:id="2007" w:name="bookmark2007"/>
      <w:r>
        <w:rPr>
          <w:b/>
          <w:bCs/>
          <w:color w:val="000000"/>
          <w:spacing w:val="0"/>
          <w:w w:val="100"/>
          <w:position w:val="0"/>
          <w:sz w:val="20"/>
          <w:szCs w:val="20"/>
        </w:rPr>
        <w:t>（</w:t>
      </w:r>
      <w:bookmarkEnd w:id="200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被购买方于购买日可辨认资产、负债</w:t>
      </w:r>
    </w:p>
    <w:p>
      <w:pPr>
        <w:pStyle w:val="Style18"/>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633" w:val="left"/>
        </w:tabs>
        <w:bidi w:val="0"/>
        <w:spacing w:before="0" w:line="240" w:lineRule="auto"/>
        <w:ind w:left="0" w:right="0" w:firstLine="14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008"/>
      <w:bookmarkEnd w:id="2009"/>
      <w:bookmarkEnd w:id="2011"/>
    </w:p>
    <w:p>
      <w:pPr>
        <w:pStyle w:val="Style1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14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2012"/>
      <w:bookmarkEnd w:id="2013"/>
      <w:bookmarkEnd w:id="2015"/>
    </w:p>
    <w:p>
      <w:pPr>
        <w:pStyle w:val="Style40"/>
        <w:keepNext/>
        <w:keepLines/>
        <w:widowControl w:val="0"/>
        <w:shd w:val="clear" w:color="auto" w:fill="auto"/>
        <w:tabs>
          <w:tab w:pos="633" w:val="left"/>
        </w:tabs>
        <w:bidi w:val="0"/>
        <w:spacing w:before="0" w:line="240" w:lineRule="auto"/>
        <w:ind w:left="0" w:right="0" w:firstLine="14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016"/>
      <w:bookmarkEnd w:id="2017"/>
      <w:bookmarkEnd w:id="2019"/>
    </w:p>
    <w:p>
      <w:pPr>
        <w:pStyle w:val="Style29"/>
        <w:keepNext/>
        <w:keepLines/>
        <w:widowControl w:val="0"/>
        <w:shd w:val="clear" w:color="auto" w:fill="auto"/>
        <w:tabs>
          <w:tab w:pos="518" w:val="left"/>
        </w:tabs>
        <w:bidi w:val="0"/>
        <w:spacing w:before="0" w:line="240" w:lineRule="auto"/>
        <w:ind w:left="0" w:right="0" w:firstLine="14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bookmarkEnd w:id="2022"/>
      <w:r>
        <w:rPr>
          <w:color w:val="000000"/>
          <w:spacing w:val="0"/>
          <w:w w:val="100"/>
          <w:position w:val="0"/>
        </w:rPr>
        <w:t>、</w:t>
        <w:tab/>
        <w:t>同一控制下企业合并</w:t>
      </w:r>
      <w:bookmarkEnd w:id="2020"/>
      <w:bookmarkEnd w:id="2021"/>
      <w:bookmarkEnd w:id="2023"/>
    </w:p>
    <w:p>
      <w:pPr>
        <w:pStyle w:val="Style40"/>
        <w:keepNext/>
        <w:keepLines/>
        <w:widowControl w:val="0"/>
        <w:shd w:val="clear" w:color="auto" w:fill="auto"/>
        <w:tabs>
          <w:tab w:pos="633" w:val="left"/>
        </w:tabs>
        <w:bidi w:val="0"/>
        <w:spacing w:before="0" w:line="240" w:lineRule="auto"/>
        <w:ind w:left="0" w:right="0" w:firstLine="14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2024"/>
      <w:bookmarkEnd w:id="2025"/>
      <w:bookmarkEnd w:id="2027"/>
    </w:p>
    <w:p>
      <w:pPr>
        <w:pStyle w:val="Style18"/>
        <w:keepNext w:val="0"/>
        <w:keepLines w:val="0"/>
        <w:widowControl w:val="0"/>
        <w:numPr>
          <w:ilvl w:val="0"/>
          <w:numId w:val="79"/>
        </w:numPr>
        <w:shd w:val="clear" w:color="auto" w:fill="auto"/>
        <w:tabs>
          <w:tab w:pos="477" w:val="left"/>
        </w:tabs>
        <w:bidi w:val="0"/>
        <w:spacing w:before="0" w:after="380" w:line="240" w:lineRule="auto"/>
        <w:ind w:left="0" w:right="0" w:firstLine="140"/>
        <w:jc w:val="left"/>
      </w:pPr>
      <w:bookmarkStart w:id="2028" w:name="bookmark2028"/>
      <w:bookmarkEnd w:id="20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tabs>
          <w:tab w:pos="633" w:val="left"/>
        </w:tabs>
        <w:bidi w:val="0"/>
        <w:spacing w:before="0" w:line="240" w:lineRule="auto"/>
        <w:ind w:left="0" w:right="0" w:firstLine="14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2029"/>
      <w:bookmarkEnd w:id="2030"/>
      <w:bookmarkEnd w:id="2032"/>
    </w:p>
    <w:p>
      <w:pPr>
        <w:pStyle w:val="Style18"/>
        <w:keepNext w:val="0"/>
        <w:keepLines w:val="0"/>
        <w:widowControl w:val="0"/>
        <w:numPr>
          <w:ilvl w:val="0"/>
          <w:numId w:val="79"/>
        </w:numPr>
        <w:shd w:val="clear" w:color="auto" w:fill="auto"/>
        <w:tabs>
          <w:tab w:pos="477" w:val="left"/>
        </w:tabs>
        <w:bidi w:val="0"/>
        <w:spacing w:before="0" w:after="380" w:line="240" w:lineRule="auto"/>
        <w:ind w:left="0" w:right="0" w:firstLine="140"/>
        <w:jc w:val="left"/>
      </w:pPr>
      <w:bookmarkStart w:id="2033" w:name="bookmark2033"/>
      <w:bookmarkEnd w:id="20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tabs>
          <w:tab w:pos="633" w:val="left"/>
        </w:tabs>
        <w:bidi w:val="0"/>
        <w:spacing w:before="0" w:line="240" w:lineRule="auto"/>
        <w:ind w:left="0" w:right="0" w:firstLine="14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2034"/>
      <w:bookmarkEnd w:id="2035"/>
      <w:bookmarkEnd w:id="2037"/>
    </w:p>
    <w:p>
      <w:pPr>
        <w:pStyle w:val="Style18"/>
        <w:keepNext w:val="0"/>
        <w:keepLines w:val="0"/>
        <w:widowControl w:val="0"/>
        <w:numPr>
          <w:ilvl w:val="0"/>
          <w:numId w:val="79"/>
        </w:numPr>
        <w:shd w:val="clear" w:color="auto" w:fill="auto"/>
        <w:tabs>
          <w:tab w:pos="477" w:val="left"/>
        </w:tabs>
        <w:bidi w:val="0"/>
        <w:spacing w:before="0" w:after="380" w:line="240" w:lineRule="auto"/>
        <w:ind w:left="0" w:right="0" w:firstLine="140"/>
        <w:jc w:val="left"/>
      </w:pPr>
      <w:bookmarkStart w:id="2038" w:name="bookmark2038"/>
      <w:bookmarkEnd w:id="20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518" w:val="left"/>
        </w:tabs>
        <w:bidi w:val="0"/>
        <w:spacing w:before="0" w:line="240" w:lineRule="auto"/>
        <w:ind w:left="0" w:right="0" w:firstLine="14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w:t>
        <w:tab/>
        <w:t>反向购买</w:t>
      </w:r>
      <w:bookmarkEnd w:id="2039"/>
      <w:bookmarkEnd w:id="2040"/>
      <w:bookmarkEnd w:id="2042"/>
    </w:p>
    <w:p>
      <w:pPr>
        <w:pStyle w:val="Style18"/>
        <w:keepNext w:val="0"/>
        <w:keepLines w:val="0"/>
        <w:widowControl w:val="0"/>
        <w:numPr>
          <w:ilvl w:val="0"/>
          <w:numId w:val="79"/>
        </w:numPr>
        <w:shd w:val="clear" w:color="auto" w:fill="auto"/>
        <w:tabs>
          <w:tab w:pos="477" w:val="left"/>
        </w:tabs>
        <w:bidi w:val="0"/>
        <w:spacing w:before="0" w:after="380" w:line="240" w:lineRule="auto"/>
        <w:ind w:left="0" w:right="0" w:firstLine="140"/>
        <w:jc w:val="left"/>
      </w:pPr>
      <w:bookmarkStart w:id="2043" w:name="bookmark2043"/>
      <w:bookmarkEnd w:id="20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518" w:val="left"/>
        </w:tabs>
        <w:bidi w:val="0"/>
        <w:spacing w:before="0" w:after="360" w:line="240" w:lineRule="auto"/>
        <w:ind w:left="0" w:right="0" w:firstLine="14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4</w:t>
      </w:r>
      <w:bookmarkEnd w:id="2046"/>
      <w:r>
        <w:rPr>
          <w:color w:val="000000"/>
          <w:spacing w:val="0"/>
          <w:w w:val="100"/>
          <w:position w:val="0"/>
        </w:rPr>
        <w:t>、</w:t>
        <w:tab/>
        <w:t>处置子公司</w:t>
      </w:r>
      <w:bookmarkEnd w:id="2044"/>
      <w:bookmarkEnd w:id="2045"/>
      <w:bookmarkEnd w:id="2047"/>
    </w:p>
    <w:p>
      <w:pPr>
        <w:pStyle w:val="Style18"/>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18" w:val="left"/>
        </w:tabs>
        <w:bidi w:val="0"/>
        <w:spacing w:before="0" w:after="360" w:line="240" w:lineRule="auto"/>
        <w:ind w:left="0" w:right="0" w:firstLine="14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5</w:t>
      </w:r>
      <w:bookmarkEnd w:id="2050"/>
      <w:r>
        <w:rPr>
          <w:color w:val="000000"/>
          <w:spacing w:val="0"/>
          <w:w w:val="100"/>
          <w:position w:val="0"/>
        </w:rPr>
        <w:t>、</w:t>
        <w:tab/>
        <w:t>其他原因的合并范围变动</w:t>
      </w:r>
      <w:bookmarkEnd w:id="2048"/>
      <w:bookmarkEnd w:id="2049"/>
      <w:bookmarkEnd w:id="2051"/>
    </w:p>
    <w:p>
      <w:pPr>
        <w:pStyle w:val="Style18"/>
        <w:keepNext w:val="0"/>
        <w:keepLines w:val="0"/>
        <w:widowControl w:val="0"/>
        <w:shd w:val="clear" w:color="auto" w:fill="auto"/>
        <w:bidi w:val="0"/>
        <w:spacing w:before="0" w:after="160" w:line="234" w:lineRule="exact"/>
        <w:ind w:left="0" w:right="0" w:firstLine="14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160" w:line="234" w:lineRule="exact"/>
        <w:ind w:left="140" w:right="0" w:firstLine="360"/>
        <w:jc w:val="both"/>
      </w:pPr>
      <w:r>
        <w:rPr>
          <w:color w:val="000000"/>
          <w:spacing w:val="0"/>
          <w:w w:val="100"/>
          <w:position w:val="0"/>
        </w:rPr>
        <w:t>公司本期投资设立子公司东华智慧城市科技（苏州）有限公司、山西东华合创科技有限公司、天津东华智联科技有限公 司、武汉东华软件技术有限公司、蚌埠东华软件有限公司、德州东华软件有限公司、东华总部（山东）软件有限公司、</w:t>
      </w:r>
      <w:r>
        <w:rPr>
          <w:rFonts w:ascii="Times New Roman" w:eastAsia="Times New Roman" w:hAnsi="Times New Roman" w:cs="Times New Roman"/>
          <w:color w:val="000000"/>
          <w:spacing w:val="0"/>
          <w:w w:val="100"/>
          <w:position w:val="0"/>
          <w:sz w:val="18"/>
          <w:szCs w:val="18"/>
        </w:rPr>
        <w:t>DHC DIGITAL SINGAPORE PTE. LTD.</w:t>
      </w:r>
      <w:r>
        <w:rPr>
          <w:color w:val="000000"/>
          <w:spacing w:val="0"/>
          <w:w w:val="100"/>
          <w:position w:val="0"/>
        </w:rPr>
        <w:t>；</w:t>
      </w:r>
      <w:r>
        <w:rPr>
          <w:color w:val="000000"/>
          <w:spacing w:val="0"/>
          <w:w w:val="100"/>
          <w:position w:val="0"/>
        </w:rPr>
        <w:t>本期投资设立孙公司东华住云（湖南）科技有限公司、安徽云岳数字科技有限公司；本 期公司所属的孙公司设立东华智慧城市（广西）技术有限公司、海南东华鹏霄置业有限公司、东华（智云）北京科技有限公 司、东华智慧城市（江门）技术有限公司。</w:t>
      </w:r>
    </w:p>
    <w:p>
      <w:pPr>
        <w:pStyle w:val="Style18"/>
        <w:keepNext w:val="0"/>
        <w:keepLines w:val="0"/>
        <w:widowControl w:val="0"/>
        <w:shd w:val="clear" w:color="auto" w:fill="auto"/>
        <w:bidi w:val="0"/>
        <w:spacing w:before="0" w:after="160" w:line="230" w:lineRule="exact"/>
        <w:ind w:left="140" w:right="0" w:firstLine="360"/>
        <w:jc w:val="both"/>
      </w:pPr>
      <w:r>
        <w:rPr>
          <w:color w:val="000000"/>
          <w:spacing w:val="0"/>
          <w:w w:val="100"/>
          <w:position w:val="0"/>
        </w:rPr>
        <w:t>本期注销子公司东华合创科技有限公司、兰州东华软件有限公司、北京国能智研信息科技有限公司、北京东华福蝉信息 技术有限公司，注销孙公司北京厚盾鸿远科技有限公司。</w:t>
      </w:r>
    </w:p>
    <w:p>
      <w:pPr>
        <w:pStyle w:val="Style18"/>
        <w:keepNext w:val="0"/>
        <w:keepLines w:val="0"/>
        <w:widowControl w:val="0"/>
        <w:shd w:val="clear" w:color="auto" w:fill="auto"/>
        <w:bidi w:val="0"/>
        <w:spacing w:before="0" w:after="160" w:line="240" w:lineRule="exact"/>
        <w:ind w:left="140" w:right="0" w:firstLine="360"/>
        <w:jc w:val="both"/>
      </w:pPr>
      <w:r>
        <w:rPr>
          <w:color w:val="000000"/>
          <w:spacing w:val="0"/>
          <w:w w:val="100"/>
          <w:position w:val="0"/>
        </w:rPr>
        <w:t>本期公司的孙公司河南东华大数据科技有限公司转让持有河南豫资东华信息科技有限公司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的股权，该公司不再纳入 合并范围。</w:t>
      </w:r>
    </w:p>
    <w:p>
      <w:pPr>
        <w:pStyle w:val="Style18"/>
        <w:keepNext w:val="0"/>
        <w:keepLines w:val="0"/>
        <w:widowControl w:val="0"/>
        <w:shd w:val="clear" w:color="auto" w:fill="auto"/>
        <w:bidi w:val="0"/>
        <w:spacing w:before="0" w:after="360" w:line="230" w:lineRule="exact"/>
        <w:ind w:left="140" w:right="0" w:firstLine="360"/>
        <w:jc w:val="both"/>
      </w:pPr>
      <w:r>
        <w:rPr>
          <w:color w:val="000000"/>
          <w:spacing w:val="0"/>
          <w:w w:val="100"/>
          <w:position w:val="0"/>
        </w:rPr>
        <w:t>本期东华智慧城市股份有限公司由子公司转为孙公司，东华惠生活（北京）信息技术有限公司、上海东华智云电子科技 有限公司由孙公司转为孙孙公司。</w:t>
      </w:r>
    </w:p>
    <w:p>
      <w:pPr>
        <w:pStyle w:val="Style29"/>
        <w:keepNext/>
        <w:keepLines/>
        <w:widowControl w:val="0"/>
        <w:shd w:val="clear" w:color="auto" w:fill="auto"/>
        <w:bidi w:val="0"/>
        <w:spacing w:before="0" w:after="360" w:line="240" w:lineRule="auto"/>
        <w:ind w:left="0" w:right="0" w:firstLine="14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color w:val="000000"/>
          <w:spacing w:val="0"/>
          <w:w w:val="100"/>
          <w:position w:val="0"/>
        </w:rPr>
        <w:t>、其他</w:t>
      </w:r>
      <w:bookmarkEnd w:id="2052"/>
      <w:bookmarkEnd w:id="2053"/>
      <w:bookmarkEnd w:id="2055"/>
    </w:p>
    <w:p>
      <w:pPr>
        <w:pStyle w:val="Style24"/>
        <w:keepNext/>
        <w:keepLines/>
        <w:widowControl w:val="0"/>
        <w:shd w:val="clear" w:color="auto" w:fill="auto"/>
        <w:bidi w:val="0"/>
        <w:spacing w:before="0" w:line="240" w:lineRule="auto"/>
        <w:ind w:left="0" w:right="0" w:firstLine="140"/>
        <w:jc w:val="left"/>
      </w:pPr>
      <w:bookmarkStart w:id="2056" w:name="bookmark2056"/>
      <w:bookmarkStart w:id="2057" w:name="bookmark2057"/>
      <w:bookmarkStart w:id="2058" w:name="bookmark2058"/>
      <w:bookmarkStart w:id="2059" w:name="bookmark2059"/>
      <w:r>
        <w:rPr>
          <w:color w:val="000000"/>
          <w:spacing w:val="0"/>
          <w:w w:val="100"/>
          <w:position w:val="0"/>
        </w:rPr>
        <w:t>九</w:t>
      </w:r>
      <w:bookmarkEnd w:id="2058"/>
      <w:r>
        <w:rPr>
          <w:color w:val="000000"/>
          <w:spacing w:val="0"/>
          <w:w w:val="100"/>
          <w:position w:val="0"/>
        </w:rPr>
        <w:t>、在其他主体中的权益</w:t>
      </w:r>
      <w:bookmarkEnd w:id="2056"/>
      <w:bookmarkEnd w:id="2057"/>
      <w:bookmarkEnd w:id="2059"/>
    </w:p>
    <w:p>
      <w:pPr>
        <w:pStyle w:val="Style29"/>
        <w:keepNext/>
        <w:keepLines/>
        <w:widowControl w:val="0"/>
        <w:shd w:val="clear" w:color="auto" w:fill="auto"/>
        <w:bidi w:val="0"/>
        <w:spacing w:before="0" w:after="360" w:line="240" w:lineRule="auto"/>
        <w:ind w:left="0" w:right="0" w:firstLine="14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bookmarkEnd w:id="2062"/>
      <w:r>
        <w:rPr>
          <w:color w:val="000000"/>
          <w:spacing w:val="0"/>
          <w:w w:val="100"/>
          <w:position w:val="0"/>
        </w:rPr>
        <w:t>、在子公司中的权益</w:t>
      </w:r>
      <w:bookmarkEnd w:id="2060"/>
      <w:bookmarkEnd w:id="2061"/>
      <w:bookmarkEnd w:id="2063"/>
    </w:p>
    <w:p>
      <w:pPr>
        <w:pStyle w:val="Style40"/>
        <w:keepNext/>
        <w:keepLines/>
        <w:widowControl w:val="0"/>
        <w:shd w:val="clear" w:color="auto" w:fill="auto"/>
        <w:bidi w:val="0"/>
        <w:spacing w:before="0" w:after="360" w:line="240" w:lineRule="auto"/>
        <w:ind w:left="0" w:right="0" w:firstLine="14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64"/>
      <w:bookmarkEnd w:id="2065"/>
      <w:bookmarkEnd w:id="2066"/>
    </w:p>
    <w:tbl>
      <w:tblPr>
        <w:tblOverlap w:val="never"/>
        <w:jc w:val="center"/>
        <w:tblLayout w:type="fixed"/>
      </w:tblPr>
      <w:tblGrid>
        <w:gridCol w:w="2842"/>
        <w:gridCol w:w="994"/>
        <w:gridCol w:w="989"/>
        <w:gridCol w:w="1560"/>
        <w:gridCol w:w="883"/>
        <w:gridCol w:w="677"/>
        <w:gridCol w:w="1426"/>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842"/>
        <w:gridCol w:w="994"/>
        <w:gridCol w:w="989"/>
        <w:gridCol w:w="1560"/>
        <w:gridCol w:w="883"/>
        <w:gridCol w:w="677"/>
        <w:gridCol w:w="1426"/>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东华软件（沈阳）有限公司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非同一控制下的 企业合并</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非同一控制下的 企业合并</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非同一控制下的 企业合并</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非同一控制下的 企业合并</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风电机组振动监测 诊断系统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非同一控制下的 企业合并</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东华网络股份公司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盘锦市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盘锦市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苏州东华软件科技有限公司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威海市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威海市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北京卓智能研科技有限公司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吉林省东华软件信息工程有限公司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非同一控制下的 企业合并</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非同一控制下的 企业合并</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南京东华科创信息技术有限公司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郑州东华诚信软件有限公司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三亚东华云信数据服务有限公司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三亚市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三亚市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云南东合数据信息技术有限公司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广西东华云数据信息技术有限责任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842"/>
        <w:gridCol w:w="994"/>
        <w:gridCol w:w="989"/>
        <w:gridCol w:w="1560"/>
        <w:gridCol w:w="883"/>
        <w:gridCol w:w="677"/>
        <w:gridCol w:w="142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东华智城云计算有限公司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东华至高通信技术有限公司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安徽东华智慧城市信息技术有限责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安庆市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陕西空港云谷科技有限公司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陕西省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北京银企汇科技有限公司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东华软件（扬州）有限公司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扬州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东华慧湾数字科技有限公司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佛山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非同一控制下的 企业合并</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青岛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东华电子信息产业（宁波）有限公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东华软件（长沙）有限公司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大同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江西东华指尖数字技术有限公司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东华软件合肥有限公司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东华智慧城市科技（苏州）有限公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太原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天津东华智联科技有限公司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武汉东华软件技术有限公司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蚌埠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德州东华软件有限公司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德州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东华总部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DIGITAL SINGAPORE PTE.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新加披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设立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无</w:t>
      </w:r>
    </w:p>
    <w:p>
      <w:pPr>
        <w:pStyle w:val="Style18"/>
        <w:keepNext w:val="0"/>
        <w:keepLines w:val="0"/>
        <w:widowControl w:val="0"/>
        <w:shd w:val="clear" w:color="auto" w:fill="auto"/>
        <w:bidi w:val="0"/>
        <w:spacing w:before="0" w:after="180" w:line="240"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80" w:line="240" w:lineRule="exact"/>
        <w:ind w:left="0" w:right="0" w:firstLine="380"/>
        <w:jc w:val="both"/>
      </w:pPr>
      <w:r>
        <w:rPr>
          <w:color w:val="000000"/>
          <w:spacing w:val="0"/>
          <w:w w:val="100"/>
          <w:position w:val="0"/>
        </w:rPr>
        <w:t>公司持有北京东华博泰科技有限公司</w:t>
      </w:r>
      <w:r>
        <w:rPr>
          <w:rFonts w:ascii="Times New Roman" w:eastAsia="Times New Roman" w:hAnsi="Times New Roman" w:cs="Times New Roman"/>
          <w:color w:val="000000"/>
          <w:spacing w:val="0"/>
          <w:w w:val="100"/>
          <w:position w:val="0"/>
          <w:sz w:val="18"/>
          <w:szCs w:val="18"/>
        </w:rPr>
        <w:t>41.8578%</w:t>
      </w:r>
      <w:r>
        <w:rPr>
          <w:color w:val="000000"/>
          <w:spacing w:val="0"/>
          <w:w w:val="100"/>
          <w:position w:val="0"/>
        </w:rPr>
        <w:t>股权，公司为北京东华博泰科技有限公司第一大股东，对其财务和重大 经营决策拥有实质性权利，且有能力通过该实质性权利影响其回报金额，故将其纳入合并财务报表范围。</w:t>
      </w:r>
    </w:p>
    <w:p>
      <w:pPr>
        <w:pStyle w:val="Style18"/>
        <w:keepNext w:val="0"/>
        <w:keepLines w:val="0"/>
        <w:widowControl w:val="0"/>
        <w:shd w:val="clear" w:color="auto" w:fill="auto"/>
        <w:bidi w:val="0"/>
        <w:spacing w:before="0" w:after="120" w:line="240" w:lineRule="exact"/>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20" w:line="24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exact"/>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80" w:line="240"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2067"/>
      <w:bookmarkEnd w:id="2068"/>
      <w:bookmarkEnd w:id="2070"/>
    </w:p>
    <w:p>
      <w:pPr>
        <w:pStyle w:val="Style18"/>
        <w:keepNext w:val="0"/>
        <w:keepLines w:val="0"/>
        <w:widowControl w:val="0"/>
        <w:shd w:val="clear" w:color="auto" w:fill="auto"/>
        <w:bidi w:val="0"/>
        <w:spacing w:before="0" w:after="38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2071"/>
      <w:bookmarkEnd w:id="2072"/>
      <w:bookmarkEnd w:id="2074"/>
    </w:p>
    <w:p>
      <w:pPr>
        <w:pStyle w:val="Style18"/>
        <w:keepNext w:val="0"/>
        <w:keepLines w:val="0"/>
        <w:widowControl w:val="0"/>
        <w:shd w:val="clear" w:color="auto" w:fill="auto"/>
        <w:bidi w:val="0"/>
        <w:spacing w:before="0" w:after="18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2075" w:name="bookmark2075"/>
      <w:r>
        <w:rPr>
          <w:b/>
          <w:bCs/>
          <w:color w:val="000000"/>
          <w:spacing w:val="0"/>
          <w:w w:val="100"/>
          <w:position w:val="0"/>
          <w:sz w:val="20"/>
          <w:szCs w:val="20"/>
        </w:rPr>
        <w:t>（</w:t>
      </w:r>
      <w:bookmarkEnd w:id="207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使用企业集团资产和清偿企业集团债务的重大限制</w:t>
      </w:r>
    </w:p>
    <w:p>
      <w:pPr>
        <w:pStyle w:val="Style40"/>
        <w:keepNext/>
        <w:keepLines/>
        <w:widowControl w:val="0"/>
        <w:shd w:val="clear" w:color="auto" w:fill="auto"/>
        <w:tabs>
          <w:tab w:pos="493" w:val="left"/>
        </w:tabs>
        <w:bidi w:val="0"/>
        <w:spacing w:before="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76"/>
      <w:bookmarkEnd w:id="2077"/>
      <w:bookmarkEnd w:id="2079"/>
    </w:p>
    <w:p>
      <w:pPr>
        <w:pStyle w:val="Style29"/>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、在子公司的所有者权益份额发生变化且仍控制子公司的交易</w:t>
      </w:r>
      <w:bookmarkEnd w:id="2080"/>
      <w:bookmarkEnd w:id="2081"/>
      <w:bookmarkEnd w:id="2083"/>
    </w:p>
    <w:p>
      <w:pPr>
        <w:pStyle w:val="Style40"/>
        <w:keepNext/>
        <w:keepLines/>
        <w:widowControl w:val="0"/>
        <w:shd w:val="clear" w:color="auto" w:fill="auto"/>
        <w:bidi w:val="0"/>
        <w:spacing w:before="0" w:after="300" w:line="240" w:lineRule="auto"/>
        <w:ind w:left="0" w:right="0" w:firstLine="0"/>
        <w:jc w:val="left"/>
      </w:pPr>
      <w:bookmarkStart w:id="2084" w:name="bookmark2084"/>
      <w:bookmarkStart w:id="2085" w:name="bookmark2085"/>
      <w:bookmarkStart w:id="2086" w:name="bookmark2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84"/>
      <w:bookmarkEnd w:id="2085"/>
      <w:bookmarkEnd w:id="2086"/>
    </w:p>
    <w:p>
      <w:pPr>
        <w:pStyle w:val="Style18"/>
        <w:keepNext w:val="0"/>
        <w:keepLines w:val="0"/>
        <w:widowControl w:val="0"/>
        <w:shd w:val="clear" w:color="auto" w:fill="auto"/>
        <w:bidi w:val="0"/>
        <w:spacing w:before="0" w:after="180" w:line="245" w:lineRule="exact"/>
        <w:ind w:left="0" w:right="0" w:firstLine="380"/>
        <w:jc w:val="both"/>
      </w:pPr>
      <w:r>
        <w:rPr>
          <w:color w:val="000000"/>
          <w:spacing w:val="0"/>
          <w:w w:val="100"/>
          <w:position w:val="0"/>
        </w:rPr>
        <w:t>公司本期转让持有广东东华发思特软件有限公司</w:t>
      </w:r>
      <w:r>
        <w:rPr>
          <w:rFonts w:ascii="Times New Roman" w:eastAsia="Times New Roman" w:hAnsi="Times New Roman" w:cs="Times New Roman"/>
          <w:color w:val="000000"/>
          <w:spacing w:val="0"/>
          <w:w w:val="100"/>
          <w:position w:val="0"/>
          <w:sz w:val="18"/>
          <w:szCs w:val="18"/>
        </w:rPr>
        <w:t>11.61%</w:t>
      </w:r>
      <w:r>
        <w:rPr>
          <w:color w:val="000000"/>
          <w:spacing w:val="0"/>
          <w:w w:val="100"/>
          <w:position w:val="0"/>
        </w:rPr>
        <w:t>股权，交易完成后公司对广东东华发思特软件有限公司持股比 例变为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18"/>
        <w:keepNext w:val="0"/>
        <w:keepLines w:val="0"/>
        <w:widowControl w:val="0"/>
        <w:shd w:val="clear" w:color="auto" w:fill="auto"/>
        <w:tabs>
          <w:tab w:pos="1189"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月，公司转让持有北京东华博泰科技有限公司</w:t>
      </w:r>
      <w:r>
        <w:rPr>
          <w:rFonts w:ascii="Times New Roman" w:eastAsia="Times New Roman" w:hAnsi="Times New Roman" w:cs="Times New Roman"/>
          <w:color w:val="000000"/>
          <w:spacing w:val="0"/>
          <w:w w:val="100"/>
          <w:position w:val="0"/>
          <w:sz w:val="18"/>
          <w:szCs w:val="18"/>
        </w:rPr>
        <w:t>33.29%</w:t>
      </w:r>
      <w:r>
        <w:rPr>
          <w:color w:val="000000"/>
          <w:spacing w:val="0"/>
          <w:w w:val="100"/>
          <w:position w:val="0"/>
        </w:rPr>
        <w:t>股权，交易后公司对北京东华博泰科技有限公司持股比例 变为</w:t>
      </w:r>
      <w:r>
        <w:rPr>
          <w:rFonts w:ascii="Times New Roman" w:eastAsia="Times New Roman" w:hAnsi="Times New Roman" w:cs="Times New Roman"/>
          <w:color w:val="000000"/>
          <w:spacing w:val="0"/>
          <w:w w:val="100"/>
          <w:position w:val="0"/>
          <w:sz w:val="18"/>
          <w:szCs w:val="18"/>
        </w:rPr>
        <w:t>44.91%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月，北京东华博泰科技有限公司增资，增资后公司对北京东华博泰科技有限公司持股比例变为</w:t>
      </w:r>
    </w:p>
    <w:p>
      <w:pPr>
        <w:pStyle w:val="Style35"/>
        <w:keepNext w:val="0"/>
        <w:keepLines w:val="0"/>
        <w:widowControl w:val="0"/>
        <w:shd w:val="clear" w:color="auto" w:fill="auto"/>
        <w:bidi w:val="0"/>
        <w:spacing w:before="0" w:after="300" w:line="276" w:lineRule="auto"/>
        <w:ind w:left="0" w:right="0" w:firstLine="0"/>
        <w:jc w:val="left"/>
        <w:rPr>
          <w:sz w:val="17"/>
          <w:szCs w:val="17"/>
        </w:rPr>
      </w:pPr>
      <w:r>
        <w:rPr>
          <w:b w:val="0"/>
          <w:bCs w:val="0"/>
          <w:color w:val="000000"/>
          <w:spacing w:val="0"/>
          <w:w w:val="100"/>
          <w:position w:val="0"/>
          <w:sz w:val="18"/>
          <w:szCs w:val="18"/>
        </w:rPr>
        <w:t>41.8578%</w:t>
      </w:r>
      <w:r>
        <w:rPr>
          <w:rFonts w:ascii="SimSun" w:eastAsia="SimSun" w:hAnsi="SimSun" w:cs="SimSun"/>
          <w:b w:val="0"/>
          <w:bCs w:val="0"/>
          <w:color w:val="000000"/>
          <w:spacing w:val="0"/>
          <w:w w:val="100"/>
          <w:position w:val="0"/>
          <w:sz w:val="17"/>
          <w:szCs w:val="17"/>
        </w:rPr>
        <w:t>。</w:t>
      </w:r>
    </w:p>
    <w:p>
      <w:pPr>
        <w:pStyle w:val="Style40"/>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87"/>
      <w:bookmarkEnd w:id="2088"/>
      <w:bookmarkEnd w:id="20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广东东华发思特软件有限公司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北京东华博泰科技有限公司</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49,927,500.00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49,927,500.00</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868,404.18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31,428,570.97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331,195.82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18,498,929.03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331,195.82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18,498,929.03</w:t>
            </w:r>
          </w:p>
        </w:tc>
      </w:tr>
    </w:tbl>
    <w:tbl>
      <w:tblPr>
        <w:tblOverlap w:val="never"/>
        <w:jc w:val="center"/>
        <w:tblLayout w:type="fixed"/>
      </w:tblPr>
      <w:tblGrid>
        <w:gridCol w:w="3197"/>
        <w:gridCol w:w="3192"/>
        <w:gridCol w:w="3202"/>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3</w:t>
      </w:r>
      <w:bookmarkEnd w:id="2092"/>
      <w:r>
        <w:rPr>
          <w:color w:val="000000"/>
          <w:spacing w:val="0"/>
          <w:w w:val="100"/>
          <w:position w:val="0"/>
        </w:rPr>
        <w:t>、</w:t>
        <w:tab/>
        <w:t>在合营安排或联营企业中的权益</w:t>
      </w:r>
      <w:bookmarkEnd w:id="2090"/>
      <w:bookmarkEnd w:id="2091"/>
      <w:bookmarkEnd w:id="2093"/>
    </w:p>
    <w:p>
      <w:pPr>
        <w:pStyle w:val="Style40"/>
        <w:keepNext/>
        <w:keepLines/>
        <w:widowControl w:val="0"/>
        <w:shd w:val="clear" w:color="auto" w:fill="auto"/>
        <w:tabs>
          <w:tab w:pos="493"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2094"/>
      <w:bookmarkEnd w:id="2095"/>
      <w:bookmarkEnd w:id="209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98"/>
      <w:bookmarkEnd w:id="2099"/>
      <w:bookmarkEnd w:id="210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102"/>
      <w:bookmarkEnd w:id="2103"/>
      <w:bookmarkEnd w:id="210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106"/>
      <w:bookmarkEnd w:id="2107"/>
      <w:bookmarkEnd w:id="2109"/>
    </w:p>
    <w:p>
      <w:pPr>
        <w:pStyle w:val="Style18"/>
        <w:keepNext w:val="0"/>
        <w:keepLines w:val="0"/>
        <w:widowControl w:val="0"/>
        <w:numPr>
          <w:ilvl w:val="0"/>
          <w:numId w:val="81"/>
        </w:numPr>
        <w:shd w:val="clear" w:color="auto" w:fill="auto"/>
        <w:tabs>
          <w:tab w:pos="356" w:val="left"/>
        </w:tabs>
        <w:bidi w:val="0"/>
        <w:spacing w:before="0" w:after="380" w:line="240" w:lineRule="auto"/>
        <w:ind w:left="0" w:right="0" w:firstLine="0"/>
        <w:jc w:val="left"/>
      </w:pPr>
      <w:bookmarkStart w:id="2110" w:name="bookmark2110"/>
      <w:bookmarkEnd w:id="21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111"/>
      <w:bookmarkEnd w:id="2112"/>
      <w:bookmarkEnd w:id="211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115"/>
      <w:bookmarkEnd w:id="2116"/>
      <w:bookmarkEnd w:id="211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19"/>
      <w:bookmarkEnd w:id="2120"/>
      <w:bookmarkEnd w:id="2122"/>
    </w:p>
    <w:p>
      <w:pPr>
        <w:pStyle w:val="Style21"/>
        <w:keepNext w:val="0"/>
        <w:keepLines w:val="0"/>
        <w:widowControl w:val="0"/>
        <w:shd w:val="clear" w:color="auto" w:fill="auto"/>
        <w:bidi w:val="0"/>
        <w:spacing w:before="0" w:after="380" w:line="240" w:lineRule="auto"/>
        <w:ind w:left="0" w:right="0" w:firstLine="440"/>
        <w:jc w:val="left"/>
        <w:rPr>
          <w:sz w:val="20"/>
          <w:szCs w:val="20"/>
        </w:rPr>
      </w:pPr>
      <w:r>
        <w:rPr>
          <w:color w:val="000000"/>
          <w:spacing w:val="0"/>
          <w:w w:val="100"/>
          <w:position w:val="0"/>
          <w:sz w:val="20"/>
          <w:szCs w:val="20"/>
        </w:rPr>
        <w:t>本公司无需要披露的承诺事项。</w:t>
      </w:r>
    </w:p>
    <w:p>
      <w:pPr>
        <w:pStyle w:val="Style40"/>
        <w:keepNext/>
        <w:keepLines/>
        <w:widowControl w:val="0"/>
        <w:shd w:val="clear" w:color="auto" w:fill="auto"/>
        <w:tabs>
          <w:tab w:pos="493" w:val="left"/>
        </w:tabs>
        <w:bidi w:val="0"/>
        <w:spacing w:before="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23"/>
      <w:bookmarkEnd w:id="2124"/>
      <w:bookmarkEnd w:id="2126"/>
    </w:p>
    <w:p>
      <w:pPr>
        <w:pStyle w:val="Style21"/>
        <w:keepNext w:val="0"/>
        <w:keepLines w:val="0"/>
        <w:widowControl w:val="0"/>
        <w:shd w:val="clear" w:color="auto" w:fill="auto"/>
        <w:bidi w:val="0"/>
        <w:spacing w:before="0" w:after="380" w:line="240" w:lineRule="auto"/>
        <w:ind w:left="0" w:right="0" w:firstLine="440"/>
        <w:jc w:val="left"/>
        <w:rPr>
          <w:sz w:val="20"/>
          <w:szCs w:val="20"/>
        </w:rPr>
      </w:pPr>
      <w:r>
        <w:rPr>
          <w:color w:val="000000"/>
          <w:spacing w:val="0"/>
          <w:w w:val="100"/>
          <w:position w:val="0"/>
          <w:sz w:val="20"/>
          <w:szCs w:val="20"/>
        </w:rPr>
        <w:t>本公司不存在需要披露的或有事项。</w:t>
      </w:r>
    </w:p>
    <w:p>
      <w:pPr>
        <w:pStyle w:val="Style29"/>
        <w:keepNext/>
        <w:keepLines/>
        <w:widowControl w:val="0"/>
        <w:shd w:val="clear" w:color="auto" w:fill="auto"/>
        <w:tabs>
          <w:tab w:pos="378"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4</w:t>
      </w:r>
      <w:bookmarkEnd w:id="2129"/>
      <w:r>
        <w:rPr>
          <w:color w:val="000000"/>
          <w:spacing w:val="0"/>
          <w:w w:val="100"/>
          <w:position w:val="0"/>
        </w:rPr>
        <w:t>、</w:t>
        <w:tab/>
        <w:t>重要的共同经营</w:t>
      </w:r>
      <w:bookmarkEnd w:id="2127"/>
      <w:bookmarkEnd w:id="2128"/>
      <w:bookmarkEnd w:id="2130"/>
    </w:p>
    <w:p>
      <w:pPr>
        <w:pStyle w:val="Style18"/>
        <w:keepNext w:val="0"/>
        <w:keepLines w:val="0"/>
        <w:widowControl w:val="0"/>
        <w:numPr>
          <w:ilvl w:val="0"/>
          <w:numId w:val="81"/>
        </w:numPr>
        <w:shd w:val="clear" w:color="auto" w:fill="auto"/>
        <w:tabs>
          <w:tab w:pos="356" w:val="left"/>
        </w:tabs>
        <w:bidi w:val="0"/>
        <w:spacing w:before="0" w:after="380" w:line="240" w:lineRule="auto"/>
        <w:ind w:left="0" w:right="0" w:firstLine="0"/>
        <w:jc w:val="left"/>
      </w:pPr>
      <w:bookmarkStart w:id="2131" w:name="bookmark2131"/>
      <w:bookmarkEnd w:id="21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5</w:t>
      </w:r>
      <w:bookmarkEnd w:id="2134"/>
      <w:r>
        <w:rPr>
          <w:color w:val="000000"/>
          <w:spacing w:val="0"/>
          <w:w w:val="100"/>
          <w:position w:val="0"/>
        </w:rPr>
        <w:t>、在未纳入合并财务报表范围的结构化主体中的权益</w:t>
      </w:r>
      <w:bookmarkEnd w:id="2132"/>
      <w:bookmarkEnd w:id="2133"/>
      <w:bookmarkEnd w:id="2135"/>
    </w:p>
    <w:p>
      <w:pPr>
        <w:pStyle w:val="Style29"/>
        <w:keepNext/>
        <w:keepLines/>
        <w:widowControl w:val="0"/>
        <w:shd w:val="clear" w:color="auto" w:fill="auto"/>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6</w:t>
      </w:r>
      <w:bookmarkEnd w:id="2138"/>
      <w:r>
        <w:rPr>
          <w:color w:val="000000"/>
          <w:spacing w:val="0"/>
          <w:w w:val="100"/>
          <w:position w:val="0"/>
        </w:rPr>
        <w:t>、其他</w:t>
      </w:r>
      <w:bookmarkEnd w:id="2136"/>
      <w:bookmarkEnd w:id="2137"/>
      <w:bookmarkEnd w:id="2139"/>
    </w:p>
    <w:p>
      <w:pPr>
        <w:pStyle w:val="Style24"/>
        <w:keepNext/>
        <w:keepLines/>
        <w:widowControl w:val="0"/>
        <w:shd w:val="clear" w:color="auto" w:fill="auto"/>
        <w:bidi w:val="0"/>
        <w:spacing w:before="0" w:after="320" w:line="240" w:lineRule="auto"/>
        <w:ind w:left="0" w:right="0" w:firstLine="0"/>
        <w:jc w:val="left"/>
      </w:pPr>
      <w:bookmarkStart w:id="2140" w:name="bookmark2140"/>
      <w:bookmarkStart w:id="2141" w:name="bookmark2141"/>
      <w:bookmarkStart w:id="2142" w:name="bookmark2142"/>
      <w:r>
        <w:rPr>
          <w:color w:val="000000"/>
          <w:spacing w:val="0"/>
          <w:w w:val="100"/>
          <w:position w:val="0"/>
        </w:rPr>
        <w:t>十、与金融工具相关的风险</w:t>
      </w:r>
      <w:bookmarkEnd w:id="2140"/>
      <w:bookmarkEnd w:id="2141"/>
      <w:bookmarkEnd w:id="2142"/>
    </w:p>
    <w:p>
      <w:pPr>
        <w:pStyle w:val="Style18"/>
        <w:keepNext w:val="0"/>
        <w:keepLines w:val="0"/>
        <w:widowControl w:val="0"/>
        <w:shd w:val="clear" w:color="auto" w:fill="auto"/>
        <w:bidi w:val="0"/>
        <w:spacing w:before="0" w:after="200" w:line="226" w:lineRule="exact"/>
        <w:ind w:left="0" w:right="0" w:firstLine="380"/>
        <w:jc w:val="left"/>
      </w:pPr>
      <w:r>
        <w:rPr>
          <w:color w:val="000000"/>
          <w:spacing w:val="0"/>
          <w:w w:val="100"/>
          <w:position w:val="0"/>
        </w:rPr>
        <w:t>本公司的主要金融工具包括货币资金、股权投资、借款、应收款项、应付款项等。在日常活动中面临各种金融工具的风 险，主要包括信用风险、流动性风险、市场风险。与这些金融工具相关的风险，以及本公司为降低这些风险所采取的风险管 理政策如下所述：</w:t>
      </w:r>
    </w:p>
    <w:p>
      <w:pPr>
        <w:pStyle w:val="Style18"/>
        <w:keepNext w:val="0"/>
        <w:keepLines w:val="0"/>
        <w:widowControl w:val="0"/>
        <w:shd w:val="clear" w:color="auto" w:fill="auto"/>
        <w:bidi w:val="0"/>
        <w:spacing w:before="0" w:after="140" w:line="271" w:lineRule="auto"/>
        <w:ind w:left="0" w:right="0" w:firstLine="38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信用风险</w:t>
      </w:r>
    </w:p>
    <w:p>
      <w:pPr>
        <w:pStyle w:val="Style18"/>
        <w:keepNext w:val="0"/>
        <w:keepLines w:val="0"/>
        <w:widowControl w:val="0"/>
        <w:shd w:val="clear" w:color="auto" w:fill="auto"/>
        <w:bidi w:val="0"/>
        <w:spacing w:before="0" w:after="140" w:line="230" w:lineRule="exact"/>
        <w:ind w:left="0" w:right="0" w:firstLine="380"/>
        <w:jc w:val="left"/>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18"/>
        <w:keepNext w:val="0"/>
        <w:keepLines w:val="0"/>
        <w:widowControl w:val="0"/>
        <w:shd w:val="clear" w:color="auto" w:fill="auto"/>
        <w:bidi w:val="0"/>
        <w:spacing w:before="0" w:after="140" w:line="233" w:lineRule="exact"/>
        <w:ind w:left="0" w:right="0" w:firstLine="380"/>
        <w:jc w:val="left"/>
      </w:pPr>
      <w:r>
        <w:rPr>
          <w:color w:val="000000"/>
          <w:spacing w:val="0"/>
          <w:w w:val="100"/>
          <w:position w:val="0"/>
        </w:rPr>
        <w:t>本公司已采取政策只与信用良好的交易对手进行交易。在客户信用考察方面，本公司首先从客户的经营情况、资金来源、 与本公司合作的历史记录等方面进行信用考察，选择商业信誉良好、支付能力较高的客户进行业务合作，如各级行政机关及 事业单位、大中型国有企业等；其次，在项目实施过程中要求销售人员密切关注客户的经营情况和财务状况并及时反馈信息， 以便在客户出现经营恶化、支付能力下降等情况时能及时采取补救措施。在应收账款控制管理方面，本公司在签订销售合同 前均由法律部对合同条款进行审查，防止错漏、歧义发生，并在合同签订时根据客户的信用情况具体确定应收账款的信用额 度和信用期间，尽量争取对本公司收取账款有利的条款；其次，对于信用期内的应收账款，要求财务部专门人员定期对账并 及时抄报销售部和公司有关高管，以督促销售人员及时做好与客户之间的对账、催收工作；第三，对于超过信用期的应收账 款，除财务部继续作好对账工作外，由法律部、销售部会同公司有关高管根据客户的具体情况研究确定催收方案；第四，将 货款的回笼作为考核相关销售人员的主要指标。</w:t>
      </w:r>
    </w:p>
    <w:p>
      <w:pPr>
        <w:pStyle w:val="Style18"/>
        <w:keepNext w:val="0"/>
        <w:keepLines w:val="0"/>
        <w:widowControl w:val="0"/>
        <w:shd w:val="clear" w:color="auto" w:fill="auto"/>
        <w:bidi w:val="0"/>
        <w:spacing w:before="0" w:after="140" w:line="230" w:lineRule="exact"/>
        <w:ind w:left="0" w:right="0" w:firstLine="380"/>
        <w:jc w:val="left"/>
      </w:pPr>
      <w:r>
        <w:rPr>
          <w:color w:val="000000"/>
          <w:spacing w:val="0"/>
          <w:w w:val="100"/>
          <w:position w:val="0"/>
        </w:rPr>
        <w:t>本公司其他金融资产包括货币资金、其他应收款、长期应收款等，这些金融资产的信用风险源自于交易对手违约，最大 信用风险敞口为资产负债表中每项金融资产的账面金额。</w:t>
      </w:r>
    </w:p>
    <w:p>
      <w:pPr>
        <w:pStyle w:val="Style18"/>
        <w:keepNext w:val="0"/>
        <w:keepLines w:val="0"/>
        <w:widowControl w:val="0"/>
        <w:shd w:val="clear" w:color="auto" w:fill="auto"/>
        <w:bidi w:val="0"/>
        <w:spacing w:before="0" w:after="140" w:line="230" w:lineRule="exact"/>
        <w:ind w:left="0" w:right="0" w:firstLine="380"/>
        <w:jc w:val="left"/>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18"/>
        <w:keepNext w:val="0"/>
        <w:keepLines w:val="0"/>
        <w:widowControl w:val="0"/>
        <w:shd w:val="clear" w:color="auto" w:fill="auto"/>
        <w:bidi w:val="0"/>
        <w:spacing w:before="0" w:after="140" w:line="239" w:lineRule="exact"/>
        <w:ind w:left="0" w:right="0" w:firstLine="380"/>
        <w:jc w:val="left"/>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 货币政策等前瞻性信息进行调整得出预期损失率。对于长期应收款，本公司综合考虑结算期、合同约定付款期、债务人的财 务状况和债务人所处行业的经济形势，并考虑上述前瞻性信息进行调整后对于预期信用损失进行合理评估。</w:t>
      </w: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235"/>
        <w:gridCol w:w="3154"/>
        <w:gridCol w:w="313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81,718,347.77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817,183.48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6,819,029,014.49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740,445,067.04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25,268,086.02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592,578,057.93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98,382,341.40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长期应收款（含一年内到期的款项）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359,203,580.39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3,592,035.82</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7,877,797,086.60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843,236,627.74</w:t>
            </w:r>
          </w:p>
        </w:tc>
      </w:tr>
    </w:tbl>
    <w:p>
      <w:pPr>
        <w:widowControl w:val="0"/>
        <w:spacing w:after="139" w:line="1" w:lineRule="exact"/>
      </w:pPr>
    </w:p>
    <w:p>
      <w:pPr>
        <w:pStyle w:val="Style18"/>
        <w:keepNext w:val="0"/>
        <w:keepLines w:val="0"/>
        <w:widowControl w:val="0"/>
        <w:shd w:val="clear" w:color="auto" w:fill="auto"/>
        <w:bidi w:val="0"/>
        <w:spacing w:before="0" w:after="140" w:line="235" w:lineRule="exact"/>
        <w:ind w:left="0" w:right="0" w:firstLine="380"/>
        <w:jc w:val="left"/>
      </w:pPr>
      <w:r>
        <w:rPr>
          <w:color w:val="000000"/>
          <w:spacing w:val="0"/>
          <w:w w:val="100"/>
          <w:position w:val="0"/>
        </w:rPr>
        <w:t>本公司的主要客户为各级行政机关及事业单位、大中型国有企业等，该等客户具有可靠及良好的信誉，因此，本公司认 为该等客户并无重大信用风险。由于本公司的客户广泛，因此没有重大的信用集中风险。</w:t>
      </w:r>
    </w:p>
    <w:p>
      <w:pPr>
        <w:pStyle w:val="Style18"/>
        <w:keepNext w:val="0"/>
        <w:keepLines w:val="0"/>
        <w:widowControl w:val="0"/>
        <w:shd w:val="clear" w:color="auto" w:fill="auto"/>
        <w:bidi w:val="0"/>
        <w:spacing w:before="0" w:after="140" w:line="232" w:lineRule="exact"/>
        <w:ind w:left="0" w:right="0" w:firstLine="38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流动性风险</w:t>
      </w:r>
    </w:p>
    <w:p>
      <w:pPr>
        <w:pStyle w:val="Style18"/>
        <w:keepNext w:val="0"/>
        <w:keepLines w:val="0"/>
        <w:widowControl w:val="0"/>
        <w:shd w:val="clear" w:color="auto" w:fill="auto"/>
        <w:bidi w:val="0"/>
        <w:spacing w:before="0" w:after="160" w:line="232" w:lineRule="exact"/>
        <w:ind w:left="0" w:right="0" w:firstLine="380"/>
        <w:jc w:val="left"/>
      </w:pPr>
      <w:r>
        <w:rPr>
          <w:color w:val="000000"/>
          <w:spacing w:val="0"/>
          <w:w w:val="100"/>
          <w:position w:val="0"/>
        </w:rPr>
        <w:t xml:space="preserve">流动性风险是指本公司在履行以交付现金或其他金融资产的方式结算的义务时发生资金短缺的风险。公司财务部门预测 企业的现金流量，在公司层面持续监控公司短期和长期的资金需求，以确保维持充裕的现金储备；同时持续监控是否符合借 款协议的规定，从主要金融机构获得提供足够备用资金的承诺，以满足短期和长期的资金需求。此外，本公司与主要业务往 来银行订立融资额度授信协议，为本公司履行与银行借款相关的义务提供支持。公司银行信贷信誉良好，融资渠道畅通，未 </w:t>
      </w:r>
      <w:r>
        <w:rPr>
          <w:color w:val="000000"/>
          <w:spacing w:val="0"/>
          <w:w w:val="100"/>
          <w:position w:val="0"/>
        </w:rPr>
        <w:t>来资金来源有充足保证。</w:t>
      </w:r>
    </w:p>
    <w:p>
      <w:pPr>
        <w:pStyle w:val="Style18"/>
        <w:keepNext w:val="0"/>
        <w:keepLines w:val="0"/>
        <w:widowControl w:val="0"/>
        <w:numPr>
          <w:ilvl w:val="0"/>
          <w:numId w:val="83"/>
        </w:numPr>
        <w:shd w:val="clear" w:color="auto" w:fill="auto"/>
        <w:tabs>
          <w:tab w:pos="680" w:val="left"/>
        </w:tabs>
        <w:bidi w:val="0"/>
        <w:spacing w:before="0" w:after="160" w:line="266" w:lineRule="auto"/>
        <w:ind w:left="0" w:right="0" w:firstLine="360"/>
        <w:jc w:val="both"/>
      </w:pPr>
      <w:bookmarkStart w:id="2143" w:name="bookmark2143"/>
      <w:bookmarkEnd w:id="2143"/>
      <w:r>
        <w:rPr>
          <w:b/>
          <w:bCs/>
          <w:color w:val="000000"/>
          <w:spacing w:val="0"/>
          <w:w w:val="100"/>
          <w:position w:val="0"/>
        </w:rPr>
        <w:t>市场风险</w:t>
      </w:r>
    </w:p>
    <w:p>
      <w:pPr>
        <w:pStyle w:val="Style18"/>
        <w:keepNext w:val="0"/>
        <w:keepLines w:val="0"/>
        <w:widowControl w:val="0"/>
        <w:shd w:val="clear" w:color="auto" w:fill="auto"/>
        <w:tabs>
          <w:tab w:pos="805" w:val="left"/>
        </w:tabs>
        <w:bidi w:val="0"/>
        <w:spacing w:before="0" w:after="160" w:line="230" w:lineRule="exact"/>
        <w:ind w:left="0" w:right="0" w:firstLine="360"/>
        <w:jc w:val="both"/>
      </w:pPr>
      <w:bookmarkStart w:id="2144" w:name="bookmark2144"/>
      <w:r>
        <w:rPr>
          <w:color w:val="000000"/>
          <w:spacing w:val="0"/>
          <w:w w:val="100"/>
          <w:position w:val="0"/>
        </w:rPr>
        <w:t>（</w:t>
      </w:r>
      <w:bookmarkEnd w:id="21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汇率风险</w:t>
      </w:r>
    </w:p>
    <w:p>
      <w:pPr>
        <w:pStyle w:val="Style18"/>
        <w:keepNext w:val="0"/>
        <w:keepLines w:val="0"/>
        <w:widowControl w:val="0"/>
        <w:shd w:val="clear" w:color="auto" w:fill="auto"/>
        <w:bidi w:val="0"/>
        <w:spacing w:before="0" w:after="160" w:line="230" w:lineRule="exact"/>
        <w:ind w:left="0" w:right="0" w:firstLine="360"/>
        <w:jc w:val="both"/>
      </w:pPr>
      <w:r>
        <w:rPr>
          <w:color w:val="000000"/>
          <w:spacing w:val="0"/>
          <w:w w:val="100"/>
          <w:position w:val="0"/>
        </w:rPr>
        <w:t>本公司的主要经营位于中国境内，主要业务以人民币结算。但本公司已确认的外币资产和负债及未来的外币交易（外币 资产和负债及外币交易的计价货币主要为美元）依然存在汇率风险。本公司财务部门负责监控公司外币交易和外币资产及负 债的规模，以最大程度降低面临的汇率风险；为此，本公司可能会采用合适的方式来达到规避汇率风险的目的。</w:t>
      </w:r>
    </w:p>
    <w:p>
      <w:pPr>
        <w:pStyle w:val="Style18"/>
        <w:keepNext w:val="0"/>
        <w:keepLines w:val="0"/>
        <w:widowControl w:val="0"/>
        <w:shd w:val="clear" w:color="auto" w:fill="auto"/>
        <w:tabs>
          <w:tab w:pos="709" w:val="left"/>
        </w:tabs>
        <w:bidi w:val="0"/>
        <w:spacing w:before="0" w:after="160" w:line="230" w:lineRule="exact"/>
        <w:ind w:left="0" w:right="0" w:firstLine="360"/>
        <w:jc w:val="both"/>
      </w:pPr>
      <w:bookmarkStart w:id="2145" w:name="bookmark2145"/>
      <w:r>
        <w:rPr>
          <w:rFonts w:ascii="Times New Roman" w:eastAsia="Times New Roman" w:hAnsi="Times New Roman" w:cs="Times New Roman"/>
          <w:color w:val="000000"/>
          <w:spacing w:val="0"/>
          <w:w w:val="100"/>
          <w:position w:val="0"/>
          <w:sz w:val="18"/>
          <w:szCs w:val="18"/>
        </w:rPr>
        <w:t>1</w:t>
      </w:r>
      <w:bookmarkEnd w:id="2145"/>
      <w:r>
        <w:rPr>
          <w:color w:val="000000"/>
          <w:spacing w:val="0"/>
          <w:w w:val="100"/>
          <w:position w:val="0"/>
        </w:rPr>
        <w:t>）</w:t>
        <w:tab/>
        <w:t>本年度公司未签署任何远期外汇合约或货币互换合约。</w:t>
      </w:r>
    </w:p>
    <w:p>
      <w:pPr>
        <w:pStyle w:val="Style18"/>
        <w:keepNext w:val="0"/>
        <w:keepLines w:val="0"/>
        <w:widowControl w:val="0"/>
        <w:shd w:val="clear" w:color="auto" w:fill="auto"/>
        <w:bidi w:val="0"/>
        <w:spacing w:before="0" w:after="160" w:line="230" w:lineRule="exact"/>
        <w:ind w:left="0" w:right="0" w:firstLine="360"/>
        <w:jc w:val="both"/>
      </w:pPr>
      <w:bookmarkStart w:id="2146" w:name="bookmark2146"/>
      <w:r>
        <w:rPr>
          <w:rFonts w:ascii="Times New Roman" w:eastAsia="Times New Roman" w:hAnsi="Times New Roman" w:cs="Times New Roman"/>
          <w:color w:val="000000"/>
          <w:spacing w:val="0"/>
          <w:w w:val="100"/>
          <w:position w:val="0"/>
          <w:sz w:val="18"/>
          <w:szCs w:val="18"/>
        </w:rPr>
        <w:t>2</w:t>
      </w:r>
      <w:bookmarkEnd w:id="2146"/>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日，本公司持有的外币金融资产和外币金融负债的情况详见本附注六、注释</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w:t>
      </w:r>
    </w:p>
    <w:p>
      <w:pPr>
        <w:pStyle w:val="Style18"/>
        <w:keepNext w:val="0"/>
        <w:keepLines w:val="0"/>
        <w:widowControl w:val="0"/>
        <w:shd w:val="clear" w:color="auto" w:fill="auto"/>
        <w:tabs>
          <w:tab w:pos="805" w:val="left"/>
        </w:tabs>
        <w:bidi w:val="0"/>
        <w:spacing w:before="0" w:after="160" w:line="230" w:lineRule="exact"/>
        <w:ind w:left="0" w:right="0" w:firstLine="360"/>
        <w:jc w:val="both"/>
      </w:pPr>
      <w:bookmarkStart w:id="2147" w:name="bookmark2147"/>
      <w:r>
        <w:rPr>
          <w:color w:val="000000"/>
          <w:spacing w:val="0"/>
          <w:w w:val="100"/>
          <w:position w:val="0"/>
        </w:rPr>
        <w:t>（</w:t>
      </w:r>
      <w:bookmarkEnd w:id="21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w:t>
      </w:r>
    </w:p>
    <w:p>
      <w:pPr>
        <w:pStyle w:val="Style18"/>
        <w:keepNext w:val="0"/>
        <w:keepLines w:val="0"/>
        <w:widowControl w:val="0"/>
        <w:shd w:val="clear" w:color="auto" w:fill="auto"/>
        <w:bidi w:val="0"/>
        <w:spacing w:before="0" w:after="160" w:line="230" w:lineRule="exact"/>
        <w:ind w:left="0" w:right="0" w:firstLine="36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18"/>
        <w:keepNext w:val="0"/>
        <w:keepLines w:val="0"/>
        <w:widowControl w:val="0"/>
        <w:shd w:val="clear" w:color="auto" w:fill="auto"/>
        <w:bidi w:val="0"/>
        <w:spacing w:before="0" w:after="160" w:line="233" w:lineRule="exact"/>
        <w:ind w:left="0" w:right="0" w:firstLine="36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带息债务的利息支出，并对本公司的财务业绩产生重大的不利影响，管理层会依据最新的市场状况及时做出调整。公司通过 建立良好的银企关系，根据资金计划合理安排贷款的期限及金额，降低利率波动风险。截至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 款</w:t>
      </w:r>
      <w:r>
        <w:rPr>
          <w:rFonts w:ascii="Times New Roman" w:eastAsia="Times New Roman" w:hAnsi="Times New Roman" w:cs="Times New Roman"/>
          <w:color w:val="000000"/>
          <w:spacing w:val="0"/>
          <w:w w:val="100"/>
          <w:position w:val="0"/>
          <w:sz w:val="18"/>
          <w:szCs w:val="18"/>
        </w:rPr>
        <w:t>3,723,061,491.55</w:t>
      </w:r>
      <w:r>
        <w:rPr>
          <w:color w:val="000000"/>
          <w:spacing w:val="0"/>
          <w:w w:val="100"/>
          <w:position w:val="0"/>
        </w:rPr>
        <w:t>元，在其他变量不变的假设下，利率发生可能的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变动时，将不会对公司的营业利润和股东权益产生重 大的影响。</w:t>
      </w:r>
    </w:p>
    <w:p>
      <w:pPr>
        <w:pStyle w:val="Style18"/>
        <w:keepNext w:val="0"/>
        <w:keepLines w:val="0"/>
        <w:widowControl w:val="0"/>
        <w:numPr>
          <w:ilvl w:val="0"/>
          <w:numId w:val="83"/>
        </w:numPr>
        <w:shd w:val="clear" w:color="auto" w:fill="auto"/>
        <w:tabs>
          <w:tab w:pos="680" w:val="left"/>
        </w:tabs>
        <w:bidi w:val="0"/>
        <w:spacing w:before="0" w:after="160" w:line="266" w:lineRule="auto"/>
        <w:ind w:left="0" w:right="0" w:firstLine="360"/>
        <w:jc w:val="both"/>
      </w:pPr>
      <w:bookmarkStart w:id="2148" w:name="bookmark2148"/>
      <w:bookmarkEnd w:id="2148"/>
      <w:r>
        <w:rPr>
          <w:b/>
          <w:bCs/>
          <w:color w:val="000000"/>
          <w:spacing w:val="0"/>
          <w:w w:val="100"/>
          <w:position w:val="0"/>
        </w:rPr>
        <w:t>价格风险</w:t>
      </w:r>
    </w:p>
    <w:p>
      <w:pPr>
        <w:pStyle w:val="Style18"/>
        <w:keepNext w:val="0"/>
        <w:keepLines w:val="0"/>
        <w:widowControl w:val="0"/>
        <w:shd w:val="clear" w:color="auto" w:fill="auto"/>
        <w:bidi w:val="0"/>
        <w:spacing w:before="0" w:after="360" w:line="230" w:lineRule="exact"/>
        <w:ind w:left="0" w:right="0" w:firstLine="360"/>
        <w:jc w:val="both"/>
      </w:pPr>
      <w:r>
        <w:rPr>
          <w:color w:val="000000"/>
          <w:spacing w:val="0"/>
          <w:w w:val="100"/>
          <w:position w:val="0"/>
        </w:rPr>
        <w:t>价格风险指汇率风险和利率风险以外的市场价格变动而发生波动的风险，主要源于商品价格、权益工具价格以及其他风 险变量的变化。</w:t>
      </w:r>
    </w:p>
    <w:p>
      <w:pPr>
        <w:pStyle w:val="Style24"/>
        <w:keepNext/>
        <w:keepLines/>
        <w:widowControl w:val="0"/>
        <w:shd w:val="clear" w:color="auto" w:fill="auto"/>
        <w:bidi w:val="0"/>
        <w:spacing w:before="0" w:line="240" w:lineRule="auto"/>
        <w:ind w:left="0" w:right="0" w:firstLine="0"/>
        <w:jc w:val="both"/>
      </w:pPr>
      <w:bookmarkStart w:id="2149" w:name="bookmark2149"/>
      <w:bookmarkStart w:id="2150" w:name="bookmark2150"/>
      <w:bookmarkStart w:id="2151" w:name="bookmark2151"/>
      <w:r>
        <w:rPr>
          <w:color w:val="000000"/>
          <w:spacing w:val="0"/>
          <w:w w:val="100"/>
          <w:position w:val="0"/>
        </w:rPr>
        <w:t>十一、公允价值的披露</w:t>
      </w:r>
      <w:bookmarkEnd w:id="2149"/>
      <w:bookmarkEnd w:id="2150"/>
      <w:bookmarkEnd w:id="2151"/>
    </w:p>
    <w:p>
      <w:pPr>
        <w:pStyle w:val="Style29"/>
        <w:keepNext/>
        <w:keepLines/>
        <w:widowControl w:val="0"/>
        <w:shd w:val="clear" w:color="auto" w:fill="auto"/>
        <w:bidi w:val="0"/>
        <w:spacing w:before="0" w:after="360" w:line="240" w:lineRule="auto"/>
        <w:ind w:left="0" w:right="0" w:firstLine="0"/>
        <w:jc w:val="both"/>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52"/>
      <w:bookmarkEnd w:id="2153"/>
      <w:bookmarkEnd w:id="21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87"/>
        <w:gridCol w:w="1982"/>
        <w:gridCol w:w="1987"/>
        <w:gridCol w:w="135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1,007,975,065.72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1,007,975,065.72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1,007,975,065.72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1,007,975,065.72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25,268,086.02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25,268,086.02</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1,033,243,151.74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1,033,243,151.74</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55"/>
      <w:bookmarkEnd w:id="2156"/>
      <w:bookmarkEnd w:id="2157"/>
    </w:p>
    <w:p>
      <w:pPr>
        <w:pStyle w:val="Style18"/>
        <w:keepNext w:val="0"/>
        <w:keepLines w:val="0"/>
        <w:widowControl w:val="0"/>
        <w:shd w:val="clear" w:color="auto" w:fill="auto"/>
        <w:bidi w:val="0"/>
        <w:spacing w:before="0" w:after="160" w:line="240" w:lineRule="auto"/>
        <w:ind w:left="0" w:right="0" w:firstLine="360"/>
        <w:jc w:val="both"/>
      </w:pPr>
      <w:r>
        <w:rPr>
          <w:color w:val="000000"/>
          <w:spacing w:val="0"/>
          <w:w w:val="100"/>
          <w:position w:val="0"/>
        </w:rPr>
        <w:t>持有交易所上市无锁定期股票，以期末股票收盘价作为第一层次公允价值计量依据。</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w:t>
        <w:tab/>
        <w:t>持续和非持续第二层次公允价值计量项目，采用的估值技术和重要参数的定性及定量信息</w:t>
      </w:r>
      <w:bookmarkEnd w:id="2158"/>
      <w:bookmarkEnd w:id="2159"/>
      <w:bookmarkEnd w:id="2161"/>
    </w:p>
    <w:p>
      <w:pPr>
        <w:pStyle w:val="Style18"/>
        <w:keepNext w:val="0"/>
        <w:keepLines w:val="0"/>
        <w:widowControl w:val="0"/>
        <w:shd w:val="clear" w:color="auto" w:fill="auto"/>
        <w:bidi w:val="0"/>
        <w:spacing w:before="0" w:after="340" w:line="233" w:lineRule="exact"/>
        <w:ind w:left="0" w:right="0" w:firstLine="380"/>
        <w:jc w:val="both"/>
      </w:pPr>
      <w:r>
        <w:rPr>
          <w:color w:val="000000"/>
          <w:spacing w:val="0"/>
          <w:w w:val="100"/>
          <w:position w:val="0"/>
        </w:rPr>
        <w:t>持有有明确锁定期的股票，如果股票的初始取得成本高于在证券交易所上市交易的同一股票的市价，采用在证券交易所 上市交易的同一股票的市价作为估值日该股票的价值。如果股票的初始取得成本低于在证券交易所上市交易的同一股票的市 价，采用相应的估值技术确定估值日该股票的公允价值。</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4</w:t>
      </w:r>
      <w:bookmarkEnd w:id="2164"/>
      <w:r>
        <w:rPr>
          <w:color w:val="000000"/>
          <w:spacing w:val="0"/>
          <w:w w:val="100"/>
          <w:position w:val="0"/>
        </w:rPr>
        <w:t>、</w:t>
        <w:tab/>
        <w:t>持续和非持续第三层次公允价值计量项目，采用的估值技术和重要参数的定性及定量信息</w:t>
      </w:r>
      <w:bookmarkEnd w:id="2162"/>
      <w:bookmarkEnd w:id="2163"/>
      <w:bookmarkEnd w:id="2165"/>
    </w:p>
    <w:p>
      <w:pPr>
        <w:pStyle w:val="Style18"/>
        <w:keepNext w:val="0"/>
        <w:keepLines w:val="0"/>
        <w:widowControl w:val="0"/>
        <w:shd w:val="clear" w:color="auto" w:fill="auto"/>
        <w:bidi w:val="0"/>
        <w:spacing w:before="0" w:after="340" w:line="235" w:lineRule="exact"/>
        <w:ind w:left="0" w:right="0" w:firstLine="380"/>
        <w:jc w:val="both"/>
      </w:pPr>
      <w:r>
        <w:rPr>
          <w:color w:val="000000"/>
          <w:spacing w:val="0"/>
          <w:w w:val="100"/>
          <w:position w:val="0"/>
        </w:rPr>
        <w:t>对于持有的应收款项融资，采用票面金额确定其公允价值；对持有的其他非流动金融资产参考享有被投资单位净资产份 额、近期外部融资价格或者其他合理的方法确定公允价值。</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5</w:t>
      </w:r>
      <w:bookmarkEnd w:id="2168"/>
      <w:r>
        <w:rPr>
          <w:color w:val="000000"/>
          <w:spacing w:val="0"/>
          <w:w w:val="100"/>
          <w:position w:val="0"/>
        </w:rPr>
        <w:t>、</w:t>
        <w:tab/>
        <w:t>持续的第三层次公允价值计量项目，期初与期末账面价值间的调节信息及不可观察参数敏感性分析</w:t>
      </w:r>
      <w:bookmarkEnd w:id="2166"/>
      <w:bookmarkEnd w:id="2167"/>
      <w:bookmarkEnd w:id="2169"/>
    </w:p>
    <w:p>
      <w:pPr>
        <w:pStyle w:val="Style18"/>
        <w:keepNext w:val="0"/>
        <w:keepLines w:val="0"/>
        <w:widowControl w:val="0"/>
        <w:shd w:val="clear" w:color="auto" w:fill="auto"/>
        <w:bidi w:val="0"/>
        <w:spacing w:before="0" w:after="400" w:line="235"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6</w:t>
      </w:r>
      <w:bookmarkEnd w:id="2172"/>
      <w:r>
        <w:rPr>
          <w:color w:val="000000"/>
          <w:spacing w:val="0"/>
          <w:w w:val="100"/>
          <w:position w:val="0"/>
        </w:rPr>
        <w:t>、</w:t>
        <w:tab/>
        <w:t>持续的公允价值计量项目，本期内发生各层级之间转换的，转换的原因及确定转换时点的政策</w:t>
      </w:r>
      <w:bookmarkEnd w:id="2170"/>
      <w:bookmarkEnd w:id="2171"/>
      <w:bookmarkEnd w:id="2173"/>
    </w:p>
    <w:p>
      <w:pPr>
        <w:pStyle w:val="Style18"/>
        <w:keepNext w:val="0"/>
        <w:keepLines w:val="0"/>
        <w:widowControl w:val="0"/>
        <w:shd w:val="clear" w:color="auto" w:fill="auto"/>
        <w:bidi w:val="0"/>
        <w:spacing w:before="0" w:after="400" w:line="235"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7</w:t>
      </w:r>
      <w:bookmarkEnd w:id="2176"/>
      <w:r>
        <w:rPr>
          <w:color w:val="000000"/>
          <w:spacing w:val="0"/>
          <w:w w:val="100"/>
          <w:position w:val="0"/>
        </w:rPr>
        <w:t>、</w:t>
        <w:tab/>
        <w:t>本期内发生的估值技术变更及变更原因</w:t>
      </w:r>
      <w:bookmarkEnd w:id="2174"/>
      <w:bookmarkEnd w:id="2175"/>
      <w:bookmarkEnd w:id="2177"/>
    </w:p>
    <w:p>
      <w:pPr>
        <w:pStyle w:val="Style18"/>
        <w:keepNext w:val="0"/>
        <w:keepLines w:val="0"/>
        <w:widowControl w:val="0"/>
        <w:shd w:val="clear" w:color="auto" w:fill="auto"/>
        <w:bidi w:val="0"/>
        <w:spacing w:before="0" w:after="400" w:line="235"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8</w:t>
      </w:r>
      <w:bookmarkEnd w:id="2180"/>
      <w:r>
        <w:rPr>
          <w:color w:val="000000"/>
          <w:spacing w:val="0"/>
          <w:w w:val="100"/>
          <w:position w:val="0"/>
        </w:rPr>
        <w:t>、</w:t>
        <w:tab/>
        <w:t>不以公允价值计量的金融资产和金融负债的公允价值情况</w:t>
      </w:r>
      <w:bookmarkEnd w:id="2178"/>
      <w:bookmarkEnd w:id="2179"/>
      <w:bookmarkEnd w:id="2181"/>
    </w:p>
    <w:p>
      <w:pPr>
        <w:pStyle w:val="Style18"/>
        <w:keepNext w:val="0"/>
        <w:keepLines w:val="0"/>
        <w:widowControl w:val="0"/>
        <w:shd w:val="clear" w:color="auto" w:fill="auto"/>
        <w:bidi w:val="0"/>
        <w:spacing w:before="0" w:after="340" w:line="235" w:lineRule="exact"/>
        <w:ind w:left="0" w:right="0" w:firstLine="380"/>
        <w:jc w:val="both"/>
      </w:pPr>
      <w:r>
        <w:rPr>
          <w:color w:val="000000"/>
          <w:spacing w:val="0"/>
          <w:w w:val="100"/>
          <w:position w:val="0"/>
        </w:rPr>
        <w:t>不以公允价值计量的金融资产和负债主要包括：应收款项、短期借款、应付款项、一年内到期的非流动负债，上述不以 公允价值计量的金融资产和负债的账面价值与公允价值相差很小。</w:t>
      </w:r>
    </w:p>
    <w:p>
      <w:pPr>
        <w:pStyle w:val="Style29"/>
        <w:keepNext/>
        <w:keepLines/>
        <w:widowControl w:val="0"/>
        <w:shd w:val="clear" w:color="auto" w:fill="auto"/>
        <w:tabs>
          <w:tab w:pos="378" w:val="left"/>
        </w:tabs>
        <w:bidi w:val="0"/>
        <w:spacing w:before="0" w:after="340" w:line="240" w:lineRule="auto"/>
        <w:ind w:left="0" w:right="0" w:firstLine="0"/>
        <w:jc w:val="both"/>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9</w:t>
      </w:r>
      <w:bookmarkEnd w:id="2184"/>
      <w:r>
        <w:rPr>
          <w:color w:val="000000"/>
          <w:spacing w:val="0"/>
          <w:w w:val="100"/>
          <w:position w:val="0"/>
        </w:rPr>
        <w:t>、</w:t>
        <w:tab/>
        <w:t>其他</w:t>
      </w:r>
      <w:bookmarkEnd w:id="2182"/>
      <w:bookmarkEnd w:id="2183"/>
      <w:bookmarkEnd w:id="2185"/>
    </w:p>
    <w:p>
      <w:pPr>
        <w:pStyle w:val="Style24"/>
        <w:keepNext/>
        <w:keepLines/>
        <w:widowControl w:val="0"/>
        <w:shd w:val="clear" w:color="auto" w:fill="auto"/>
        <w:bidi w:val="0"/>
        <w:spacing w:before="0" w:after="400" w:line="240" w:lineRule="auto"/>
        <w:ind w:left="0" w:right="0" w:firstLine="0"/>
        <w:jc w:val="both"/>
      </w:pPr>
      <w:bookmarkStart w:id="2186" w:name="bookmark2186"/>
      <w:bookmarkStart w:id="2187" w:name="bookmark2187"/>
      <w:bookmarkStart w:id="2188" w:name="bookmark2188"/>
      <w:r>
        <w:rPr>
          <w:color w:val="000000"/>
          <w:spacing w:val="0"/>
          <w:w w:val="100"/>
          <w:position w:val="0"/>
        </w:rPr>
        <w:t>十二、关联方及关联交易</w:t>
      </w:r>
      <w:bookmarkEnd w:id="2186"/>
      <w:bookmarkEnd w:id="2187"/>
      <w:bookmarkEnd w:id="2188"/>
    </w:p>
    <w:p>
      <w:pPr>
        <w:pStyle w:val="Style29"/>
        <w:keepNext/>
        <w:keepLines/>
        <w:widowControl w:val="0"/>
        <w:shd w:val="clear" w:color="auto" w:fill="auto"/>
        <w:bidi w:val="0"/>
        <w:spacing w:before="0" w:after="340" w:line="240" w:lineRule="auto"/>
        <w:ind w:left="0" w:right="0" w:firstLine="0"/>
        <w:jc w:val="both"/>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89"/>
      <w:bookmarkEnd w:id="2190"/>
      <w:bookmarkEnd w:id="2191"/>
    </w:p>
    <w:tbl>
      <w:tblPr>
        <w:tblOverlap w:val="never"/>
        <w:jc w:val="center"/>
        <w:tblLayout w:type="fixed"/>
      </w:tblPr>
      <w:tblGrid>
        <w:gridCol w:w="2136"/>
        <w:gridCol w:w="1560"/>
        <w:gridCol w:w="1555"/>
        <w:gridCol w:w="1704"/>
        <w:gridCol w:w="1277"/>
        <w:gridCol w:w="1354"/>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母公司对本企</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业的持股比例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母公司对本企业 的表决权比例</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北京东华诚信电脑科技发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3,983.5347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本企业的母公司情况的说明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本企业最终控制方是薛向东及其家族。</w:t>
      </w:r>
    </w:p>
    <w:p>
      <w:pPr>
        <w:pStyle w:val="Style29"/>
        <w:keepNext/>
        <w:keepLines/>
        <w:widowControl w:val="0"/>
        <w:shd w:val="clear" w:color="auto" w:fill="auto"/>
        <w:bidi w:val="0"/>
        <w:spacing w:before="0" w:after="400" w:line="240" w:lineRule="auto"/>
        <w:ind w:left="0" w:right="0" w:firstLine="0"/>
        <w:jc w:val="both"/>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192"/>
      <w:bookmarkEnd w:id="2193"/>
      <w:bookmarkEnd w:id="2194"/>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本企业子公司的情况详见附注八（一）在子公司中的权益。</w:t>
      </w:r>
      <w:r>
        <w:br w:type="page"/>
      </w:r>
    </w:p>
    <w:p>
      <w:pPr>
        <w:pStyle w:val="Style29"/>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3</w:t>
      </w:r>
      <w:bookmarkEnd w:id="2197"/>
      <w:r>
        <w:rPr>
          <w:color w:val="000000"/>
          <w:spacing w:val="0"/>
          <w:w w:val="100"/>
          <w:position w:val="0"/>
        </w:rPr>
        <w:t>、本企业合营和联营企业情况</w:t>
      </w:r>
      <w:bookmarkEnd w:id="2195"/>
      <w:bookmarkEnd w:id="2196"/>
      <w:bookmarkEnd w:id="21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本企业重要的合营或联营企业详见附注八（三）在合营安排或联营企业中的权益。</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4</w:t>
      </w:r>
      <w:bookmarkEnd w:id="2201"/>
      <w:r>
        <w:rPr>
          <w:color w:val="000000"/>
          <w:spacing w:val="0"/>
          <w:w w:val="100"/>
          <w:position w:val="0"/>
        </w:rPr>
        <w:t>、其他关联方情况</w:t>
      </w:r>
      <w:bookmarkEnd w:id="2199"/>
      <w:bookmarkEnd w:id="2200"/>
      <w:bookmarkEnd w:id="2202"/>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公司实际控制人配偶控制的公司</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河北雄安新区腾讯计算机系统有限公司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本公司参股股东的关联方</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离任不满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个月的独董担任独董</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实际控制人担任董事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实际控制人的配偶</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离职不满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个月的高管</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儋州星控信联企业管理合伙企业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离职不满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个月的高管担任执行合伙事务代表</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儋州星控综联企业管理合伙企业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公司高管担任执行合伙事务代表</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儋州星控融联企业管理合伙企业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公司高管担任执行合伙事务代表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5</w:t>
      </w:r>
      <w:bookmarkEnd w:id="2205"/>
      <w:r>
        <w:rPr>
          <w:color w:val="000000"/>
          <w:spacing w:val="0"/>
          <w:w w:val="100"/>
          <w:position w:val="0"/>
        </w:rPr>
        <w:t>、关联交易情况</w:t>
      </w:r>
      <w:bookmarkEnd w:id="2203"/>
      <w:bookmarkEnd w:id="2204"/>
      <w:bookmarkEnd w:id="2206"/>
    </w:p>
    <w:p>
      <w:pPr>
        <w:pStyle w:val="Style40"/>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07"/>
      <w:bookmarkEnd w:id="2208"/>
      <w:bookmarkEnd w:id="220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843"/>
        <w:gridCol w:w="1272"/>
        <w:gridCol w:w="1133"/>
        <w:gridCol w:w="994"/>
        <w:gridCol w:w="1214"/>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获批的交易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是否超过交</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89,906,727.50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36,246,275.73</w:t>
            </w:r>
          </w:p>
        </w:tc>
      </w:tr>
    </w:tbl>
    <w:p>
      <w:pPr>
        <w:spacing w:lineRule="exact" w:line="1"/>
        <w:rPr>
          <w:sz w:val="2"/>
          <w:szCs w:val="2"/>
        </w:rPr>
      </w:pPr>
      <w:r>
        <w:br w:type="page"/>
      </w:r>
    </w:p>
    <w:tbl>
      <w:tblPr>
        <w:tblOverlap w:val="never"/>
        <w:jc w:val="center"/>
        <w:tblLayout w:type="fixed"/>
      </w:tblPr>
      <w:tblGrid>
        <w:gridCol w:w="3130"/>
        <w:gridCol w:w="1843"/>
        <w:gridCol w:w="1272"/>
        <w:gridCol w:w="1133"/>
        <w:gridCol w:w="994"/>
        <w:gridCol w:w="1214"/>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10,371,863.17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11,027,022.59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腾讯云计算（广西）有限责任公司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3,922,353.42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合肥卓讯云网科技有限公司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11,574,336.28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116,416,959.02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47,776,248.32</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13"/>
        <w:gridCol w:w="2126"/>
        <w:gridCol w:w="1982"/>
        <w:gridCol w:w="2064"/>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14,732,558.92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16,923,685.34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4,114,381.56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7,538,731.64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161,886.80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478,880,480.10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392,368,253.86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458,113.20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340,471.70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2,593,256.65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221,886.79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河北雄安新区腾讯计算机系统有限公司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369,622.64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6,168,819.57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6,968,888.71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广西数字医疗科技有限公司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10,796.46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腾讯大地通途（北京）科技有限公司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广州腾讯科技有限公司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508,576,990.20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424,904,223.94</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10"/>
      <w:bookmarkEnd w:id="2211"/>
      <w:bookmarkEnd w:id="221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214"/>
      <w:bookmarkEnd w:id="2215"/>
      <w:bookmarkEnd w:id="221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218"/>
      <w:bookmarkEnd w:id="2219"/>
      <w:bookmarkEnd w:id="222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842"/>
        <w:gridCol w:w="1421"/>
        <w:gridCol w:w="1699"/>
        <w:gridCol w:w="1704"/>
        <w:gridCol w:w="192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59" w:line="1" w:lineRule="exact"/>
      </w:pPr>
    </w:p>
    <w:tbl>
      <w:tblPr>
        <w:tblOverlap w:val="never"/>
        <w:jc w:val="center"/>
        <w:tblLayout w:type="fixed"/>
      </w:tblPr>
      <w:tblGrid>
        <w:gridCol w:w="758"/>
        <w:gridCol w:w="2654"/>
        <w:gridCol w:w="1272"/>
        <w:gridCol w:w="1138"/>
        <w:gridCol w:w="1133"/>
        <w:gridCol w:w="850"/>
        <w:gridCol w:w="850"/>
        <w:gridCol w:w="1003"/>
      </w:tblGrid>
      <w:tr>
        <w:trPr>
          <w:trHeight w:val="67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160"/>
              <w:jc w:val="left"/>
              <w:rPr>
                <w:sz w:val="14"/>
                <w:szCs w:val="14"/>
              </w:rPr>
            </w:pPr>
            <w:r>
              <w:rPr>
                <w:color w:val="000000"/>
                <w:spacing w:val="0"/>
                <w:w w:val="100"/>
                <w:position w:val="0"/>
                <w:sz w:val="14"/>
                <w:szCs w:val="14"/>
              </w:rPr>
              <w:t>项目</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rPr>
              <w:t>借款单位</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借款银行</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rPr>
              <w:t>担保单位</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300"/>
              <w:jc w:val="left"/>
              <w:rPr>
                <w:sz w:val="14"/>
                <w:szCs w:val="14"/>
              </w:rPr>
            </w:pPr>
            <w:r>
              <w:rPr>
                <w:color w:val="000000"/>
                <w:spacing w:val="0"/>
                <w:w w:val="100"/>
                <w:position w:val="0"/>
                <w:sz w:val="14"/>
                <w:szCs w:val="14"/>
              </w:rPr>
              <w:t>担保额度</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实际担保金额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担保起始日</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担保是否已经</w:t>
            </w:r>
          </w:p>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履行完毕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中国民生银行股份有限公司北京分行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24,983,474.16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2021/7/28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中国民生银行股份有限公司北京分行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1,743,800.00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东华医为科技有限公司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中国民生银行股份有限公司北京分行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广发银行股份有限公司北京奥运村支行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26,972,086.87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广发银行股份有限公司北京奥运村支行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2,114,591.77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北京联银通科技有限公司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58"/>
        <w:gridCol w:w="2654"/>
        <w:gridCol w:w="1272"/>
        <w:gridCol w:w="1138"/>
        <w:gridCol w:w="1133"/>
        <w:gridCol w:w="850"/>
        <w:gridCol w:w="850"/>
        <w:gridCol w:w="1003"/>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广发银行股份有限公司北京奥运村支行</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北京东华博泰科技有限公司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广发银行股份有限公司北京奥运村支行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1,163,000.00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2022/11/24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8,940,000.00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2022/11/26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2022/12/14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60" w:line="240" w:lineRule="auto"/>
              <w:ind w:left="0" w:right="0" w:firstLine="0"/>
              <w:jc w:val="left"/>
              <w:rPr>
                <w:sz w:val="14"/>
                <w:szCs w:val="14"/>
              </w:rPr>
            </w:pPr>
            <w:r>
              <w:rPr>
                <w:color w:val="000000"/>
                <w:spacing w:val="0"/>
                <w:w w:val="100"/>
                <w:position w:val="0"/>
                <w:sz w:val="14"/>
                <w:szCs w:val="14"/>
              </w:rPr>
              <w:t>中国建设银行股份有限公司北京安华支</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2022/11/25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招商银行股份有限公司北京分行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15,799,494.60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14"/>
                <w:szCs w:val="14"/>
              </w:rPr>
            </w:pPr>
            <w:r>
              <w:rPr>
                <w:color w:val="000000"/>
                <w:spacing w:val="0"/>
                <w:w w:val="100"/>
                <w:position w:val="0"/>
                <w:sz w:val="14"/>
                <w:szCs w:val="14"/>
              </w:rPr>
              <w:t>国内买方 保理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29,217,650.95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招商银行股份有限公司北京分行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31,068,506.82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东华医为科技有限公司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招商银行股份有限公司北京分行</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2,636,370.00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中国工商银行股份有限公司北京南礼士</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路支行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工银</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3,098,198.00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北京威锐达测控系统有限公司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中国工商银行股份有限公司北京南礼士</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路支行</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2021/6/25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中国工商银行股份有限公司北京南礼士</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路支行</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2021/9/27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2022/9/26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60" w:line="240" w:lineRule="auto"/>
              <w:ind w:left="0" w:right="0" w:firstLine="0"/>
              <w:jc w:val="left"/>
              <w:rPr>
                <w:sz w:val="14"/>
                <w:szCs w:val="14"/>
              </w:rPr>
            </w:pPr>
            <w:r>
              <w:rPr>
                <w:color w:val="000000"/>
                <w:spacing w:val="0"/>
                <w:w w:val="100"/>
                <w:position w:val="0"/>
                <w:sz w:val="14"/>
                <w:szCs w:val="14"/>
              </w:rPr>
              <w:t>上海浦东发展银行股份有限公司北京分</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2022/11/23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2021/12/10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34,925,784.70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上海浦东发展银行股份有限公司北京分</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2021/6/16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东华医为科技有限公司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上海浦东发展银行股份有限公司北京分</w:t>
            </w:r>
          </w:p>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北京神州新桥科技有限公司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58"/>
        <w:gridCol w:w="2654"/>
        <w:gridCol w:w="1272"/>
        <w:gridCol w:w="1138"/>
        <w:gridCol w:w="1133"/>
        <w:gridCol w:w="850"/>
        <w:gridCol w:w="850"/>
        <w:gridCol w:w="1003"/>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北京银行股份有限公司中关村分行</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36,180,000.00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127,830.65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东华互联宜家数据服务有限公司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银行承兑</w:t>
            </w:r>
          </w:p>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上海银行股份有限公司天津分行</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16,239,165.00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北京东华合创科技有限公司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东华软件股份公司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短期借款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兴业银行股份有限公司北京首体支行</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2021/9/23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2022/9/22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29,397,206.05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2022/9/2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否</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银行承兑</w:t>
            </w:r>
          </w:p>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汇票</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20"/>
              <w:jc w:val="left"/>
              <w:rPr>
                <w:sz w:val="14"/>
                <w:szCs w:val="14"/>
              </w:rPr>
            </w:pPr>
            <w:r>
              <w:rPr>
                <w:color w:val="000000"/>
                <w:spacing w:val="0"/>
                <w:w w:val="100"/>
                <w:position w:val="0"/>
                <w:sz w:val="14"/>
                <w:szCs w:val="14"/>
              </w:rPr>
              <w:t>否</w:t>
            </w:r>
          </w:p>
        </w:tc>
      </w:tr>
    </w:tbl>
    <w:p>
      <w:pPr>
        <w:widowControl w:val="0"/>
        <w:spacing w:after="159" w:line="1" w:lineRule="exact"/>
      </w:pPr>
    </w:p>
    <w:p>
      <w:pPr>
        <w:pStyle w:val="Style21"/>
        <w:keepNext w:val="0"/>
        <w:keepLines w:val="0"/>
        <w:widowControl w:val="0"/>
        <w:shd w:val="clear" w:color="auto" w:fill="auto"/>
        <w:bidi w:val="0"/>
        <w:spacing w:before="0" w:line="240" w:lineRule="auto"/>
        <w:ind w:left="0" w:right="0" w:firstLine="440"/>
        <w:jc w:val="left"/>
        <w:rPr>
          <w:sz w:val="20"/>
          <w:szCs w:val="20"/>
        </w:rPr>
      </w:pPr>
      <w:r>
        <w:rPr>
          <w:color w:val="000000"/>
          <w:spacing w:val="0"/>
          <w:w w:val="100"/>
          <w:position w:val="0"/>
          <w:sz w:val="20"/>
          <w:szCs w:val="20"/>
        </w:rPr>
        <w:t>关联担保情况说明：</w:t>
      </w:r>
    </w:p>
    <w:p>
      <w:pPr>
        <w:pStyle w:val="Style18"/>
        <w:keepNext w:val="0"/>
        <w:keepLines w:val="0"/>
        <w:widowControl w:val="0"/>
        <w:shd w:val="clear" w:color="auto" w:fill="auto"/>
        <w:bidi w:val="0"/>
        <w:spacing w:before="0" w:after="0" w:line="322" w:lineRule="exact"/>
        <w:ind w:left="0" w:right="0" w:firstLine="440"/>
        <w:jc w:val="left"/>
      </w:pPr>
      <w:bookmarkStart w:id="2222" w:name="bookmark2222"/>
      <w:r>
        <w:rPr>
          <w:color w:val="000000"/>
          <w:spacing w:val="0"/>
          <w:w w:val="100"/>
          <w:position w:val="0"/>
        </w:rPr>
        <w:t>（</w:t>
      </w:r>
      <w:bookmarkEnd w:id="22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日，公司与中国民生银行股份有限公司北京分行签订的《最高额保证合同》（编号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公高保字第 </w:t>
      </w:r>
      <w:r>
        <w:rPr>
          <w:rFonts w:ascii="Times New Roman" w:eastAsia="Times New Roman" w:hAnsi="Times New Roman" w:cs="Times New Roman"/>
          <w:color w:val="000000"/>
          <w:spacing w:val="0"/>
          <w:w w:val="100"/>
          <w:position w:val="0"/>
          <w:sz w:val="18"/>
          <w:szCs w:val="18"/>
        </w:rPr>
        <w:t>2100000052326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），最高限额为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万元，为公司所属子公司北京神州新桥科技有限公司在该行的全部债务提供最高额 保证。保证期限为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日，北京神州新桥科技有限公司在该合同项下未结清 的保函余额为</w:t>
      </w:r>
      <w:r>
        <w:rPr>
          <w:rFonts w:ascii="Times New Roman" w:eastAsia="Times New Roman" w:hAnsi="Times New Roman" w:cs="Times New Roman"/>
          <w:color w:val="000000"/>
          <w:spacing w:val="0"/>
          <w:w w:val="100"/>
          <w:position w:val="0"/>
          <w:sz w:val="18"/>
          <w:szCs w:val="18"/>
        </w:rPr>
        <w:t>1,743,800.00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日，公司与中国民生银行股份有限公司北京分行签订的《最高额保证合同》（编 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公高保字第</w:t>
      </w:r>
      <w:r>
        <w:rPr>
          <w:rFonts w:ascii="Times New Roman" w:eastAsia="Times New Roman" w:hAnsi="Times New Roman" w:cs="Times New Roman"/>
          <w:color w:val="000000"/>
          <w:spacing w:val="0"/>
          <w:w w:val="100"/>
          <w:position w:val="0"/>
          <w:sz w:val="18"/>
          <w:szCs w:val="18"/>
        </w:rPr>
        <w:t>2100000054719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），最高限额为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万元，为公司所属子公司北京东华合创科技有限公司在该行的全部债 务提供最高额保证。保证期限为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 同项下借款余额为</w:t>
      </w:r>
      <w:r>
        <w:rPr>
          <w:rFonts w:ascii="Times New Roman" w:eastAsia="Times New Roman" w:hAnsi="Times New Roman" w:cs="Times New Roman"/>
          <w:color w:val="000000"/>
          <w:spacing w:val="0"/>
          <w:w w:val="100"/>
          <w:position w:val="0"/>
          <w:sz w:val="18"/>
          <w:szCs w:val="18"/>
        </w:rPr>
        <w:t>29,983,474.16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日，公司与中国民生银行股份有限公司北京分行签订的《最高额保证合同》</w:t>
      </w:r>
    </w:p>
    <w:p>
      <w:pPr>
        <w:pStyle w:val="Style18"/>
        <w:keepNext w:val="0"/>
        <w:keepLines w:val="0"/>
        <w:widowControl w:val="0"/>
        <w:shd w:val="clear" w:color="auto" w:fill="auto"/>
        <w:bidi w:val="0"/>
        <w:spacing w:before="0" w:line="322"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公高保字第</w:t>
      </w:r>
      <w:r>
        <w:rPr>
          <w:rFonts w:ascii="Times New Roman" w:eastAsia="Times New Roman" w:hAnsi="Times New Roman" w:cs="Times New Roman"/>
          <w:color w:val="000000"/>
          <w:spacing w:val="0"/>
          <w:w w:val="100"/>
          <w:position w:val="0"/>
          <w:sz w:val="18"/>
          <w:szCs w:val="18"/>
        </w:rPr>
        <w:t>2100000053491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），最高限额为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万元，为公司所属子公司东华医为科技有限公司在该行的全部债 务提供最高额保证。保证期限为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日，东华医为科技有限公司在该合同项 下未结清的保函余额为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p>
      <w:pPr>
        <w:pStyle w:val="Style18"/>
        <w:keepNext w:val="0"/>
        <w:keepLines w:val="0"/>
        <w:widowControl w:val="0"/>
        <w:shd w:val="clear" w:color="auto" w:fill="auto"/>
        <w:bidi w:val="0"/>
        <w:spacing w:before="0" w:line="322" w:lineRule="exact"/>
        <w:ind w:left="0" w:right="0" w:firstLine="440"/>
        <w:jc w:val="both"/>
      </w:pPr>
      <w:bookmarkStart w:id="2223" w:name="bookmark2223"/>
      <w:r>
        <w:rPr>
          <w:color w:val="000000"/>
          <w:spacing w:val="0"/>
          <w:w w:val="100"/>
          <w:position w:val="0"/>
        </w:rPr>
        <w:t>（</w:t>
      </w:r>
      <w:bookmarkEnd w:id="22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日，公司与广发银行股份有限公司北京奥运村支行签订的编号为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京银字第</w:t>
      </w:r>
      <w:r>
        <w:rPr>
          <w:rFonts w:ascii="Times New Roman" w:eastAsia="Times New Roman" w:hAnsi="Times New Roman" w:cs="Times New Roman"/>
          <w:color w:val="000000"/>
          <w:spacing w:val="0"/>
          <w:w w:val="100"/>
          <w:position w:val="0"/>
          <w:sz w:val="18"/>
          <w:szCs w:val="18"/>
        </w:rPr>
        <w:t>000568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的《授信 额度合同》，授信期限为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日。北京神州新桥科技有限公司最高限额为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万元，北京东华合 创科技有限公司最高限额为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日，北京东华合创科技有限公司在该行未结清的保函余额为 </w:t>
      </w:r>
      <w:r>
        <w:rPr>
          <w:rFonts w:ascii="Times New Roman" w:eastAsia="Times New Roman" w:hAnsi="Times New Roman" w:cs="Times New Roman"/>
          <w:color w:val="000000"/>
          <w:spacing w:val="0"/>
          <w:w w:val="100"/>
          <w:position w:val="0"/>
          <w:sz w:val="18"/>
          <w:szCs w:val="18"/>
        </w:rPr>
        <w:t>26,972,086.8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元；北京神州新桥科技有限公司在该行未结清的保函余额为</w:t>
      </w:r>
      <w:r>
        <w:rPr>
          <w:rFonts w:ascii="Times New Roman" w:eastAsia="Times New Roman" w:hAnsi="Times New Roman" w:cs="Times New Roman"/>
          <w:color w:val="000000"/>
          <w:spacing w:val="0"/>
          <w:w w:val="100"/>
          <w:position w:val="0"/>
          <w:sz w:val="18"/>
          <w:szCs w:val="18"/>
        </w:rPr>
        <w:t>2,114,591.77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日，公司与广发银行 股份有限公司北京朝阳北路支行签订的《最高额保证合同》（编号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京银综授额字第</w:t>
      </w:r>
      <w:r>
        <w:rPr>
          <w:rFonts w:ascii="Times New Roman" w:eastAsia="Times New Roman" w:hAnsi="Times New Roman" w:cs="Times New Roman"/>
          <w:color w:val="000000"/>
          <w:spacing w:val="0"/>
          <w:w w:val="100"/>
          <w:position w:val="0"/>
          <w:sz w:val="18"/>
          <w:szCs w:val="18"/>
        </w:rPr>
        <w:t>000589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），最高额度</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万元，为公司所属子公司北京东华博泰科技有限公司在该行发生的债务承担连带责任保证。保证期间为自主合同债务人履行 债务期限届满之日起三年。截至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日，北京东华博泰科技有限公司在该合同项下借款余额为</w:t>
      </w:r>
      <w:r>
        <w:rPr>
          <w:rFonts w:ascii="Times New Roman" w:eastAsia="Times New Roman" w:hAnsi="Times New Roman" w:cs="Times New Roman"/>
          <w:color w:val="000000"/>
          <w:spacing w:val="0"/>
          <w:w w:val="100"/>
          <w:position w:val="0"/>
          <w:sz w:val="18"/>
          <w:szCs w:val="18"/>
        </w:rPr>
        <w:t>16,003,000.00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日，公司与广发银行股份有限公司北京奥运村支行签订的《最高额保证合同》（编号</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京银综授额字第</w:t>
      </w:r>
      <w:r>
        <w:rPr>
          <w:rFonts w:ascii="Times New Roman" w:eastAsia="Times New Roman" w:hAnsi="Times New Roman" w:cs="Times New Roman"/>
          <w:color w:val="000000"/>
          <w:spacing w:val="0"/>
          <w:w w:val="100"/>
          <w:position w:val="0"/>
          <w:sz w:val="18"/>
          <w:szCs w:val="18"/>
        </w:rPr>
        <w:t xml:space="preserve">000013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），最高额度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万元，为公司所属子公司北京联银通科技有限公司在该行发生的债务承担连带责任保证。保证 期间为自主合同债务人履行债务期限届满之日起三年。截至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日，北京联银通科技有限公司在该合同项下借款余 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18"/>
        <w:keepNext w:val="0"/>
        <w:keepLines w:val="0"/>
        <w:widowControl w:val="0"/>
        <w:shd w:val="clear" w:color="auto" w:fill="auto"/>
        <w:bidi w:val="0"/>
        <w:spacing w:before="0" w:line="317" w:lineRule="exact"/>
        <w:ind w:left="0" w:right="0" w:firstLine="440"/>
        <w:jc w:val="left"/>
      </w:pPr>
      <w:bookmarkStart w:id="2224" w:name="bookmark2224"/>
      <w:r>
        <w:rPr>
          <w:color w:val="000000"/>
          <w:spacing w:val="0"/>
          <w:w w:val="100"/>
          <w:position w:val="0"/>
        </w:rPr>
        <w:t>（</w:t>
      </w:r>
      <w:bookmarkEnd w:id="22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日，公司与中国建设银行股份有限公司北京安华支行签订《本金最高额保证合同》（编号： </w:t>
      </w:r>
      <w:r>
        <w:rPr>
          <w:rFonts w:ascii="Times New Roman" w:eastAsia="Times New Roman" w:hAnsi="Times New Roman" w:cs="Times New Roman"/>
          <w:color w:val="000000"/>
          <w:spacing w:val="0"/>
          <w:w w:val="100"/>
          <w:position w:val="0"/>
          <w:sz w:val="18"/>
          <w:szCs w:val="18"/>
        </w:rPr>
        <w:t>HTC1</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0730000ZGDB2021N002</w:t>
      </w:r>
      <w:r>
        <w:rPr>
          <w:color w:val="000000"/>
          <w:spacing w:val="0"/>
          <w:w w:val="100"/>
          <w:position w:val="0"/>
        </w:rPr>
        <w:t>），授信期限为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日，同意给予公司所属子公司北京神州新桥科 </w:t>
      </w:r>
      <w:r>
        <w:rPr>
          <w:color w:val="000000"/>
          <w:spacing w:val="0"/>
          <w:w w:val="100"/>
          <w:position w:val="0"/>
        </w:rPr>
        <w:t>技有限公司信用额度</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日，北京神州新桥科技有限公司在该合同项下借款余额为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万元，未 结清的保函余额为</w:t>
      </w:r>
      <w:r>
        <w:rPr>
          <w:rFonts w:ascii="Times New Roman" w:eastAsia="Times New Roman" w:hAnsi="Times New Roman" w:cs="Times New Roman"/>
          <w:color w:val="000000"/>
          <w:spacing w:val="0"/>
          <w:w w:val="100"/>
          <w:position w:val="0"/>
          <w:sz w:val="18"/>
          <w:szCs w:val="18"/>
        </w:rPr>
        <w:t>5,860,000.00</w:t>
      </w:r>
      <w:r>
        <w:rPr>
          <w:color w:val="000000"/>
          <w:spacing w:val="0"/>
          <w:w w:val="100"/>
          <w:position w:val="0"/>
        </w:rPr>
        <w:t>元。</w:t>
      </w:r>
    </w:p>
    <w:p>
      <w:pPr>
        <w:pStyle w:val="Style18"/>
        <w:keepNext w:val="0"/>
        <w:keepLines w:val="0"/>
        <w:widowControl w:val="0"/>
        <w:shd w:val="clear" w:color="auto" w:fill="auto"/>
        <w:bidi w:val="0"/>
        <w:spacing w:before="0" w:line="322" w:lineRule="exact"/>
        <w:ind w:left="0" w:right="0" w:firstLine="440"/>
        <w:jc w:val="left"/>
      </w:pPr>
      <w:bookmarkStart w:id="2225" w:name="bookmark2225"/>
      <w:r>
        <w:rPr>
          <w:color w:val="000000"/>
          <w:spacing w:val="0"/>
          <w:w w:val="100"/>
          <w:position w:val="0"/>
        </w:rPr>
        <w:t>（</w:t>
      </w:r>
      <w:bookmarkEnd w:id="22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日，公司与招商银行股份有限公司北京分行签订了《最高额不可撤销担保书》（编号：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西三环 授信</w:t>
      </w:r>
      <w:r>
        <w:rPr>
          <w:rFonts w:ascii="Times New Roman" w:eastAsia="Times New Roman" w:hAnsi="Times New Roman" w:cs="Times New Roman"/>
          <w:color w:val="000000"/>
          <w:spacing w:val="0"/>
          <w:w w:val="100"/>
          <w:position w:val="0"/>
          <w:sz w:val="18"/>
          <w:szCs w:val="18"/>
        </w:rPr>
        <w:t>804</w:t>
      </w:r>
      <w:r>
        <w:rPr>
          <w:color w:val="000000"/>
          <w:spacing w:val="0"/>
          <w:w w:val="100"/>
          <w:position w:val="0"/>
        </w:rPr>
        <w:t>），同意公司下属子公司占用母公司额度。子公司北京东华合创科技有限公司可占用人民币伍仟万元整，北京神州 新桥科技有限公司可占用人民币陆仟万元整。授信期限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 华合创科技有限公司在该合同项下未结清保函余额为</w:t>
      </w:r>
      <w:r>
        <w:rPr>
          <w:rFonts w:ascii="Times New Roman" w:eastAsia="Times New Roman" w:hAnsi="Times New Roman" w:cs="Times New Roman"/>
          <w:color w:val="000000"/>
          <w:spacing w:val="0"/>
          <w:w w:val="100"/>
          <w:position w:val="0"/>
          <w:sz w:val="18"/>
          <w:szCs w:val="18"/>
        </w:rPr>
        <w:t>15,799,494.60</w:t>
      </w:r>
      <w:r>
        <w:rPr>
          <w:color w:val="000000"/>
          <w:spacing w:val="0"/>
          <w:w w:val="100"/>
          <w:position w:val="0"/>
        </w:rPr>
        <w:t>元</w:t>
      </w:r>
      <w:r>
        <w:rPr>
          <w:color w:val="000000"/>
          <w:spacing w:val="0"/>
          <w:w w:val="100"/>
          <w:position w:val="0"/>
          <w:sz w:val="18"/>
          <w:szCs w:val="18"/>
        </w:rPr>
        <w:t>，</w:t>
      </w:r>
      <w:r>
        <w:rPr>
          <w:color w:val="000000"/>
          <w:spacing w:val="0"/>
          <w:w w:val="100"/>
          <w:position w:val="0"/>
        </w:rPr>
        <w:t>国内买方保理余额为</w:t>
      </w:r>
      <w:r>
        <w:rPr>
          <w:rFonts w:ascii="Times New Roman" w:eastAsia="Times New Roman" w:hAnsi="Times New Roman" w:cs="Times New Roman"/>
          <w:color w:val="000000"/>
          <w:spacing w:val="0"/>
          <w:w w:val="100"/>
          <w:position w:val="0"/>
          <w:sz w:val="18"/>
          <w:szCs w:val="18"/>
        </w:rPr>
        <w:t>29,217,650.95</w:t>
      </w:r>
      <w:r>
        <w:rPr>
          <w:color w:val="000000"/>
          <w:spacing w:val="0"/>
          <w:w w:val="100"/>
          <w:position w:val="0"/>
        </w:rPr>
        <w:t>元；北京神州新桥科 技有限公司在该合同项下未结清保函余额为</w:t>
      </w:r>
      <w:r>
        <w:rPr>
          <w:rFonts w:ascii="Times New Roman" w:eastAsia="Times New Roman" w:hAnsi="Times New Roman" w:cs="Times New Roman"/>
          <w:color w:val="000000"/>
          <w:spacing w:val="0"/>
          <w:w w:val="100"/>
          <w:position w:val="0"/>
          <w:sz w:val="18"/>
          <w:szCs w:val="18"/>
        </w:rPr>
        <w:t>31,068,506.82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日，公司与招商银行股份有限公司北京分行签订 了《最高额不可撤销担保书》（编号：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西三环授信</w:t>
      </w:r>
      <w:r>
        <w:rPr>
          <w:rFonts w:ascii="Times New Roman" w:eastAsia="Times New Roman" w:hAnsi="Times New Roman" w:cs="Times New Roman"/>
          <w:color w:val="000000"/>
          <w:spacing w:val="0"/>
          <w:w w:val="100"/>
          <w:position w:val="0"/>
          <w:sz w:val="18"/>
          <w:szCs w:val="18"/>
        </w:rPr>
        <w:t>804-</w:t>
      </w:r>
      <w:r>
        <w:rPr>
          <w:color w:val="000000"/>
          <w:spacing w:val="0"/>
          <w:w w:val="100"/>
          <w:position w:val="0"/>
        </w:rPr>
        <w:t>担</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），同意公司下属子公司东华医为科技有限公司可占用额度 人民币伍佰万元整。截至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日，东华医为科技有限公司在该合同项下未结清保函余额为</w:t>
      </w:r>
      <w:r>
        <w:rPr>
          <w:rFonts w:ascii="Times New Roman" w:eastAsia="Times New Roman" w:hAnsi="Times New Roman" w:cs="Times New Roman"/>
          <w:color w:val="000000"/>
          <w:spacing w:val="0"/>
          <w:w w:val="100"/>
          <w:position w:val="0"/>
          <w:sz w:val="18"/>
          <w:szCs w:val="18"/>
        </w:rPr>
        <w:t>2,636,370.00</w:t>
      </w:r>
      <w:r>
        <w:rPr>
          <w:color w:val="000000"/>
          <w:spacing w:val="0"/>
          <w:w w:val="100"/>
          <w:position w:val="0"/>
        </w:rPr>
        <w:t>元。</w:t>
      </w:r>
    </w:p>
    <w:p>
      <w:pPr>
        <w:pStyle w:val="Style18"/>
        <w:keepNext w:val="0"/>
        <w:keepLines w:val="0"/>
        <w:widowControl w:val="0"/>
        <w:shd w:val="clear" w:color="auto" w:fill="auto"/>
        <w:bidi w:val="0"/>
        <w:spacing w:before="0" w:line="322" w:lineRule="exact"/>
        <w:ind w:left="0" w:right="0" w:firstLine="440"/>
        <w:jc w:val="left"/>
      </w:pPr>
      <w:bookmarkStart w:id="2226" w:name="bookmark2226"/>
      <w:r>
        <w:rPr>
          <w:color w:val="000000"/>
          <w:spacing w:val="0"/>
          <w:w w:val="100"/>
          <w:position w:val="0"/>
        </w:rPr>
        <w:t>（</w:t>
      </w:r>
      <w:bookmarkEnd w:id="22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日，公司与中国工商银行股份有限公司北京南礼士路支行签订《最高额保证合同》（编号： </w:t>
      </w:r>
      <w:r>
        <w:rPr>
          <w:rFonts w:ascii="Times New Roman" w:eastAsia="Times New Roman" w:hAnsi="Times New Roman" w:cs="Times New Roman"/>
          <w:color w:val="000000"/>
          <w:spacing w:val="0"/>
          <w:w w:val="100"/>
          <w:position w:val="0"/>
          <w:sz w:val="18"/>
          <w:szCs w:val="18"/>
        </w:rPr>
        <w:t>0020000057-2021</w:t>
      </w:r>
      <w:r>
        <w:rPr>
          <w:color w:val="000000"/>
          <w:spacing w:val="0"/>
          <w:w w:val="100"/>
          <w:position w:val="0"/>
        </w:rPr>
        <w:t>年礼士（保）字</w:t>
      </w:r>
      <w:r>
        <w:rPr>
          <w:rFonts w:ascii="Times New Roman" w:eastAsia="Times New Roman" w:hAnsi="Times New Roman" w:cs="Times New Roman"/>
          <w:color w:val="000000"/>
          <w:spacing w:val="0"/>
          <w:w w:val="100"/>
          <w:position w:val="0"/>
          <w:sz w:val="18"/>
          <w:szCs w:val="18"/>
        </w:rPr>
        <w:t>0015</w:t>
      </w:r>
      <w:r>
        <w:rPr>
          <w:color w:val="000000"/>
          <w:spacing w:val="0"/>
          <w:w w:val="100"/>
          <w:position w:val="0"/>
        </w:rPr>
        <w:t>号），最高额度</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万元，为公司所属子公司北京神州新桥科技有限公司在该行发 生的债务承担连带责任保证。保证期限自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 在该合同项下借款余额为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万元，工银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信余额为</w:t>
      </w:r>
      <w:r>
        <w:rPr>
          <w:rFonts w:ascii="Times New Roman" w:eastAsia="Times New Roman" w:hAnsi="Times New Roman" w:cs="Times New Roman"/>
          <w:color w:val="000000"/>
          <w:spacing w:val="0"/>
          <w:w w:val="100"/>
          <w:position w:val="0"/>
          <w:sz w:val="18"/>
          <w:szCs w:val="18"/>
        </w:rPr>
        <w:t>3,098,198.00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日，公司与中国工商银行股份有限公司北 京南礼士路支行签订《最高额保证合同》（编号：</w:t>
      </w:r>
      <w:r>
        <w:rPr>
          <w:rFonts w:ascii="Times New Roman" w:eastAsia="Times New Roman" w:hAnsi="Times New Roman" w:cs="Times New Roman"/>
          <w:color w:val="000000"/>
          <w:spacing w:val="0"/>
          <w:w w:val="100"/>
          <w:position w:val="0"/>
          <w:sz w:val="18"/>
          <w:szCs w:val="18"/>
        </w:rPr>
        <w:t>0020000057-2021</w:t>
      </w:r>
      <w:r>
        <w:rPr>
          <w:color w:val="000000"/>
          <w:spacing w:val="0"/>
          <w:w w:val="100"/>
          <w:position w:val="0"/>
        </w:rPr>
        <w:t>年礼士（保）字</w:t>
      </w:r>
      <w:r>
        <w:rPr>
          <w:rFonts w:ascii="Times New Roman" w:eastAsia="Times New Roman" w:hAnsi="Times New Roman" w:cs="Times New Roman"/>
          <w:color w:val="000000"/>
          <w:spacing w:val="0"/>
          <w:w w:val="100"/>
          <w:position w:val="0"/>
          <w:sz w:val="18"/>
          <w:szCs w:val="18"/>
        </w:rPr>
        <w:t>0007</w:t>
      </w:r>
      <w:r>
        <w:rPr>
          <w:color w:val="000000"/>
          <w:spacing w:val="0"/>
          <w:w w:val="100"/>
          <w:position w:val="0"/>
        </w:rPr>
        <w:t>号），最高额度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 所属子公司北京威锐达测控系统有限公司在该行发生的债务承担连带责任保证。保证期间为自主合同项下的借款期限届满之 次日起三年。截至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日，北京威锐达测控系统有限公司在该合同项下借款余额为</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 与中国工商银行股份有限公司北京南礼士路支行签订《保证合同》（编号：</w:t>
      </w:r>
      <w:r>
        <w:rPr>
          <w:rFonts w:ascii="Times New Roman" w:eastAsia="Times New Roman" w:hAnsi="Times New Roman" w:cs="Times New Roman"/>
          <w:color w:val="000000"/>
          <w:spacing w:val="0"/>
          <w:w w:val="100"/>
          <w:position w:val="0"/>
          <w:sz w:val="18"/>
          <w:szCs w:val="18"/>
        </w:rPr>
        <w:t>0020000057-202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年礼士（保）字</w:t>
      </w:r>
      <w:r>
        <w:rPr>
          <w:rFonts w:ascii="Times New Roman" w:eastAsia="Times New Roman" w:hAnsi="Times New Roman" w:cs="Times New Roman"/>
          <w:color w:val="000000"/>
          <w:spacing w:val="0"/>
          <w:w w:val="100"/>
          <w:position w:val="0"/>
          <w:sz w:val="18"/>
          <w:szCs w:val="18"/>
        </w:rPr>
        <w:t>0048</w:t>
      </w:r>
      <w:r>
        <w:rPr>
          <w:color w:val="000000"/>
          <w:spacing w:val="0"/>
          <w:w w:val="100"/>
          <w:position w:val="0"/>
        </w:rPr>
        <w:t>号），最 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万元，为公司所属子公司北京东华合创科技有限公司在该行发生的债务承担连带责任保证。保证期间为自主合 同项下的借款期限届满之次日起三年。截至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日，北京东华合创科技有限公司在该合同项下借款余额为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w:t>
      </w:r>
    </w:p>
    <w:p>
      <w:pPr>
        <w:pStyle w:val="Style18"/>
        <w:keepNext w:val="0"/>
        <w:keepLines w:val="0"/>
        <w:widowControl w:val="0"/>
        <w:shd w:val="clear" w:color="auto" w:fill="auto"/>
        <w:bidi w:val="0"/>
        <w:spacing w:before="0" w:line="322" w:lineRule="exact"/>
        <w:ind w:left="0" w:right="0" w:firstLine="440"/>
        <w:jc w:val="left"/>
      </w:pPr>
      <w:bookmarkStart w:id="2227" w:name="bookmark2227"/>
      <w:r>
        <w:rPr>
          <w:color w:val="000000"/>
          <w:spacing w:val="0"/>
          <w:w w:val="100"/>
          <w:position w:val="0"/>
        </w:rPr>
        <w:t>（</w:t>
      </w:r>
      <w:bookmarkEnd w:id="222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日，公司与上海浦东发展银行股份有限公司北京分行签订的编号为</w:t>
      </w:r>
      <w:r>
        <w:rPr>
          <w:rFonts w:ascii="Times New Roman" w:eastAsia="Times New Roman" w:hAnsi="Times New Roman" w:cs="Times New Roman"/>
          <w:color w:val="000000"/>
          <w:spacing w:val="0"/>
          <w:w w:val="100"/>
          <w:position w:val="0"/>
          <w:sz w:val="18"/>
          <w:szCs w:val="18"/>
        </w:rPr>
        <w:t>“ZB9135202100000002”</w:t>
      </w:r>
      <w:r>
        <w:rPr>
          <w:color w:val="000000"/>
          <w:spacing w:val="0"/>
          <w:w w:val="100"/>
          <w:position w:val="0"/>
        </w:rPr>
        <w:t>的《最高 额保证合同》，为公司所属子公司北京神州新桥科技有限公司在该行发生的债务承担连带责任保证，所担保的主债权为自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日期间，主债权余额以最高不超过人民币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万元为限。截至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 技有限公司在上述合同项下的短期借款余额为</w:t>
      </w:r>
      <w:r>
        <w:rPr>
          <w:rFonts w:ascii="Times New Roman" w:eastAsia="Times New Roman" w:hAnsi="Times New Roman" w:cs="Times New Roman"/>
          <w:color w:val="000000"/>
          <w:spacing w:val="0"/>
          <w:w w:val="100"/>
          <w:position w:val="0"/>
          <w:sz w:val="18"/>
          <w:szCs w:val="18"/>
        </w:rPr>
        <w:t>12,850</w:t>
      </w:r>
      <w:r>
        <w:rPr>
          <w:color w:val="000000"/>
          <w:spacing w:val="0"/>
          <w:w w:val="100"/>
          <w:position w:val="0"/>
        </w:rPr>
        <w:t>万元，信用证余额为</w:t>
      </w:r>
      <w:r>
        <w:rPr>
          <w:rFonts w:ascii="Times New Roman" w:eastAsia="Times New Roman" w:hAnsi="Times New Roman" w:cs="Times New Roman"/>
          <w:color w:val="000000"/>
          <w:spacing w:val="0"/>
          <w:w w:val="100"/>
          <w:position w:val="0"/>
          <w:sz w:val="18"/>
          <w:szCs w:val="18"/>
        </w:rPr>
        <w:t>34,925,784.70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日，公司与上海浦东 发展银行股份有限公司北京分行签订的编号为</w:t>
      </w:r>
      <w:r>
        <w:rPr>
          <w:rFonts w:ascii="Times New Roman" w:eastAsia="Times New Roman" w:hAnsi="Times New Roman" w:cs="Times New Roman"/>
          <w:color w:val="000000"/>
          <w:spacing w:val="0"/>
          <w:w w:val="100"/>
          <w:position w:val="0"/>
          <w:sz w:val="18"/>
          <w:szCs w:val="18"/>
        </w:rPr>
        <w:t>“ZB9135202100000003”</w:t>
      </w:r>
      <w:r>
        <w:rPr>
          <w:color w:val="000000"/>
          <w:spacing w:val="0"/>
          <w:w w:val="100"/>
          <w:position w:val="0"/>
        </w:rPr>
        <w:t>的《最高额保证合同》，为公司所属子公司北京东华 合创科技有限公司在该行发生的债务承担连带责任保证，所担保的主债权为自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日期间，主债权 余额以最高不超过人民币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万元为限。截至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日，北京东华合创科技有限公司在上述合同项下的短期借款余 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日，公司与上海浦东发展银行股份有限公司北京分行签订的编号为</w:t>
      </w:r>
      <w:r>
        <w:rPr>
          <w:rFonts w:ascii="Times New Roman" w:eastAsia="Times New Roman" w:hAnsi="Times New Roman" w:cs="Times New Roman"/>
          <w:color w:val="000000"/>
          <w:spacing w:val="0"/>
          <w:w w:val="100"/>
          <w:position w:val="0"/>
          <w:sz w:val="18"/>
          <w:szCs w:val="18"/>
        </w:rPr>
        <w:t>“ZB9119202100000002”</w:t>
      </w:r>
      <w:r>
        <w:rPr>
          <w:color w:val="000000"/>
          <w:spacing w:val="0"/>
          <w:w w:val="100"/>
          <w:position w:val="0"/>
        </w:rPr>
        <w:t>的《最 高额保证合同》，为公司所属子公司东华医为科技有限公司在该行发生的债务承担连带责任保证，所担保的主债权为自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日期间，主债权余额以最高不超过人民币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万元为限。截至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日，东华医为科技有 限公司在上述合同项下的短期借款余额为</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w:t>
      </w:r>
    </w:p>
    <w:p>
      <w:pPr>
        <w:pStyle w:val="Style18"/>
        <w:keepNext w:val="0"/>
        <w:keepLines w:val="0"/>
        <w:widowControl w:val="0"/>
        <w:shd w:val="clear" w:color="auto" w:fill="auto"/>
        <w:bidi w:val="0"/>
        <w:spacing w:before="0" w:line="320" w:lineRule="exact"/>
        <w:ind w:left="0" w:right="0" w:firstLine="440"/>
        <w:jc w:val="left"/>
      </w:pPr>
      <w:bookmarkStart w:id="2228" w:name="bookmark2228"/>
      <w:r>
        <w:rPr>
          <w:color w:val="000000"/>
          <w:spacing w:val="0"/>
          <w:w w:val="100"/>
          <w:position w:val="0"/>
        </w:rPr>
        <w:t>（</w:t>
      </w:r>
      <w:bookmarkEnd w:id="222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日，公司与北京银行股份有限公司中关村分行签订《最高额保证合同》（编号：</w:t>
      </w:r>
      <w:r>
        <w:rPr>
          <w:rFonts w:ascii="Times New Roman" w:eastAsia="Times New Roman" w:hAnsi="Times New Roman" w:cs="Times New Roman"/>
          <w:color w:val="000000"/>
          <w:spacing w:val="0"/>
          <w:w w:val="100"/>
          <w:position w:val="0"/>
          <w:sz w:val="18"/>
          <w:szCs w:val="18"/>
        </w:rPr>
        <w:t>0630505_001</w:t>
      </w:r>
      <w:r>
        <w:rPr>
          <w:color w:val="000000"/>
          <w:spacing w:val="0"/>
          <w:w w:val="100"/>
          <w:position w:val="0"/>
        </w:rPr>
        <w:t>），最 高额度</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万元，为公司所属子公司北京神州新桥科技有限公司在该行发生的债务承担连带责任保证。保证期限自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日，北京神州新桥科技有限公司在该合同项下借款余额为</w:t>
      </w:r>
      <w:r>
        <w:rPr>
          <w:rFonts w:ascii="Times New Roman" w:eastAsia="Times New Roman" w:hAnsi="Times New Roman" w:cs="Times New Roman"/>
          <w:color w:val="000000"/>
          <w:spacing w:val="0"/>
          <w:w w:val="100"/>
          <w:position w:val="0"/>
          <w:sz w:val="18"/>
          <w:szCs w:val="18"/>
        </w:rPr>
        <w:t>14,970</w:t>
      </w:r>
      <w:r>
        <w:rPr>
          <w:color w:val="000000"/>
          <w:spacing w:val="0"/>
          <w:w w:val="100"/>
          <w:position w:val="0"/>
        </w:rPr>
        <w:t>万元，未结清 的保函余额为</w:t>
      </w:r>
      <w:r>
        <w:rPr>
          <w:rFonts w:ascii="Times New Roman" w:eastAsia="Times New Roman" w:hAnsi="Times New Roman" w:cs="Times New Roman"/>
          <w:color w:val="000000"/>
          <w:spacing w:val="0"/>
          <w:w w:val="100"/>
          <w:position w:val="0"/>
          <w:sz w:val="18"/>
          <w:szCs w:val="18"/>
        </w:rPr>
        <w:t>127,830.65</w:t>
      </w:r>
      <w:r>
        <w:rPr>
          <w:color w:val="000000"/>
          <w:spacing w:val="0"/>
          <w:w w:val="100"/>
          <w:position w:val="0"/>
        </w:rPr>
        <w:t>元。</w:t>
      </w:r>
    </w:p>
    <w:p>
      <w:pPr>
        <w:pStyle w:val="Style18"/>
        <w:keepNext w:val="0"/>
        <w:keepLines w:val="0"/>
        <w:widowControl w:val="0"/>
        <w:shd w:val="clear" w:color="auto" w:fill="auto"/>
        <w:bidi w:val="0"/>
        <w:spacing w:before="0" w:line="322" w:lineRule="exact"/>
        <w:ind w:left="0" w:right="0" w:firstLine="440"/>
        <w:jc w:val="left"/>
      </w:pPr>
      <w:bookmarkStart w:id="2229" w:name="bookmark2229"/>
      <w:r>
        <w:rPr>
          <w:color w:val="000000"/>
          <w:spacing w:val="0"/>
          <w:w w:val="100"/>
          <w:position w:val="0"/>
        </w:rPr>
        <w:t>（</w:t>
      </w:r>
      <w:bookmarkEnd w:id="222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日，公司所属子公司东华互联宜家数据服务有限公司与上海银行股份有限公司天津分行签订《银行 承兑汇票承兑合同》，合同编号：</w:t>
      </w:r>
      <w:r>
        <w:rPr>
          <w:rFonts w:ascii="Times New Roman" w:eastAsia="Times New Roman" w:hAnsi="Times New Roman" w:cs="Times New Roman"/>
          <w:color w:val="000000"/>
          <w:spacing w:val="0"/>
          <w:w w:val="100"/>
          <w:position w:val="0"/>
          <w:sz w:val="18"/>
          <w:szCs w:val="18"/>
        </w:rPr>
        <w:t>601210031</w:t>
      </w:r>
      <w:r>
        <w:rPr>
          <w:color w:val="000000"/>
          <w:spacing w:val="0"/>
          <w:w w:val="100"/>
          <w:position w:val="0"/>
        </w:rPr>
        <w:t>，授信额度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日。由母公司东华 软件股份公司提供连带责任保证担保。截至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日，东华互联宜家数据服务有限公司在该合同项下银行承兑汇票余 额为 </w:t>
      </w:r>
      <w:r>
        <w:rPr>
          <w:rFonts w:ascii="Times New Roman" w:eastAsia="Times New Roman" w:hAnsi="Times New Roman" w:cs="Times New Roman"/>
          <w:color w:val="000000"/>
          <w:spacing w:val="0"/>
          <w:w w:val="100"/>
          <w:position w:val="0"/>
          <w:sz w:val="18"/>
          <w:szCs w:val="18"/>
        </w:rPr>
        <w:t>16,239,165.00</w:t>
      </w:r>
      <w:r>
        <w:rPr>
          <w:color w:val="000000"/>
          <w:spacing w:val="0"/>
          <w:w w:val="100"/>
          <w:position w:val="0"/>
        </w:rPr>
        <w:t>元。</w:t>
      </w:r>
    </w:p>
    <w:p>
      <w:pPr>
        <w:pStyle w:val="Style18"/>
        <w:keepNext w:val="0"/>
        <w:keepLines w:val="0"/>
        <w:widowControl w:val="0"/>
        <w:shd w:val="clear" w:color="auto" w:fill="auto"/>
        <w:bidi w:val="0"/>
        <w:spacing w:before="0" w:after="380" w:line="322" w:lineRule="exact"/>
        <w:ind w:left="0" w:right="0" w:firstLine="440"/>
        <w:jc w:val="left"/>
      </w:pPr>
      <w:bookmarkStart w:id="2230" w:name="bookmark2230"/>
      <w:r>
        <w:rPr>
          <w:color w:val="000000"/>
          <w:spacing w:val="0"/>
          <w:w w:val="100"/>
          <w:position w:val="0"/>
        </w:rPr>
        <w:t>（</w:t>
      </w:r>
      <w:bookmarkEnd w:id="223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日，公司与兴业银行股份有限公司北京首体支行签订《最高额保证合同》（编号：兴银京首（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高保字第</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号），最高额度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万元，为公司所属子公司北京东华合创科技有限公司在该行发生的债务承担连带责 </w:t>
      </w:r>
      <w:r>
        <w:rPr>
          <w:color w:val="000000"/>
          <w:spacing w:val="0"/>
          <w:w w:val="100"/>
          <w:position w:val="0"/>
        </w:rPr>
        <w:t>任保证。保证期限自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日，北京东华合创科技有限公司在该合同项下借款 余额为</w:t>
      </w:r>
      <w:r>
        <w:rPr>
          <w:rFonts w:ascii="Times New Roman" w:eastAsia="Times New Roman" w:hAnsi="Times New Roman" w:cs="Times New Roman"/>
          <w:color w:val="000000"/>
          <w:spacing w:val="0"/>
          <w:w w:val="100"/>
          <w:position w:val="0"/>
          <w:sz w:val="18"/>
          <w:szCs w:val="18"/>
        </w:rPr>
        <w:t>39,397,206.05</w:t>
      </w:r>
      <w:r>
        <w:rPr>
          <w:color w:val="000000"/>
          <w:spacing w:val="0"/>
          <w:w w:val="100"/>
          <w:position w:val="0"/>
        </w:rPr>
        <w:t>元，银行承兑汇票余额为</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万元。</w:t>
      </w:r>
    </w:p>
    <w:p>
      <w:pPr>
        <w:pStyle w:val="Style40"/>
        <w:keepNext/>
        <w:keepLines/>
        <w:widowControl w:val="0"/>
        <w:shd w:val="clear" w:color="auto" w:fill="auto"/>
        <w:bidi w:val="0"/>
        <w:spacing w:before="0" w:line="240" w:lineRule="auto"/>
        <w:ind w:left="0" w:right="0" w:firstLine="0"/>
        <w:jc w:val="both"/>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31"/>
      <w:bookmarkEnd w:id="2232"/>
      <w:bookmarkEnd w:id="2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北京东华诚信电脑科技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30,167,977.48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北京东华诚信电脑科技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346,187,445.45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2235"/>
      <w:bookmarkEnd w:id="2236"/>
      <w:bookmarkEnd w:id="223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239"/>
      <w:bookmarkEnd w:id="2240"/>
      <w:bookmarkEnd w:id="2242"/>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9,094,749.39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9,457,074.21</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43"/>
      <w:bookmarkEnd w:id="2244"/>
      <w:bookmarkEnd w:id="2246"/>
    </w:p>
    <w:p>
      <w:pPr>
        <w:pStyle w:val="Style1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公司实际控制人薛向东将所持儋州星控融联企业管理合伙企业（有限合伙）</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出资份额（其中已实缴出资为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未缴出资为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元人民币的价格转让给公司的全资子公司北京东华合创科技有限公司。交易完成后，北京东华合创 科技有限公司成为儋州星控融联企业管理合伙企业（有限合伙）的普通合伙人，持有儋州星控融联企业管理合伙企业（有限 合伙）</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的出资份额。</w:t>
      </w:r>
    </w:p>
    <w:p>
      <w:pPr>
        <w:pStyle w:val="Style18"/>
        <w:keepNext w:val="0"/>
        <w:keepLines w:val="0"/>
        <w:widowControl w:val="0"/>
        <w:shd w:val="clear" w:color="auto" w:fill="auto"/>
        <w:bidi w:val="0"/>
        <w:spacing w:before="0" w:after="120" w:line="322" w:lineRule="exact"/>
        <w:ind w:left="0" w:right="0" w:firstLine="440"/>
        <w:jc w:val="both"/>
      </w:pPr>
      <w:r>
        <w:rPr>
          <w:color w:val="000000"/>
          <w:spacing w:val="0"/>
          <w:w w:val="100"/>
          <w:position w:val="0"/>
        </w:rPr>
        <w:t>公司将所持北京东华博泰科技有限公司股权</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万元出资（其中已实缴出资为</w:t>
      </w:r>
      <w:r>
        <w:rPr>
          <w:rFonts w:ascii="Times New Roman" w:eastAsia="Times New Roman" w:hAnsi="Times New Roman" w:cs="Times New Roman"/>
          <w:color w:val="000000"/>
          <w:spacing w:val="0"/>
          <w:w w:val="100"/>
          <w:position w:val="0"/>
          <w:sz w:val="18"/>
          <w:szCs w:val="18"/>
        </w:rPr>
        <w:t>1,079.775</w:t>
      </w:r>
      <w:r>
        <w:rPr>
          <w:color w:val="000000"/>
          <w:spacing w:val="0"/>
          <w:w w:val="100"/>
          <w:position w:val="0"/>
        </w:rPr>
        <w:t>万元，未缴出资为</w:t>
      </w:r>
      <w:r>
        <w:rPr>
          <w:rFonts w:ascii="Times New Roman" w:eastAsia="Times New Roman" w:hAnsi="Times New Roman" w:cs="Times New Roman"/>
          <w:color w:val="000000"/>
          <w:spacing w:val="0"/>
          <w:w w:val="100"/>
          <w:position w:val="0"/>
          <w:sz w:val="18"/>
          <w:szCs w:val="18"/>
        </w:rPr>
        <w:t>420.225</w:t>
      </w:r>
      <w:r>
        <w:rPr>
          <w:color w:val="000000"/>
          <w:spacing w:val="0"/>
          <w:w w:val="100"/>
          <w:position w:val="0"/>
        </w:rPr>
        <w:t>万 元，占标的公司注册资本的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1,079.775</w:t>
      </w:r>
      <w:r>
        <w:rPr>
          <w:color w:val="000000"/>
          <w:spacing w:val="0"/>
          <w:w w:val="100"/>
          <w:position w:val="0"/>
        </w:rPr>
        <w:t>万元人民币的价格转让予儋州星控信联企业管理合伙企业（有限合伙）。</w:t>
      </w:r>
    </w:p>
    <w:p>
      <w:pPr>
        <w:pStyle w:val="Style18"/>
        <w:keepNext w:val="0"/>
        <w:keepLines w:val="0"/>
        <w:widowControl w:val="0"/>
        <w:shd w:val="clear" w:color="auto" w:fill="auto"/>
        <w:bidi w:val="0"/>
        <w:spacing w:before="0" w:after="120" w:line="322" w:lineRule="exact"/>
        <w:ind w:left="0" w:right="0" w:firstLine="440"/>
        <w:jc w:val="both"/>
      </w:pPr>
      <w:r>
        <w:rPr>
          <w:color w:val="000000"/>
          <w:spacing w:val="0"/>
          <w:w w:val="100"/>
          <w:position w:val="0"/>
        </w:rPr>
        <w:t>公司将所持北京东华博泰科技有限公司股权</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万元出资（其中已实缴出资</w:t>
      </w:r>
      <w:r>
        <w:rPr>
          <w:rFonts w:ascii="Times New Roman" w:eastAsia="Times New Roman" w:hAnsi="Times New Roman" w:cs="Times New Roman"/>
          <w:color w:val="000000"/>
          <w:spacing w:val="0"/>
          <w:w w:val="100"/>
          <w:position w:val="0"/>
          <w:sz w:val="18"/>
          <w:szCs w:val="18"/>
        </w:rPr>
        <w:t>1,079.775</w:t>
      </w:r>
      <w:r>
        <w:rPr>
          <w:color w:val="000000"/>
          <w:spacing w:val="0"/>
          <w:w w:val="100"/>
          <w:position w:val="0"/>
        </w:rPr>
        <w:t>万元，未缴出资为</w:t>
      </w:r>
      <w:r>
        <w:rPr>
          <w:rFonts w:ascii="Times New Roman" w:eastAsia="Times New Roman" w:hAnsi="Times New Roman" w:cs="Times New Roman"/>
          <w:color w:val="000000"/>
          <w:spacing w:val="0"/>
          <w:w w:val="100"/>
          <w:position w:val="0"/>
          <w:sz w:val="18"/>
          <w:szCs w:val="18"/>
        </w:rPr>
        <w:t>420.225</w:t>
      </w:r>
      <w:r>
        <w:rPr>
          <w:color w:val="000000"/>
          <w:spacing w:val="0"/>
          <w:w w:val="100"/>
          <w:position w:val="0"/>
        </w:rPr>
        <w:t>万元， 占标的公司注册资本的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079.775</w:t>
      </w:r>
      <w:r>
        <w:rPr>
          <w:color w:val="000000"/>
          <w:spacing w:val="0"/>
          <w:w w:val="100"/>
          <w:position w:val="0"/>
        </w:rPr>
        <w:t>万元人民币的价格转让予儋州星控综联企业管理合伙企业（有限合伙）。</w:t>
      </w:r>
    </w:p>
    <w:p>
      <w:pPr>
        <w:pStyle w:val="Style18"/>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公司将所持北京东华博泰科技有限公司股权</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万元出资（其中已实缴出资为</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万元，未缴出资为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万元，占标的公司 注册资本的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万元人民币的价格转让予儋州星控融联企业管理合伙企业（有限合伙）。</w:t>
      </w:r>
      <w:r>
        <w:br w:type="page"/>
      </w:r>
    </w:p>
    <w:p>
      <w:pPr>
        <w:pStyle w:val="Style29"/>
        <w:keepNext/>
        <w:keepLines/>
        <w:widowControl w:val="0"/>
        <w:shd w:val="clear" w:color="auto" w:fill="auto"/>
        <w:bidi w:val="0"/>
        <w:spacing w:before="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6</w:t>
      </w:r>
      <w:bookmarkEnd w:id="2249"/>
      <w:r>
        <w:rPr>
          <w:color w:val="000000"/>
          <w:spacing w:val="0"/>
          <w:w w:val="100"/>
          <w:position w:val="0"/>
        </w:rPr>
        <w:t>、关联方应收应付款项</w:t>
      </w:r>
      <w:bookmarkEnd w:id="2247"/>
      <w:bookmarkEnd w:id="2248"/>
      <w:bookmarkEnd w:id="2250"/>
    </w:p>
    <w:p>
      <w:pPr>
        <w:pStyle w:val="Style40"/>
        <w:keepNext/>
        <w:keepLines/>
        <w:widowControl w:val="0"/>
        <w:shd w:val="clear" w:color="auto" w:fill="auto"/>
        <w:bidi w:val="0"/>
        <w:spacing w:before="0" w:line="240" w:lineRule="auto"/>
        <w:ind w:left="0" w:right="0" w:firstLine="0"/>
        <w:jc w:val="left"/>
      </w:pPr>
      <w:bookmarkStart w:id="2251" w:name="bookmark2251"/>
      <w:bookmarkStart w:id="2252" w:name="bookmark2252"/>
      <w:bookmarkStart w:id="2253" w:name="bookmark2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51"/>
      <w:bookmarkEnd w:id="2252"/>
      <w:bookmarkEnd w:id="225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2798"/>
        <w:gridCol w:w="1560"/>
        <w:gridCol w:w="1277"/>
        <w:gridCol w:w="1277"/>
        <w:gridCol w:w="1070"/>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4,200,050.55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79,118.39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589,158.96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565,337.90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52,462.42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859,400.00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215,977,180.59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4,965,559.53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222,545,932.36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3,529,550.48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3,290,118.00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32,901.18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腾讯大地通途（北京）科技有限公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11,886.80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2,908,450.60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1,545,336.36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1,327,847.36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729,035.60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儋州星控信联企业管理合伙企业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10,797,750.00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儋州星控综联企业管理合伙企业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10,797,750.00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儋州星控融联企业管理合伙企业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509,475.06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999,144.72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895,479.28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43,227.08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2,337,500.00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22,424,329.29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546,726.08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31,483,987.86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753,732.49</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2254" w:name="bookmark2254"/>
      <w:bookmarkStart w:id="2255" w:name="bookmark2255"/>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54"/>
      <w:bookmarkEnd w:id="2255"/>
      <w:bookmarkEnd w:id="225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3706"/>
        <w:gridCol w:w="1843"/>
        <w:gridCol w:w="163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6,199,720.00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10,005,148.00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20,328,635.44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7,516,495.00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330,188.68</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263,982.30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1,046,707.33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1,754,868.74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863,708.19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121,895,754.97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北京华康诚信医疗科技有限公司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1,271,395.34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620,951.53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758,491,727.39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1,074,511,195.36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323,748.00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7</w:t>
      </w:r>
      <w:bookmarkEnd w:id="2259"/>
      <w:r>
        <w:rPr>
          <w:color w:val="000000"/>
          <w:spacing w:val="0"/>
          <w:w w:val="100"/>
          <w:position w:val="0"/>
        </w:rPr>
        <w:t>、</w:t>
        <w:tab/>
        <w:t>关联方承诺</w:t>
      </w:r>
      <w:bookmarkEnd w:id="2257"/>
      <w:bookmarkEnd w:id="2258"/>
      <w:bookmarkEnd w:id="2260"/>
    </w:p>
    <w:p>
      <w:pPr>
        <w:pStyle w:val="Style29"/>
        <w:keepNext/>
        <w:keepLines/>
        <w:widowControl w:val="0"/>
        <w:shd w:val="clear" w:color="auto" w:fill="auto"/>
        <w:tabs>
          <w:tab w:pos="378" w:val="left"/>
        </w:tabs>
        <w:bidi w:val="0"/>
        <w:spacing w:before="0" w:after="36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8</w:t>
      </w:r>
      <w:bookmarkEnd w:id="2263"/>
      <w:r>
        <w:rPr>
          <w:color w:val="000000"/>
          <w:spacing w:val="0"/>
          <w:w w:val="100"/>
          <w:position w:val="0"/>
        </w:rPr>
        <w:t>、</w:t>
        <w:tab/>
        <w:t>其他</w:t>
      </w:r>
      <w:bookmarkEnd w:id="2261"/>
      <w:bookmarkEnd w:id="2262"/>
      <w:bookmarkEnd w:id="2264"/>
    </w:p>
    <w:p>
      <w:pPr>
        <w:pStyle w:val="Style24"/>
        <w:keepNext/>
        <w:keepLines/>
        <w:widowControl w:val="0"/>
        <w:shd w:val="clear" w:color="auto" w:fill="auto"/>
        <w:bidi w:val="0"/>
        <w:spacing w:before="0" w:line="240" w:lineRule="auto"/>
        <w:ind w:left="0" w:right="0" w:firstLine="0"/>
        <w:jc w:val="left"/>
      </w:pPr>
      <w:bookmarkStart w:id="2265" w:name="bookmark2265"/>
      <w:bookmarkStart w:id="2266" w:name="bookmark2266"/>
      <w:bookmarkStart w:id="2267" w:name="bookmark2267"/>
      <w:r>
        <w:rPr>
          <w:color w:val="000000"/>
          <w:spacing w:val="0"/>
          <w:w w:val="100"/>
          <w:position w:val="0"/>
        </w:rPr>
        <w:t>十三、股份支付</w:t>
      </w:r>
      <w:bookmarkEnd w:id="2265"/>
      <w:bookmarkEnd w:id="2266"/>
      <w:bookmarkEnd w:id="2267"/>
    </w:p>
    <w:p>
      <w:pPr>
        <w:pStyle w:val="Style29"/>
        <w:keepNext/>
        <w:keepLines/>
        <w:widowControl w:val="0"/>
        <w:shd w:val="clear" w:color="auto" w:fill="auto"/>
        <w:bidi w:val="0"/>
        <w:spacing w:before="0" w:after="360" w:line="240" w:lineRule="auto"/>
        <w:ind w:left="0" w:right="0" w:firstLine="0"/>
        <w:jc w:val="left"/>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68"/>
      <w:bookmarkEnd w:id="2269"/>
      <w:bookmarkEnd w:id="227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145,264,500.00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145,264,500.00</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keepLines/>
        <w:widowControl w:val="0"/>
        <w:shd w:val="clear" w:color="auto" w:fill="auto"/>
        <w:bidi w:val="0"/>
        <w:spacing w:before="0" w:line="240" w:lineRule="auto"/>
        <w:ind w:left="0" w:right="0" w:firstLine="0"/>
        <w:jc w:val="both"/>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71"/>
      <w:bookmarkEnd w:id="2272"/>
      <w:bookmarkEnd w:id="2273"/>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145,264,500.00</w:t>
            </w:r>
          </w:p>
        </w:tc>
      </w:tr>
      <w:tr>
        <w:trPr>
          <w:trHeight w:val="4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145,264,500.00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8"/>
        <w:keepNext w:val="0"/>
        <w:keepLines w:val="0"/>
        <w:widowControl w:val="0"/>
        <w:shd w:val="clear" w:color="auto" w:fill="auto"/>
        <w:bidi w:val="0"/>
        <w:spacing w:before="0" w:after="380" w:line="319"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月，根据股权转让协议，公司将持有子公司北京东华博泰科技有限公司的部分股权以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股的价格转让给北京 东华博泰科技有限公司员工及相关人员。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月，北京东华博泰科技有限公司引入新的投资者，外部投资者入股价格为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股。转让给员工及相关人员的价格低于同时期投资者对子公司入股的价格，形成股份支付。</w:t>
      </w:r>
    </w:p>
    <w:p>
      <w:pPr>
        <w:pStyle w:val="Style29"/>
        <w:keepNext/>
        <w:keepLines/>
        <w:widowControl w:val="0"/>
        <w:shd w:val="clear" w:color="auto" w:fill="auto"/>
        <w:tabs>
          <w:tab w:pos="378" w:val="left"/>
        </w:tabs>
        <w:bidi w:val="0"/>
        <w:spacing w:before="0" w:after="260" w:line="240" w:lineRule="auto"/>
        <w:ind w:left="0" w:right="0" w:firstLine="0"/>
        <w:jc w:val="both"/>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w:t>
        <w:tab/>
        <w:t>以现金结算的股份支付情况</w:t>
      </w:r>
      <w:bookmarkEnd w:id="2274"/>
      <w:bookmarkEnd w:id="2275"/>
      <w:bookmarkEnd w:id="2277"/>
    </w:p>
    <w:p>
      <w:pPr>
        <w:pStyle w:val="Style18"/>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4</w:t>
      </w:r>
      <w:bookmarkEnd w:id="2280"/>
      <w:r>
        <w:rPr>
          <w:color w:val="000000"/>
          <w:spacing w:val="0"/>
          <w:w w:val="100"/>
          <w:position w:val="0"/>
        </w:rPr>
        <w:t>、</w:t>
        <w:tab/>
        <w:t>股份支付的修改、终止情况</w:t>
      </w:r>
      <w:bookmarkEnd w:id="2278"/>
      <w:bookmarkEnd w:id="2279"/>
      <w:bookmarkEnd w:id="2281"/>
    </w:p>
    <w:p>
      <w:pPr>
        <w:pStyle w:val="Style29"/>
        <w:keepNext/>
        <w:keepLines/>
        <w:widowControl w:val="0"/>
        <w:shd w:val="clear" w:color="auto" w:fill="auto"/>
        <w:tabs>
          <w:tab w:pos="378" w:val="left"/>
        </w:tabs>
        <w:bidi w:val="0"/>
        <w:spacing w:before="0" w:line="240" w:lineRule="auto"/>
        <w:ind w:left="0" w:right="0" w:firstLine="0"/>
        <w:jc w:val="both"/>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5</w:t>
      </w:r>
      <w:bookmarkEnd w:id="2284"/>
      <w:r>
        <w:rPr>
          <w:color w:val="000000"/>
          <w:spacing w:val="0"/>
          <w:w w:val="100"/>
          <w:position w:val="0"/>
        </w:rPr>
        <w:t>、</w:t>
        <w:tab/>
        <w:t>其他</w:t>
      </w:r>
      <w:bookmarkEnd w:id="2282"/>
      <w:bookmarkEnd w:id="2283"/>
      <w:bookmarkEnd w:id="2285"/>
    </w:p>
    <w:p>
      <w:pPr>
        <w:pStyle w:val="Style24"/>
        <w:keepNext/>
        <w:keepLines/>
        <w:widowControl w:val="0"/>
        <w:shd w:val="clear" w:color="auto" w:fill="auto"/>
        <w:bidi w:val="0"/>
        <w:spacing w:before="0" w:after="380" w:line="240" w:lineRule="auto"/>
        <w:ind w:left="0" w:right="0" w:firstLine="0"/>
        <w:jc w:val="both"/>
      </w:pPr>
      <w:bookmarkStart w:id="2286" w:name="bookmark2286"/>
      <w:bookmarkStart w:id="2287" w:name="bookmark2287"/>
      <w:bookmarkStart w:id="2288" w:name="bookmark2288"/>
      <w:r>
        <w:rPr>
          <w:color w:val="000000"/>
          <w:spacing w:val="0"/>
          <w:w w:val="100"/>
          <w:position w:val="0"/>
        </w:rPr>
        <w:t>十四、承诺及或有事项</w:t>
      </w:r>
      <w:bookmarkEnd w:id="2286"/>
      <w:bookmarkEnd w:id="2287"/>
      <w:bookmarkEnd w:id="2288"/>
    </w:p>
    <w:p>
      <w:pPr>
        <w:pStyle w:val="Style29"/>
        <w:keepNext/>
        <w:keepLines/>
        <w:widowControl w:val="0"/>
        <w:shd w:val="clear" w:color="auto" w:fill="auto"/>
        <w:tabs>
          <w:tab w:pos="368" w:val="left"/>
        </w:tabs>
        <w:bidi w:val="0"/>
        <w:spacing w:before="0" w:after="260" w:line="240" w:lineRule="auto"/>
        <w:ind w:left="0" w:right="0" w:firstLine="0"/>
        <w:jc w:val="both"/>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bookmarkEnd w:id="2291"/>
      <w:r>
        <w:rPr>
          <w:color w:val="000000"/>
          <w:spacing w:val="0"/>
          <w:w w:val="100"/>
          <w:position w:val="0"/>
        </w:rPr>
        <w:t>、</w:t>
        <w:tab/>
        <w:t>重要承诺事项</w:t>
      </w:r>
      <w:bookmarkEnd w:id="2289"/>
      <w:bookmarkEnd w:id="2290"/>
      <w:bookmarkEnd w:id="2292"/>
    </w:p>
    <w:p>
      <w:pPr>
        <w:pStyle w:val="Style1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资产负债表日存在的重要承诺</w:t>
      </w:r>
    </w:p>
    <w:p>
      <w:pPr>
        <w:pStyle w:val="Style29"/>
        <w:keepNext/>
        <w:keepLines/>
        <w:widowControl w:val="0"/>
        <w:shd w:val="clear" w:color="auto" w:fill="auto"/>
        <w:tabs>
          <w:tab w:pos="378" w:val="left"/>
        </w:tabs>
        <w:bidi w:val="0"/>
        <w:spacing w:before="0" w:line="240" w:lineRule="auto"/>
        <w:ind w:left="0" w:right="0" w:firstLine="0"/>
        <w:jc w:val="both"/>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bookmarkEnd w:id="2295"/>
      <w:r>
        <w:rPr>
          <w:color w:val="000000"/>
          <w:spacing w:val="0"/>
          <w:w w:val="100"/>
          <w:position w:val="0"/>
        </w:rPr>
        <w:t>、</w:t>
        <w:tab/>
        <w:t>或有事项</w:t>
      </w:r>
      <w:bookmarkEnd w:id="2293"/>
      <w:bookmarkEnd w:id="2294"/>
      <w:bookmarkEnd w:id="2296"/>
    </w:p>
    <w:p>
      <w:pPr>
        <w:pStyle w:val="Style40"/>
        <w:keepNext/>
        <w:keepLines/>
        <w:widowControl w:val="0"/>
        <w:shd w:val="clear" w:color="auto" w:fill="auto"/>
        <w:tabs>
          <w:tab w:pos="493" w:val="left"/>
        </w:tabs>
        <w:bidi w:val="0"/>
        <w:spacing w:before="0" w:line="240" w:lineRule="auto"/>
        <w:ind w:left="0" w:right="0" w:firstLine="0"/>
        <w:jc w:val="both"/>
      </w:pPr>
      <w:bookmarkStart w:id="2297" w:name="bookmark2297"/>
      <w:bookmarkStart w:id="2298" w:name="bookmark2298"/>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97"/>
      <w:bookmarkEnd w:id="2298"/>
      <w:bookmarkEnd w:id="2300"/>
    </w:p>
    <w:p>
      <w:pPr>
        <w:pStyle w:val="Style40"/>
        <w:keepNext/>
        <w:keepLines/>
        <w:widowControl w:val="0"/>
        <w:shd w:val="clear" w:color="auto" w:fill="auto"/>
        <w:tabs>
          <w:tab w:pos="493" w:val="left"/>
        </w:tabs>
        <w:bidi w:val="0"/>
        <w:spacing w:before="0" w:after="260" w:line="240" w:lineRule="auto"/>
        <w:ind w:left="0" w:right="0" w:firstLine="0"/>
        <w:jc w:val="both"/>
      </w:pPr>
      <w:bookmarkStart w:id="2301" w:name="bookmark2301"/>
      <w:bookmarkStart w:id="2302" w:name="bookmark2302"/>
      <w:bookmarkStart w:id="2303" w:name="bookmark2303"/>
      <w:bookmarkStart w:id="2304" w:name="bookmark2304"/>
      <w:r>
        <w:rPr>
          <w:color w:val="000000"/>
          <w:spacing w:val="0"/>
          <w:w w:val="100"/>
          <w:position w:val="0"/>
        </w:rPr>
        <w:t>（</w:t>
      </w:r>
      <w:bookmarkEnd w:id="230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301"/>
      <w:bookmarkEnd w:id="2302"/>
      <w:bookmarkEnd w:id="2304"/>
    </w:p>
    <w:p>
      <w:pPr>
        <w:pStyle w:val="Style1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both"/>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3</w:t>
      </w:r>
      <w:bookmarkEnd w:id="2307"/>
      <w:r>
        <w:rPr>
          <w:color w:val="000000"/>
          <w:spacing w:val="0"/>
          <w:w w:val="100"/>
          <w:position w:val="0"/>
        </w:rPr>
        <w:t>、</w:t>
        <w:tab/>
        <w:t>其他</w:t>
      </w:r>
      <w:bookmarkEnd w:id="2305"/>
      <w:bookmarkEnd w:id="2306"/>
      <w:bookmarkEnd w:id="2308"/>
    </w:p>
    <w:p>
      <w:pPr>
        <w:pStyle w:val="Style24"/>
        <w:keepNext/>
        <w:keepLines/>
        <w:widowControl w:val="0"/>
        <w:shd w:val="clear" w:color="auto" w:fill="auto"/>
        <w:bidi w:val="0"/>
        <w:spacing w:before="0" w:after="380" w:line="240" w:lineRule="auto"/>
        <w:ind w:left="0" w:right="0" w:firstLine="0"/>
        <w:jc w:val="both"/>
      </w:pPr>
      <w:bookmarkStart w:id="2309" w:name="bookmark2309"/>
      <w:bookmarkStart w:id="2310" w:name="bookmark2310"/>
      <w:bookmarkStart w:id="2311" w:name="bookmark2311"/>
      <w:r>
        <w:rPr>
          <w:color w:val="000000"/>
          <w:spacing w:val="0"/>
          <w:w w:val="100"/>
          <w:position w:val="0"/>
        </w:rPr>
        <w:t>十五、资产负债表日后事项</w:t>
      </w:r>
      <w:bookmarkEnd w:id="2309"/>
      <w:bookmarkEnd w:id="2310"/>
      <w:bookmarkEnd w:id="2311"/>
    </w:p>
    <w:p>
      <w:pPr>
        <w:pStyle w:val="Style29"/>
        <w:keepNext/>
        <w:keepLines/>
        <w:widowControl w:val="0"/>
        <w:shd w:val="clear" w:color="auto" w:fill="auto"/>
        <w:bidi w:val="0"/>
        <w:spacing w:before="0" w:after="260" w:line="240" w:lineRule="auto"/>
        <w:ind w:left="0" w:right="0" w:firstLine="0"/>
        <w:jc w:val="both"/>
      </w:pPr>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312"/>
      <w:bookmarkEnd w:id="2313"/>
      <w:bookmarkEnd w:id="2314"/>
    </w:p>
    <w:p>
      <w:pPr>
        <w:pStyle w:val="Style18"/>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2</w:t>
      </w:r>
      <w:bookmarkEnd w:id="2317"/>
      <w:r>
        <w:rPr>
          <w:color w:val="000000"/>
          <w:spacing w:val="0"/>
          <w:w w:val="100"/>
          <w:position w:val="0"/>
        </w:rPr>
        <w:t>、</w:t>
        <w:tab/>
        <w:t>利润分配情况</w:t>
      </w:r>
      <w:bookmarkEnd w:id="2315"/>
      <w:bookmarkEnd w:id="2316"/>
      <w:bookmarkEnd w:id="2318"/>
    </w:p>
    <w:p>
      <w:pPr>
        <w:pStyle w:val="Style18"/>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p>
      <w:pPr>
        <w:pStyle w:val="Style35"/>
        <w:keepNext w:val="0"/>
        <w:keepLines w:val="0"/>
        <w:widowControl w:val="0"/>
        <w:shd w:val="clear" w:color="auto" w:fill="auto"/>
        <w:tabs>
          <w:tab w:pos="8400" w:val="left"/>
        </w:tabs>
        <w:bidi w:val="0"/>
        <w:spacing w:before="0" w:after="440" w:line="322" w:lineRule="exact"/>
        <w:ind w:left="0" w:right="0" w:firstLine="0"/>
        <w:jc w:val="left"/>
      </w:pPr>
      <w:r>
        <w:rPr>
          <w:rFonts w:ascii="SimSun" w:eastAsia="SimSun" w:hAnsi="SimSun" w:cs="SimSun"/>
          <w:b w:val="0"/>
          <w:bCs w:val="0"/>
          <w:color w:val="000000"/>
          <w:spacing w:val="0"/>
          <w:w w:val="100"/>
          <w:position w:val="0"/>
          <w:sz w:val="17"/>
          <w:szCs w:val="17"/>
        </w:rPr>
        <w:t>拟分配的利润或股利</w:t>
        <w:tab/>
      </w:r>
      <w:r>
        <w:rPr>
          <w:b w:val="0"/>
          <w:bCs w:val="0"/>
          <w:color w:val="000000"/>
          <w:spacing w:val="0"/>
          <w:w w:val="100"/>
          <w:position w:val="0"/>
        </w:rPr>
        <w:t>160,274,118.75</w:t>
      </w:r>
    </w:p>
    <w:p>
      <w:pPr>
        <w:pStyle w:val="Style29"/>
        <w:keepNext/>
        <w:keepLines/>
        <w:widowControl w:val="0"/>
        <w:shd w:val="clear" w:color="auto" w:fill="auto"/>
        <w:tabs>
          <w:tab w:pos="378" w:val="left"/>
        </w:tabs>
        <w:bidi w:val="0"/>
        <w:spacing w:before="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3</w:t>
      </w:r>
      <w:bookmarkEnd w:id="2321"/>
      <w:r>
        <w:rPr>
          <w:color w:val="000000"/>
          <w:spacing w:val="0"/>
          <w:w w:val="100"/>
          <w:position w:val="0"/>
        </w:rPr>
        <w:t>、</w:t>
        <w:tab/>
        <w:t>销售退回</w:t>
      </w:r>
      <w:bookmarkEnd w:id="2319"/>
      <w:bookmarkEnd w:id="2320"/>
      <w:bookmarkEnd w:id="2322"/>
    </w:p>
    <w:p>
      <w:pPr>
        <w:pStyle w:val="Style29"/>
        <w:keepNext/>
        <w:keepLines/>
        <w:widowControl w:val="0"/>
        <w:shd w:val="clear" w:color="auto" w:fill="auto"/>
        <w:tabs>
          <w:tab w:pos="378" w:val="left"/>
        </w:tabs>
        <w:bidi w:val="0"/>
        <w:spacing w:before="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4</w:t>
      </w:r>
      <w:bookmarkEnd w:id="2325"/>
      <w:r>
        <w:rPr>
          <w:color w:val="000000"/>
          <w:spacing w:val="0"/>
          <w:w w:val="100"/>
          <w:position w:val="0"/>
        </w:rPr>
        <w:t>、</w:t>
        <w:tab/>
        <w:t>其他资产负债表日后事项说明</w:t>
      </w:r>
      <w:bookmarkEnd w:id="2323"/>
      <w:bookmarkEnd w:id="2324"/>
      <w:bookmarkEnd w:id="2326"/>
    </w:p>
    <w:p>
      <w:pPr>
        <w:pStyle w:val="Style24"/>
        <w:keepNext/>
        <w:keepLines/>
        <w:widowControl w:val="0"/>
        <w:shd w:val="clear" w:color="auto" w:fill="auto"/>
        <w:bidi w:val="0"/>
        <w:spacing w:before="0" w:after="380" w:line="240" w:lineRule="auto"/>
        <w:ind w:left="0" w:right="0" w:firstLine="0"/>
        <w:jc w:val="left"/>
      </w:pPr>
      <w:bookmarkStart w:id="2327" w:name="bookmark2327"/>
      <w:bookmarkStart w:id="2328" w:name="bookmark2328"/>
      <w:bookmarkStart w:id="2329" w:name="bookmark2329"/>
      <w:r>
        <w:rPr>
          <w:color w:val="000000"/>
          <w:spacing w:val="0"/>
          <w:w w:val="100"/>
          <w:position w:val="0"/>
        </w:rPr>
        <w:t>十六、其他重要事项</w:t>
      </w:r>
      <w:bookmarkEnd w:id="2327"/>
      <w:bookmarkEnd w:id="2328"/>
      <w:bookmarkEnd w:id="2329"/>
    </w:p>
    <w:p>
      <w:pPr>
        <w:pStyle w:val="Style29"/>
        <w:keepNext/>
        <w:keepLines/>
        <w:widowControl w:val="0"/>
        <w:shd w:val="clear" w:color="auto" w:fill="auto"/>
        <w:tabs>
          <w:tab w:pos="368" w:val="left"/>
        </w:tabs>
        <w:bidi w:val="0"/>
        <w:spacing w:before="0" w:after="26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bookmarkEnd w:id="2332"/>
      <w:r>
        <w:rPr>
          <w:color w:val="000000"/>
          <w:spacing w:val="0"/>
          <w:w w:val="100"/>
          <w:position w:val="0"/>
        </w:rPr>
        <w:t>、</w:t>
        <w:tab/>
        <w:t>前期会计差错更正</w:t>
      </w:r>
      <w:bookmarkEnd w:id="2330"/>
      <w:bookmarkEnd w:id="2331"/>
      <w:bookmarkEnd w:id="2333"/>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bookmarkEnd w:id="2336"/>
      <w:r>
        <w:rPr>
          <w:color w:val="000000"/>
          <w:spacing w:val="0"/>
          <w:w w:val="100"/>
          <w:position w:val="0"/>
        </w:rPr>
        <w:t>、</w:t>
        <w:tab/>
        <w:t>债务重组</w:t>
      </w:r>
      <w:bookmarkEnd w:id="2334"/>
      <w:bookmarkEnd w:id="2335"/>
      <w:bookmarkEnd w:id="2337"/>
    </w:p>
    <w:p>
      <w:pPr>
        <w:pStyle w:val="Style29"/>
        <w:keepNext/>
        <w:keepLines/>
        <w:widowControl w:val="0"/>
        <w:shd w:val="clear" w:color="auto" w:fill="auto"/>
        <w:tabs>
          <w:tab w:pos="378" w:val="left"/>
        </w:tabs>
        <w:bidi w:val="0"/>
        <w:spacing w:before="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w:t>
        <w:tab/>
        <w:t>资产置换</w:t>
      </w:r>
      <w:bookmarkEnd w:id="2338"/>
      <w:bookmarkEnd w:id="2339"/>
      <w:bookmarkEnd w:id="2341"/>
    </w:p>
    <w:p>
      <w:pPr>
        <w:pStyle w:val="Style40"/>
        <w:keepNext/>
        <w:keepLines/>
        <w:widowControl w:val="0"/>
        <w:shd w:val="clear" w:color="auto" w:fill="auto"/>
        <w:tabs>
          <w:tab w:pos="493" w:val="left"/>
        </w:tabs>
        <w:bidi w:val="0"/>
        <w:spacing w:before="0" w:line="240" w:lineRule="auto"/>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w:t>
      </w:r>
      <w:bookmarkEnd w:id="234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42"/>
      <w:bookmarkEnd w:id="2343"/>
      <w:bookmarkEnd w:id="2345"/>
    </w:p>
    <w:p>
      <w:pPr>
        <w:pStyle w:val="Style40"/>
        <w:keepNext/>
        <w:keepLines/>
        <w:widowControl w:val="0"/>
        <w:shd w:val="clear" w:color="auto" w:fill="auto"/>
        <w:tabs>
          <w:tab w:pos="493" w:val="left"/>
        </w:tabs>
        <w:bidi w:val="0"/>
        <w:spacing w:before="0" w:line="240" w:lineRule="auto"/>
        <w:ind w:left="0" w:right="0" w:firstLine="0"/>
        <w:jc w:val="left"/>
      </w:pPr>
      <w:bookmarkStart w:id="2346" w:name="bookmark2346"/>
      <w:bookmarkStart w:id="2347" w:name="bookmark2347"/>
      <w:bookmarkStart w:id="2348" w:name="bookmark2348"/>
      <w:bookmarkStart w:id="2349" w:name="bookmark2349"/>
      <w:r>
        <w:rPr>
          <w:color w:val="000000"/>
          <w:spacing w:val="0"/>
          <w:w w:val="100"/>
          <w:position w:val="0"/>
        </w:rPr>
        <w:t>（</w:t>
      </w:r>
      <w:bookmarkEnd w:id="234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46"/>
      <w:bookmarkEnd w:id="2347"/>
      <w:bookmarkEnd w:id="2349"/>
    </w:p>
    <w:p>
      <w:pPr>
        <w:pStyle w:val="Style29"/>
        <w:keepNext/>
        <w:keepLines/>
        <w:widowControl w:val="0"/>
        <w:shd w:val="clear" w:color="auto" w:fill="auto"/>
        <w:tabs>
          <w:tab w:pos="378" w:val="left"/>
        </w:tabs>
        <w:bidi w:val="0"/>
        <w:spacing w:before="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4</w:t>
      </w:r>
      <w:bookmarkEnd w:id="2352"/>
      <w:r>
        <w:rPr>
          <w:color w:val="000000"/>
          <w:spacing w:val="0"/>
          <w:w w:val="100"/>
          <w:position w:val="0"/>
        </w:rPr>
        <w:t>、</w:t>
        <w:tab/>
        <w:t>年金计划</w:t>
      </w:r>
      <w:bookmarkEnd w:id="2350"/>
      <w:bookmarkEnd w:id="2351"/>
      <w:bookmarkEnd w:id="2353"/>
    </w:p>
    <w:p>
      <w:pPr>
        <w:pStyle w:val="Style29"/>
        <w:keepNext/>
        <w:keepLines/>
        <w:widowControl w:val="0"/>
        <w:shd w:val="clear" w:color="auto" w:fill="auto"/>
        <w:tabs>
          <w:tab w:pos="378" w:val="left"/>
        </w:tabs>
        <w:bidi w:val="0"/>
        <w:spacing w:before="0" w:after="26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5</w:t>
      </w:r>
      <w:bookmarkEnd w:id="2356"/>
      <w:r>
        <w:rPr>
          <w:color w:val="000000"/>
          <w:spacing w:val="0"/>
          <w:w w:val="100"/>
          <w:position w:val="0"/>
        </w:rPr>
        <w:t>、</w:t>
        <w:tab/>
        <w:t>终止经营</w:t>
      </w:r>
      <w:bookmarkEnd w:id="2354"/>
      <w:bookmarkEnd w:id="2355"/>
      <w:bookmarkEnd w:id="2357"/>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6</w:t>
      </w:r>
      <w:bookmarkEnd w:id="2360"/>
      <w:r>
        <w:rPr>
          <w:color w:val="000000"/>
          <w:spacing w:val="0"/>
          <w:w w:val="100"/>
          <w:position w:val="0"/>
        </w:rPr>
        <w:t>、</w:t>
        <w:tab/>
        <w:t>分部信息</w:t>
      </w:r>
      <w:bookmarkEnd w:id="2358"/>
      <w:bookmarkEnd w:id="2359"/>
      <w:bookmarkEnd w:id="2361"/>
    </w:p>
    <w:p>
      <w:pPr>
        <w:pStyle w:val="Style40"/>
        <w:keepNext/>
        <w:keepLines/>
        <w:widowControl w:val="0"/>
        <w:shd w:val="clear" w:color="auto" w:fill="auto"/>
        <w:tabs>
          <w:tab w:pos="493" w:val="left"/>
        </w:tabs>
        <w:bidi w:val="0"/>
        <w:spacing w:before="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62"/>
      <w:bookmarkEnd w:id="2363"/>
      <w:bookmarkEnd w:id="2365"/>
    </w:p>
    <w:p>
      <w:pPr>
        <w:pStyle w:val="Style40"/>
        <w:keepNext/>
        <w:keepLines/>
        <w:widowControl w:val="0"/>
        <w:shd w:val="clear" w:color="auto" w:fill="auto"/>
        <w:tabs>
          <w:tab w:pos="493" w:val="left"/>
        </w:tabs>
        <w:bidi w:val="0"/>
        <w:spacing w:before="0" w:after="26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w:t>
      </w:r>
      <w:bookmarkEnd w:id="236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66"/>
      <w:bookmarkEnd w:id="2367"/>
      <w:bookmarkEnd w:id="2369"/>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w:t>
      </w:r>
      <w:bookmarkEnd w:id="237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70"/>
      <w:bookmarkEnd w:id="2371"/>
      <w:bookmarkEnd w:id="2373"/>
    </w:p>
    <w:p>
      <w:pPr>
        <w:pStyle w:val="Style18"/>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根据公司的业务性质，公司收入划分为系统集成、外购商品及自制产品、自行研制开发的软件成品、风电机组振动监测 诊断系统，由于各类业务分散于本公司及部分子公司，公司日常未按照业务性质对项目进行管理，因此无报告分部。</w:t>
      </w:r>
    </w:p>
    <w:p>
      <w:pPr>
        <w:pStyle w:val="Style40"/>
        <w:keepNext/>
        <w:keepLines/>
        <w:widowControl w:val="0"/>
        <w:numPr>
          <w:ilvl w:val="0"/>
          <w:numId w:val="85"/>
        </w:numPr>
        <w:shd w:val="clear" w:color="auto" w:fill="auto"/>
        <w:bidi w:val="0"/>
        <w:spacing w:before="0" w:line="240" w:lineRule="auto"/>
        <w:ind w:left="0" w:right="0" w:firstLine="0"/>
        <w:jc w:val="left"/>
      </w:pPr>
      <w:bookmarkStart w:id="2374" w:name="bookmark2374"/>
      <w:bookmarkStart w:id="2375" w:name="bookmark2375"/>
      <w:bookmarkStart w:id="2376" w:name="bookmark2376"/>
      <w:bookmarkStart w:id="2377" w:name="bookmark2377"/>
      <w:bookmarkEnd w:id="2376"/>
      <w:r>
        <w:rPr>
          <w:color w:val="000000"/>
          <w:spacing w:val="0"/>
          <w:w w:val="100"/>
          <w:position w:val="0"/>
        </w:rPr>
        <w:t>其他说明</w:t>
      </w:r>
      <w:bookmarkEnd w:id="2374"/>
      <w:bookmarkEnd w:id="2375"/>
      <w:bookmarkEnd w:id="2377"/>
    </w:p>
    <w:p>
      <w:pPr>
        <w:pStyle w:val="Style29"/>
        <w:keepNext/>
        <w:keepLines/>
        <w:widowControl w:val="0"/>
        <w:shd w:val="clear" w:color="auto" w:fill="auto"/>
        <w:tabs>
          <w:tab w:pos="373" w:val="left"/>
        </w:tabs>
        <w:bidi w:val="0"/>
        <w:spacing w:before="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7</w:t>
      </w:r>
      <w:bookmarkEnd w:id="2380"/>
      <w:r>
        <w:rPr>
          <w:color w:val="000000"/>
          <w:spacing w:val="0"/>
          <w:w w:val="100"/>
          <w:position w:val="0"/>
        </w:rPr>
        <w:t>、</w:t>
        <w:tab/>
        <w:t>其他对投资者决策有影响的重要交易和事项</w:t>
      </w:r>
      <w:bookmarkEnd w:id="2378"/>
      <w:bookmarkEnd w:id="2379"/>
      <w:bookmarkEnd w:id="2381"/>
    </w:p>
    <w:p>
      <w:pPr>
        <w:pStyle w:val="Style29"/>
        <w:keepNext/>
        <w:keepLines/>
        <w:widowControl w:val="0"/>
        <w:shd w:val="clear" w:color="auto" w:fill="auto"/>
        <w:tabs>
          <w:tab w:pos="378" w:val="left"/>
        </w:tabs>
        <w:bidi w:val="0"/>
        <w:spacing w:before="0" w:line="240" w:lineRule="auto"/>
        <w:ind w:left="0" w:right="0" w:firstLine="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8</w:t>
      </w:r>
      <w:bookmarkEnd w:id="2384"/>
      <w:r>
        <w:rPr>
          <w:color w:val="000000"/>
          <w:spacing w:val="0"/>
          <w:w w:val="100"/>
          <w:position w:val="0"/>
        </w:rPr>
        <w:t>、</w:t>
        <w:tab/>
        <w:t>其他</w:t>
      </w:r>
      <w:bookmarkEnd w:id="2382"/>
      <w:bookmarkEnd w:id="2383"/>
      <w:bookmarkEnd w:id="2385"/>
    </w:p>
    <w:p>
      <w:pPr>
        <w:pStyle w:val="Style24"/>
        <w:keepNext/>
        <w:keepLines/>
        <w:widowControl w:val="0"/>
        <w:shd w:val="clear" w:color="auto" w:fill="auto"/>
        <w:bidi w:val="0"/>
        <w:spacing w:before="0" w:after="380" w:line="240" w:lineRule="auto"/>
        <w:ind w:left="0" w:right="0" w:firstLine="0"/>
        <w:jc w:val="left"/>
      </w:pPr>
      <w:bookmarkStart w:id="2386" w:name="bookmark2386"/>
      <w:bookmarkStart w:id="2387" w:name="bookmark2387"/>
      <w:bookmarkStart w:id="2388" w:name="bookmark2388"/>
      <w:r>
        <w:rPr>
          <w:color w:val="000000"/>
          <w:spacing w:val="0"/>
          <w:w w:val="100"/>
          <w:position w:val="0"/>
        </w:rPr>
        <w:t>十七、母公司财务报表主要项目注释</w:t>
      </w:r>
      <w:bookmarkEnd w:id="2386"/>
      <w:bookmarkEnd w:id="2387"/>
      <w:bookmarkEnd w:id="2388"/>
    </w:p>
    <w:p>
      <w:pPr>
        <w:pStyle w:val="Style29"/>
        <w:keepNext/>
        <w:keepLines/>
        <w:widowControl w:val="0"/>
        <w:shd w:val="clear" w:color="auto" w:fill="auto"/>
        <w:bidi w:val="0"/>
        <w:spacing w:before="0" w:line="240" w:lineRule="auto"/>
        <w:ind w:left="0" w:right="0" w:firstLine="0"/>
        <w:jc w:val="left"/>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89"/>
      <w:bookmarkEnd w:id="2390"/>
      <w:bookmarkEnd w:id="2391"/>
    </w:p>
    <w:p>
      <w:pPr>
        <w:pStyle w:val="Style40"/>
        <w:keepNext/>
        <w:keepLines/>
        <w:widowControl w:val="0"/>
        <w:shd w:val="clear" w:color="auto" w:fill="auto"/>
        <w:bidi w:val="0"/>
        <w:spacing w:before="0" w:line="240" w:lineRule="auto"/>
        <w:ind w:left="0" w:right="0" w:firstLine="0"/>
        <w:jc w:val="left"/>
      </w:pPr>
      <w:bookmarkStart w:id="2392" w:name="bookmark2392"/>
      <w:bookmarkStart w:id="2393" w:name="bookmark2393"/>
      <w:bookmarkStart w:id="2394" w:name="bookmark2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92"/>
      <w:bookmarkEnd w:id="2393"/>
      <w:bookmarkEnd w:id="23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3,659,91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326,678,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3,333,237</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3,615,434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279,407,3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3,336,027,2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3,659,91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326,678,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3,333,237</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3,615,434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279,407,3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3,336,027,2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3,659,91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326,678,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3,333,237</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3,615,434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279,407,3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3,336,027,2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1,630,563,633.64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16,305,636.34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1,048,811,914.61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52,440,595.73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383,967,220.40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38,396,722.04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355,832,737.12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106,749,821.14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182,792,679.55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54,837,803.86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57,947,592.46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57,947,592.46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3,659,915,777.78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326,678,171.57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1,630,563,633.64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1,048,811,914.61</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383,967,220.40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596,573,009.13</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355,832,737.12</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182,792,679.55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57,947,592.46</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3,659,915,777.78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395" w:name="bookmark2395"/>
      <w:bookmarkStart w:id="2396" w:name="bookmark2396"/>
      <w:bookmarkStart w:id="2397" w:name="bookmark2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95"/>
      <w:bookmarkEnd w:id="2396"/>
      <w:bookmarkEnd w:id="239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279,407,391.58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47,270,779.99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326,678,171.57</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279,407,391.58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47,270,779.99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326,678,171.57</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2398" w:name="bookmark2398"/>
      <w:bookmarkStart w:id="2399" w:name="bookmark2399"/>
      <w:bookmarkStart w:id="2400" w:name="bookmark2400"/>
      <w:bookmarkStart w:id="2401" w:name="bookmark2401"/>
      <w:r>
        <w:rPr>
          <w:color w:val="000000"/>
          <w:spacing w:val="0"/>
          <w:w w:val="100"/>
          <w:position w:val="0"/>
        </w:rPr>
        <w:t>（</w:t>
      </w:r>
      <w:bookmarkEnd w:id="240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398"/>
      <w:bookmarkEnd w:id="2399"/>
      <w:bookmarkEnd w:id="240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402" w:name="bookmark2402"/>
      <w:bookmarkStart w:id="2403" w:name="bookmark2403"/>
      <w:bookmarkStart w:id="2404" w:name="bookmark2404"/>
      <w:bookmarkStart w:id="2405" w:name="bookmark2405"/>
      <w:r>
        <w:rPr>
          <w:color w:val="000000"/>
          <w:spacing w:val="0"/>
          <w:w w:val="100"/>
          <w:position w:val="0"/>
        </w:rPr>
        <w:t>（</w:t>
      </w:r>
      <w:bookmarkEnd w:id="240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402"/>
      <w:bookmarkEnd w:id="2403"/>
      <w:bookmarkEnd w:id="2405"/>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7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587,168,023.93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20,470,520.70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587,168,023.93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keepLines/>
        <w:widowControl w:val="0"/>
        <w:shd w:val="clear" w:color="auto" w:fill="auto"/>
        <w:tabs>
          <w:tab w:pos="493" w:val="left"/>
        </w:tabs>
        <w:bidi w:val="0"/>
        <w:spacing w:before="0" w:line="240" w:lineRule="auto"/>
        <w:ind w:left="0" w:right="0" w:firstLine="0"/>
        <w:jc w:val="left"/>
      </w:pPr>
      <w:bookmarkStart w:id="2406" w:name="bookmark2406"/>
      <w:bookmarkStart w:id="2407" w:name="bookmark2407"/>
      <w:bookmarkStart w:id="2408" w:name="bookmark2408"/>
      <w:bookmarkStart w:id="2409" w:name="bookmark2409"/>
      <w:r>
        <w:rPr>
          <w:color w:val="000000"/>
          <w:spacing w:val="0"/>
          <w:w w:val="100"/>
          <w:position w:val="0"/>
        </w:rPr>
        <w:t>（</w:t>
      </w:r>
      <w:bookmarkEnd w:id="240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406"/>
      <w:bookmarkEnd w:id="2407"/>
      <w:bookmarkEnd w:id="2409"/>
    </w:p>
    <w:p>
      <w:pPr>
        <w:pStyle w:val="Style40"/>
        <w:keepNext/>
        <w:keepLines/>
        <w:widowControl w:val="0"/>
        <w:shd w:val="clear" w:color="auto" w:fill="auto"/>
        <w:tabs>
          <w:tab w:pos="493" w:val="left"/>
        </w:tabs>
        <w:bidi w:val="0"/>
        <w:spacing w:before="0" w:line="240" w:lineRule="auto"/>
        <w:ind w:left="0" w:right="0" w:firstLine="0"/>
        <w:jc w:val="left"/>
      </w:pPr>
      <w:bookmarkStart w:id="2410" w:name="bookmark2410"/>
      <w:bookmarkStart w:id="2411" w:name="bookmark2411"/>
      <w:bookmarkStart w:id="2412" w:name="bookmark2412"/>
      <w:bookmarkStart w:id="2413" w:name="bookmark2413"/>
      <w:r>
        <w:rPr>
          <w:color w:val="000000"/>
          <w:spacing w:val="0"/>
          <w:w w:val="100"/>
          <w:position w:val="0"/>
        </w:rPr>
        <w:t>（</w:t>
      </w:r>
      <w:bookmarkEnd w:id="2412"/>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410"/>
      <w:bookmarkEnd w:id="2411"/>
      <w:bookmarkEnd w:id="2413"/>
    </w:p>
    <w:p>
      <w:pPr>
        <w:pStyle w:val="Style29"/>
        <w:keepNext/>
        <w:keepLines/>
        <w:widowControl w:val="0"/>
        <w:shd w:val="clear" w:color="auto" w:fill="auto"/>
        <w:bidi w:val="0"/>
        <w:spacing w:before="0" w:line="240" w:lineRule="auto"/>
        <w:ind w:left="0" w:right="0" w:firstLine="0"/>
        <w:jc w:val="left"/>
      </w:pPr>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14"/>
      <w:bookmarkEnd w:id="2415"/>
      <w:bookmarkEnd w:id="241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1,579,922,726.23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1,579,922,726.23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r>
    </w:tbl>
    <w:p>
      <w:pPr>
        <w:widowControl w:val="0"/>
        <w:spacing w:after="37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2417" w:name="bookmark2417"/>
      <w:bookmarkStart w:id="2418" w:name="bookmark2418"/>
      <w:bookmarkStart w:id="2419" w:name="bookmark2419"/>
      <w:bookmarkStart w:id="2420" w:name="bookmark2420"/>
      <w:r>
        <w:rPr>
          <w:color w:val="000000"/>
          <w:spacing w:val="0"/>
          <w:w w:val="100"/>
          <w:position w:val="0"/>
        </w:rPr>
        <w:t>（</w:t>
      </w:r>
      <w:bookmarkEnd w:id="2419"/>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417"/>
      <w:bookmarkEnd w:id="2418"/>
      <w:bookmarkEnd w:id="242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421" w:name="bookmark2421"/>
      <w:bookmarkStart w:id="2422" w:name="bookmark2422"/>
      <w:bookmarkStart w:id="2423" w:name="bookmark2423"/>
      <w:bookmarkStart w:id="2424" w:name="bookmark2424"/>
      <w:r>
        <w:rPr>
          <w:color w:val="000000"/>
          <w:spacing w:val="0"/>
          <w:w w:val="100"/>
          <w:position w:val="0"/>
        </w:rPr>
        <w:t>（</w:t>
      </w:r>
      <w:bookmarkEnd w:id="242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421"/>
      <w:bookmarkEnd w:id="2422"/>
      <w:bookmarkEnd w:id="242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rPr>
        <w:t>（</w:t>
      </w:r>
      <w:bookmarkEnd w:id="242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425"/>
      <w:bookmarkEnd w:id="2426"/>
      <w:bookmarkEnd w:id="2428"/>
    </w:p>
    <w:p>
      <w:pPr>
        <w:pStyle w:val="Style74"/>
        <w:keepNext/>
        <w:keepLines/>
        <w:widowControl w:val="0"/>
        <w:shd w:val="clear" w:color="auto" w:fill="auto"/>
        <w:bidi w:val="0"/>
        <w:spacing w:before="0" w:line="240" w:lineRule="auto"/>
        <w:ind w:left="0" w:right="0" w:firstLine="0"/>
        <w:jc w:val="left"/>
      </w:pPr>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29"/>
      <w:bookmarkEnd w:id="2430"/>
      <w:bookmarkEnd w:id="243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58,017,788.58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66,016,357.40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116,588,624.04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138,429,390.99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81,875,560.68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104,470,529.99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1,430,715,925.68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1,301,286,813.99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21,044,288.42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5,705,857.82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41,523,000.00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1,749,765,187.40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1,615,908,950.19</w:t>
            </w:r>
          </w:p>
        </w:tc>
      </w:tr>
    </w:tbl>
    <w:p>
      <w:pPr>
        <w:widowControl w:val="0"/>
        <w:spacing w:after="379" w:line="1" w:lineRule="exact"/>
      </w:pPr>
    </w:p>
    <w:p>
      <w:pPr>
        <w:pStyle w:val="Style74"/>
        <w:keepNext/>
        <w:keepLines/>
        <w:widowControl w:val="0"/>
        <w:shd w:val="clear" w:color="auto" w:fill="auto"/>
        <w:bidi w:val="0"/>
        <w:spacing w:before="0" w:line="240" w:lineRule="auto"/>
        <w:ind w:left="0" w:right="0" w:firstLine="0"/>
        <w:jc w:val="left"/>
      </w:pPr>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32"/>
      <w:bookmarkEnd w:id="2433"/>
      <w:bookmarkEnd w:id="2434"/>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82,202,466.03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53,221,061.08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135,423,527.11</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52,897,118.59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6,166,606.10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59,063,724.69</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-24,644,790.63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-24,644,790.63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110,454,793.99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59,387,667.18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169,842,461.17</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913,585,216.75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345,139,229.31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259,728,548.24</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231,312,193.10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115,854,567.22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46,767,433.35</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68,690,192.53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1,749,765,187.40</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3</w:t>
      </w:r>
      <w:bookmarkEnd w:id="2437"/>
      <w:r>
        <w:rPr>
          <w:color w:val="000000"/>
          <w:spacing w:val="0"/>
          <w:w w:val="100"/>
          <w:position w:val="0"/>
        </w:rPr>
        <w:t>） 本期计提、收回或转回的坏账准备情况</w:t>
      </w:r>
      <w:bookmarkEnd w:id="2435"/>
      <w:bookmarkEnd w:id="2436"/>
      <w:bookmarkEnd w:id="243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4"/>
        <w:keepNext/>
        <w:keepLines/>
        <w:widowControl w:val="0"/>
        <w:shd w:val="clear" w:color="auto" w:fill="auto"/>
        <w:tabs>
          <w:tab w:pos="392" w:val="left"/>
        </w:tabs>
        <w:bidi w:val="0"/>
        <w:spacing w:before="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4</w:t>
      </w:r>
      <w:bookmarkEnd w:id="2441"/>
      <w:r>
        <w:rPr>
          <w:color w:val="000000"/>
          <w:spacing w:val="0"/>
          <w:w w:val="100"/>
          <w:position w:val="0"/>
        </w:rPr>
        <w:t>）</w:t>
        <w:tab/>
        <w:t>本期实际核销的其他应收款情况</w:t>
      </w:r>
      <w:bookmarkEnd w:id="2439"/>
      <w:bookmarkEnd w:id="2440"/>
      <w:bookmarkEnd w:id="2442"/>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24,644,790.63</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5</w:t>
      </w:r>
      <w:bookmarkEnd w:id="2445"/>
      <w:r>
        <w:rPr>
          <w:color w:val="000000"/>
          <w:spacing w:val="0"/>
          <w:w w:val="100"/>
          <w:position w:val="0"/>
        </w:rPr>
        <w:t>）按欠款方归集的期末余额前五名的其他应收款情况</w:t>
      </w:r>
      <w:bookmarkEnd w:id="2443"/>
      <w:bookmarkEnd w:id="2444"/>
      <w:bookmarkEnd w:id="244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008"/>
        <w:gridCol w:w="1277"/>
        <w:gridCol w:w="2832"/>
        <w:gridCol w:w="1560"/>
        <w:gridCol w:w="1214"/>
      </w:tblGrid>
      <w:tr>
        <w:trPr>
          <w:trHeight w:val="7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坏账准备期末 余额</w:t>
            </w:r>
          </w:p>
        </w:tc>
      </w:tr>
      <w:tr>
        <w:trPr>
          <w:trHeight w:val="7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153,521,769.50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99,850,869.50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25,960,000.00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5,589,908.70</w:t>
            </w:r>
          </w:p>
        </w:tc>
      </w:tr>
    </w:tbl>
    <w:p>
      <w:pPr>
        <w:spacing w:lineRule="exact" w:line="1"/>
        <w:rPr>
          <w:sz w:val="2"/>
          <w:szCs w:val="2"/>
        </w:rPr>
      </w:pPr>
      <w:r>
        <w:br w:type="page"/>
      </w:r>
    </w:p>
    <w:tbl>
      <w:tblPr>
        <w:tblOverlap w:val="never"/>
        <w:jc w:val="center"/>
        <w:tblLayout w:type="fixed"/>
      </w:tblPr>
      <w:tblGrid>
        <w:gridCol w:w="1694"/>
        <w:gridCol w:w="1008"/>
        <w:gridCol w:w="1277"/>
        <w:gridCol w:w="2832"/>
        <w:gridCol w:w="1560"/>
        <w:gridCol w:w="1214"/>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27,003,000.00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164,000.00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543,900.00</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北京东华信创科技有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149,229,000.00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149,224,000.00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1,492,490.00</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深圳市至高通信技术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123,365,800.52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23,853,348.99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38,625,904.64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49,947,611.27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年以上</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10,938,935.62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10,446,270.53</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西安东华软件有限公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122,585,287.83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90,361,191.65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32,224,096.18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2,514,816.73</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泰安东华合创软件有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117,971,322.98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92,682,854.20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25,288,468.78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2,191,251.98</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666,673,180.83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22,234,737.94</w:t>
            </w:r>
          </w:p>
        </w:tc>
      </w:tr>
    </w:tbl>
    <w:p>
      <w:pPr>
        <w:widowControl w:val="0"/>
        <w:spacing w:after="359" w:line="1" w:lineRule="exact"/>
      </w:pPr>
    </w:p>
    <w:p>
      <w:pPr>
        <w:pStyle w:val="Style74"/>
        <w:keepNext/>
        <w:keepLines/>
        <w:widowControl w:val="0"/>
        <w:shd w:val="clear" w:color="auto" w:fill="auto"/>
        <w:bidi w:val="0"/>
        <w:spacing w:before="0" w:after="360" w:line="240" w:lineRule="auto"/>
        <w:ind w:left="0" w:right="0" w:firstLine="0"/>
        <w:jc w:val="left"/>
      </w:pPr>
      <w:bookmarkStart w:id="2447" w:name="bookmark2447"/>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rPr>
        <w:t>6</w:t>
      </w:r>
      <w:bookmarkEnd w:id="2449"/>
      <w:r>
        <w:rPr>
          <w:color w:val="000000"/>
          <w:spacing w:val="0"/>
          <w:w w:val="100"/>
          <w:position w:val="0"/>
        </w:rPr>
        <w:t>）涉及政府补助的应收款项</w:t>
      </w:r>
      <w:bookmarkEnd w:id="2447"/>
      <w:bookmarkEnd w:id="2448"/>
      <w:bookmarkEnd w:id="245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4"/>
        <w:keepNext/>
        <w:keepLines/>
        <w:widowControl w:val="0"/>
        <w:shd w:val="clear" w:color="auto" w:fill="auto"/>
        <w:tabs>
          <w:tab w:pos="387" w:val="left"/>
        </w:tabs>
        <w:bidi w:val="0"/>
        <w:spacing w:before="0" w:after="360" w:line="240" w:lineRule="auto"/>
        <w:ind w:left="0" w:right="0" w:firstLine="0"/>
        <w:jc w:val="left"/>
      </w:pPr>
      <w:bookmarkStart w:id="2451" w:name="bookmark2451"/>
      <w:bookmarkStart w:id="2452" w:name="bookmark2452"/>
      <w:bookmarkStart w:id="2453" w:name="bookmark2453"/>
      <w:bookmarkStart w:id="2454" w:name="bookmark2454"/>
      <w:r>
        <w:rPr>
          <w:rFonts w:ascii="Times New Roman" w:eastAsia="Times New Roman" w:hAnsi="Times New Roman" w:cs="Times New Roman"/>
          <w:color w:val="000000"/>
          <w:spacing w:val="0"/>
          <w:w w:val="100"/>
          <w:position w:val="0"/>
        </w:rPr>
        <w:t>7</w:t>
      </w:r>
      <w:bookmarkEnd w:id="2453"/>
      <w:r>
        <w:rPr>
          <w:color w:val="000000"/>
          <w:spacing w:val="0"/>
          <w:w w:val="100"/>
          <w:position w:val="0"/>
        </w:rPr>
        <w:t>）</w:t>
        <w:tab/>
        <w:t>因金融资产转移而终止确认的其他应收款</w:t>
      </w:r>
      <w:bookmarkEnd w:id="2451"/>
      <w:bookmarkEnd w:id="2452"/>
      <w:bookmarkEnd w:id="2454"/>
    </w:p>
    <w:p>
      <w:pPr>
        <w:pStyle w:val="Style74"/>
        <w:keepNext/>
        <w:keepLines/>
        <w:widowControl w:val="0"/>
        <w:shd w:val="clear" w:color="auto" w:fill="auto"/>
        <w:tabs>
          <w:tab w:pos="392" w:val="left"/>
        </w:tabs>
        <w:bidi w:val="0"/>
        <w:spacing w:before="0" w:after="360" w:line="240" w:lineRule="auto"/>
        <w:ind w:left="0" w:right="0" w:firstLine="0"/>
        <w:jc w:val="left"/>
      </w:pPr>
      <w:bookmarkStart w:id="2455" w:name="bookmark2455"/>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8</w:t>
      </w:r>
      <w:bookmarkEnd w:id="2457"/>
      <w:r>
        <w:rPr>
          <w:color w:val="000000"/>
          <w:spacing w:val="0"/>
          <w:w w:val="100"/>
          <w:position w:val="0"/>
        </w:rPr>
        <w:t>）</w:t>
        <w:tab/>
        <w:t>转移其他应收款且继续涉入形成的资产、负债金额</w:t>
      </w:r>
      <w:bookmarkEnd w:id="2455"/>
      <w:bookmarkEnd w:id="2456"/>
      <w:bookmarkEnd w:id="2458"/>
    </w:p>
    <w:p>
      <w:pPr>
        <w:pStyle w:val="Style29"/>
        <w:keepNext/>
        <w:keepLines/>
        <w:widowControl w:val="0"/>
        <w:shd w:val="clear" w:color="auto" w:fill="auto"/>
        <w:bidi w:val="0"/>
        <w:spacing w:before="0" w:after="360" w:line="240" w:lineRule="auto"/>
        <w:ind w:left="0" w:right="0" w:firstLine="0"/>
        <w:jc w:val="left"/>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3</w:t>
      </w:r>
      <w:bookmarkEnd w:id="2461"/>
      <w:r>
        <w:rPr>
          <w:color w:val="000000"/>
          <w:spacing w:val="0"/>
          <w:w w:val="100"/>
          <w:position w:val="0"/>
        </w:rPr>
        <w:t>、长期股权投资</w:t>
      </w:r>
      <w:bookmarkEnd w:id="2459"/>
      <w:bookmarkEnd w:id="2460"/>
      <w:bookmarkEnd w:id="24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5,202,816,451.16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1,038,523,376.05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4,164,293,075.11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4,695,795,701.35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931,878,780.57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3,763,916,920.78</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89,340,004.01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89,340,004.01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80,786,469.90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80,786,469.90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5,292,156,455.17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1,038,523,376.05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4,253,633,079.12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4,776,582,171.25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931,878,780.57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3,844,703,390.68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463" w:name="bookmark2463"/>
      <w:bookmarkStart w:id="2464" w:name="bookmark2464"/>
      <w:bookmarkStart w:id="2465" w:name="bookmark2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63"/>
      <w:bookmarkEnd w:id="2464"/>
      <w:bookmarkEnd w:id="24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334"/>
        <w:gridCol w:w="1046"/>
        <w:gridCol w:w="1214"/>
        <w:gridCol w:w="1224"/>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减值准备期末 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广州东华软件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7,212,155.63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25,772,155.63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334"/>
        <w:gridCol w:w="1046"/>
        <w:gridCol w:w="1214"/>
        <w:gridCol w:w="1224"/>
      </w:tblGrid>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北京东华合创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泰安东华合创 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北京联银通科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292,675,400.0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292,675,400.00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北京东华合创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8,624,206.07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8,624,206.07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北京厚盾科技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东华软件工程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哈尔滨东华软 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东华合创软件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东华软件技术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北京东华厚盾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北京东华易时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东华合创科技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东华软件（沈 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41,920,200.00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西安东华软件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北京神州新桥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南昌东华软件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山西东华软件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北京东华信息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东华医为科技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334"/>
        <w:gridCol w:w="1046"/>
        <w:gridCol w:w="1214"/>
        <w:gridCol w:w="1224"/>
      </w:tblGrid>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东华云计算有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东华智慧城市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北京威锐达测 控系统有限公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319,080,032.8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319,080,032.86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263,919,967.14</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兰州东华软件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合力东华（北 京）科技有限公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东华互联宜家</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数据服务有限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苏州东华软件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内蒙古东华软 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东华网络股份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深圳市至高通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信技术发展有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265,526,319.5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106,644,595.48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158,881,724.02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641,118,275.98</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北京东华万兴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19,514,867.07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19,514,867.07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133,485,132.93</w:t>
            </w: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北京卓智能研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吉林省东华软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件信息工程有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华金在线股份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北京东华福蝉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贵州东华云数</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据科技有限责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334"/>
        <w:gridCol w:w="1046"/>
        <w:gridCol w:w="1214"/>
        <w:gridCol w:w="1224"/>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东华软件威海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7,247,816.56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7,486,816.56</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南京东华科创</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郑州东华诚信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三亚东华云信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数据服务有限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云南东合数据</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北京国能智研</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安阳东华软件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广西东华云数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据信息技术有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26,034,512.25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30,295,512.25</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东华智城云计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30,343,977.00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30,343,977.00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东华至高通信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安徽东华智慧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城市信息技术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陕西空港云谷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11,718,560.00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东华软件（扬 州）有限公司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东华慧湾数字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北京银企汇科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5,789,105.31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9,265,105.31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89,392,747.61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35,034,005.24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54,358,742.37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334"/>
        <w:gridCol w:w="1046"/>
        <w:gridCol w:w="1214"/>
        <w:gridCol w:w="1224"/>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东华云都技术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310,278,000.0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189,722,000.0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东华合创信通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软件股份有限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北京东华信创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东华软件（长 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东华电子信息 产业（宁波）有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大同东华科技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江西东华指尖</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数字技术有限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34,246,830.90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34,260,230.90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重庆东华合创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774,427.02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4,244,124.15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5,018,551.17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东华软件合肥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东华智慧城市 科技（苏州）有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山西东华合创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天津东华智联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武汉东华软件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both"/>
            </w:pPr>
            <w:r>
              <w:rPr>
                <w:color w:val="000000"/>
                <w:spacing w:val="0"/>
                <w:w w:val="100"/>
                <w:position w:val="0"/>
              </w:rPr>
              <w:t>蚌埠东华软件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36,512,000.00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德州东华软件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6,001,100.00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东华总部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3,763,916,920.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643,028,755.0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136,008,005.2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106,644,595.48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4,164,293,075.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1,038,523,376.</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334"/>
        <w:gridCol w:w="1046"/>
        <w:gridCol w:w="1214"/>
        <w:gridCol w:w="1224"/>
      </w:tblGrid>
      <w:tr>
        <w:trPr>
          <w:trHeight w:val="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466" w:name="bookmark2466"/>
      <w:bookmarkStart w:id="2467" w:name="bookmark2467"/>
      <w:bookmarkStart w:id="2468" w:name="bookmark2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66"/>
      <w:bookmarkEnd w:id="2467"/>
      <w:bookmarkEnd w:id="24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期末余额</w:t>
            </w:r>
          </w:p>
          <w:p>
            <w:pPr>
              <w:pStyle w:val="Style21"/>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瑞客东华</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转化医学</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研究中心</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北京卓讯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科信技术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10,603,82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5,155,945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15,665,15</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奇秦科技</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10,093,93</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-3,934,23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6,159,702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宁波和丰 鲲鹏产业 园开发经 营有限公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60,001,53</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59,987,03</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江西国投</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北京快立 方科技有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7,326,939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贵州东华 电科节能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80,786,46</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980,733.5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89,340,00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80,786,46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980,733.5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469" w:name="bookmark2469"/>
      <w:bookmarkStart w:id="2470" w:name="bookmark2470"/>
      <w:bookmarkStart w:id="2471" w:name="bookmark2471"/>
      <w:bookmarkStart w:id="2472" w:name="bookmark2472"/>
      <w:r>
        <w:rPr>
          <w:color w:val="000000"/>
          <w:spacing w:val="0"/>
          <w:w w:val="100"/>
          <w:position w:val="0"/>
        </w:rPr>
        <w:t>（</w:t>
      </w:r>
      <w:bookmarkEnd w:id="247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69"/>
      <w:bookmarkEnd w:id="2470"/>
      <w:bookmarkEnd w:id="2472"/>
    </w:p>
    <w:p>
      <w:pPr>
        <w:pStyle w:val="Style29"/>
        <w:keepNext/>
        <w:keepLines/>
        <w:widowControl w:val="0"/>
        <w:shd w:val="clear" w:color="auto" w:fill="auto"/>
        <w:bidi w:val="0"/>
        <w:spacing w:before="0" w:after="360" w:line="240" w:lineRule="auto"/>
        <w:ind w:left="0" w:right="0" w:firstLine="0"/>
        <w:jc w:val="left"/>
      </w:pPr>
      <w:bookmarkStart w:id="2473" w:name="bookmark2473"/>
      <w:bookmarkStart w:id="2474" w:name="bookmark2474"/>
      <w:bookmarkStart w:id="2475" w:name="bookmark2475"/>
      <w:bookmarkStart w:id="2476" w:name="bookmark2476"/>
      <w:r>
        <w:rPr>
          <w:rFonts w:ascii="Times New Roman" w:eastAsia="Times New Roman" w:hAnsi="Times New Roman" w:cs="Times New Roman"/>
          <w:color w:val="000000"/>
          <w:spacing w:val="0"/>
          <w:w w:val="100"/>
          <w:position w:val="0"/>
        </w:rPr>
        <w:t>4</w:t>
      </w:r>
      <w:bookmarkEnd w:id="2475"/>
      <w:r>
        <w:rPr>
          <w:color w:val="000000"/>
          <w:spacing w:val="0"/>
          <w:w w:val="100"/>
          <w:position w:val="0"/>
        </w:rPr>
        <w:t>、营业收入和营业成本</w:t>
      </w:r>
      <w:bookmarkEnd w:id="2473"/>
      <w:bookmarkEnd w:id="2474"/>
      <w:bookmarkEnd w:id="24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1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4,170,222,475.43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3,247,320,927.59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3,747,453,240.93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2,876,061,221.00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5,094,638.71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1,876,667.88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11,811,988.50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2,816,564.10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4,175,317,114.14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3,249,197,595.47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3,759,265,229.43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2,878,877,785.10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20" w:line="319" w:lineRule="exact"/>
        <w:ind w:left="0" w:right="0" w:firstLine="38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5,592,332,523.05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2,998,002,036.57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2,205,735,351.03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388,595,135.45</w:t>
      </w:r>
      <w:r>
        <w:rPr>
          <w:color w:val="000000"/>
          <w:spacing w:val="0"/>
          <w:w w:val="100"/>
          <w:position w:val="0"/>
        </w:rPr>
        <w:t>元预计将 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29"/>
        <w:keepNext/>
        <w:keepLines/>
        <w:widowControl w:val="0"/>
        <w:shd w:val="clear" w:color="auto" w:fill="auto"/>
        <w:bidi w:val="0"/>
        <w:spacing w:before="0" w:after="420" w:line="240" w:lineRule="auto"/>
        <w:ind w:left="0" w:right="0" w:firstLine="0"/>
        <w:jc w:val="left"/>
      </w:pPr>
      <w:bookmarkStart w:id="2477" w:name="bookmark2477"/>
      <w:bookmarkStart w:id="2478" w:name="bookmark2478"/>
      <w:bookmarkStart w:id="2479" w:name="bookmark2479"/>
      <w:bookmarkStart w:id="2480" w:name="bookmark2480"/>
      <w:r>
        <w:rPr>
          <w:rFonts w:ascii="Times New Roman" w:eastAsia="Times New Roman" w:hAnsi="Times New Roman" w:cs="Times New Roman"/>
          <w:color w:val="000000"/>
          <w:spacing w:val="0"/>
          <w:w w:val="100"/>
          <w:position w:val="0"/>
        </w:rPr>
        <w:t>5</w:t>
      </w:r>
      <w:bookmarkEnd w:id="2479"/>
      <w:r>
        <w:rPr>
          <w:color w:val="000000"/>
          <w:spacing w:val="0"/>
          <w:w w:val="100"/>
          <w:position w:val="0"/>
        </w:rPr>
        <w:t>、投资收益</w:t>
      </w:r>
      <w:bookmarkEnd w:id="2477"/>
      <w:bookmarkEnd w:id="2478"/>
      <w:bookmarkEnd w:id="248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-124,611.75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-45,492,430.84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-2,711,493.06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-1,508,018.16</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-22,861,697.29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53,885,877.03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481" w:name="bookmark2481"/>
      <w:bookmarkStart w:id="2482" w:name="bookmark2482"/>
      <w:bookmarkStart w:id="2483" w:name="bookmark2483"/>
      <w:bookmarkStart w:id="2484" w:name="bookmark2484"/>
      <w:r>
        <w:rPr>
          <w:rFonts w:ascii="Times New Roman" w:eastAsia="Times New Roman" w:hAnsi="Times New Roman" w:cs="Times New Roman"/>
          <w:color w:val="000000"/>
          <w:spacing w:val="0"/>
          <w:w w:val="100"/>
          <w:position w:val="0"/>
        </w:rPr>
        <w:t>6</w:t>
      </w:r>
      <w:bookmarkEnd w:id="2483"/>
      <w:r>
        <w:rPr>
          <w:color w:val="000000"/>
          <w:spacing w:val="0"/>
          <w:w w:val="100"/>
          <w:position w:val="0"/>
        </w:rPr>
        <w:t>、其他</w:t>
      </w:r>
      <w:bookmarkEnd w:id="2481"/>
      <w:bookmarkEnd w:id="2482"/>
      <w:bookmarkEnd w:id="2484"/>
    </w:p>
    <w:p>
      <w:pPr>
        <w:pStyle w:val="Style24"/>
        <w:keepNext/>
        <w:keepLines/>
        <w:widowControl w:val="0"/>
        <w:shd w:val="clear" w:color="auto" w:fill="auto"/>
        <w:bidi w:val="0"/>
        <w:spacing w:before="0" w:line="240" w:lineRule="auto"/>
        <w:ind w:left="0" w:right="0" w:firstLine="0"/>
        <w:jc w:val="left"/>
      </w:pPr>
      <w:bookmarkStart w:id="2485" w:name="bookmark2485"/>
      <w:bookmarkStart w:id="2486" w:name="bookmark2486"/>
      <w:bookmarkStart w:id="2487" w:name="bookmark2487"/>
      <w:r>
        <w:rPr>
          <w:color w:val="000000"/>
          <w:spacing w:val="0"/>
          <w:w w:val="100"/>
          <w:position w:val="0"/>
        </w:rPr>
        <w:t>十八、补充资料</w:t>
      </w:r>
      <w:bookmarkEnd w:id="2485"/>
      <w:bookmarkEnd w:id="2486"/>
      <w:bookmarkEnd w:id="2487"/>
    </w:p>
    <w:p>
      <w:pPr>
        <w:pStyle w:val="Style29"/>
        <w:keepNext/>
        <w:keepLines/>
        <w:widowControl w:val="0"/>
        <w:shd w:val="clear" w:color="auto" w:fill="auto"/>
        <w:bidi w:val="0"/>
        <w:spacing w:before="0" w:after="360" w:line="240" w:lineRule="auto"/>
        <w:ind w:left="0" w:right="0" w:firstLine="0"/>
        <w:jc w:val="left"/>
      </w:pPr>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88"/>
      <w:bookmarkEnd w:id="2489"/>
      <w:bookmarkEnd w:id="2490"/>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-2,412,061.77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28,810,444.49</w:t>
            </w: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11,400,582.75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2,526,897.25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-954,467.20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222,745.88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41,057,584.04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6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2491" w:name="bookmark2491"/>
      <w:bookmarkStart w:id="2492" w:name="bookmark2492"/>
      <w:bookmarkStart w:id="2493" w:name="bookmark249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91"/>
      <w:bookmarkEnd w:id="2492"/>
      <w:bookmarkEnd w:id="2493"/>
    </w:p>
    <w:tbl>
      <w:tblPr>
        <w:tblOverlap w:val="never"/>
        <w:jc w:val="center"/>
        <w:tblLayout w:type="fixed"/>
      </w:tblPr>
      <w:tblGrid>
        <w:gridCol w:w="2669"/>
        <w:gridCol w:w="3082"/>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0.1305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2494" w:name="bookmark2494"/>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rPr>
        <w:t>3</w:t>
      </w:r>
      <w:bookmarkEnd w:id="2496"/>
      <w:r>
        <w:rPr>
          <w:color w:val="000000"/>
          <w:spacing w:val="0"/>
          <w:w w:val="100"/>
          <w:position w:val="0"/>
        </w:rPr>
        <w:t>、境内外会计准则下会计数据差异</w:t>
      </w:r>
      <w:bookmarkEnd w:id="2494"/>
      <w:bookmarkEnd w:id="2495"/>
      <w:bookmarkEnd w:id="2497"/>
    </w:p>
    <w:p>
      <w:pPr>
        <w:pStyle w:val="Style40"/>
        <w:keepNext/>
        <w:keepLines/>
        <w:widowControl w:val="0"/>
        <w:shd w:val="clear" w:color="auto" w:fill="auto"/>
        <w:tabs>
          <w:tab w:pos="493" w:val="left"/>
        </w:tabs>
        <w:bidi w:val="0"/>
        <w:spacing w:before="0" w:line="240" w:lineRule="auto"/>
        <w:ind w:left="0" w:right="0" w:firstLine="0"/>
        <w:jc w:val="both"/>
      </w:pPr>
      <w:bookmarkStart w:id="2498" w:name="bookmark2498"/>
      <w:bookmarkStart w:id="2499" w:name="bookmark2499"/>
      <w:bookmarkStart w:id="2500" w:name="bookmark2500"/>
      <w:bookmarkStart w:id="2501" w:name="bookmark2501"/>
      <w:r>
        <w:rPr>
          <w:color w:val="000000"/>
          <w:spacing w:val="0"/>
          <w:w w:val="100"/>
          <w:position w:val="0"/>
        </w:rPr>
        <w:t>（</w:t>
      </w:r>
      <w:bookmarkEnd w:id="250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98"/>
      <w:bookmarkEnd w:id="2499"/>
      <w:bookmarkEnd w:id="2501"/>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2502" w:name="bookmark2502"/>
      <w:bookmarkStart w:id="2503" w:name="bookmark2503"/>
      <w:bookmarkStart w:id="2504" w:name="bookmark2504"/>
      <w:bookmarkStart w:id="2505" w:name="bookmark2505"/>
      <w:r>
        <w:rPr>
          <w:color w:val="000000"/>
          <w:spacing w:val="0"/>
          <w:w w:val="100"/>
          <w:position w:val="0"/>
        </w:rPr>
        <w:t>（</w:t>
      </w:r>
      <w:bookmarkEnd w:id="250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02"/>
      <w:bookmarkEnd w:id="2503"/>
      <w:bookmarkEnd w:id="2505"/>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bidi w:val="0"/>
        <w:spacing w:before="0" w:after="280" w:line="341" w:lineRule="exact"/>
        <w:ind w:left="0" w:right="0" w:firstLine="0"/>
        <w:jc w:val="left"/>
      </w:pPr>
      <w:bookmarkStart w:id="2506" w:name="bookmark2506"/>
      <w:bookmarkStart w:id="2507" w:name="bookmark2507"/>
      <w:bookmarkStart w:id="2508" w:name="bookmark2508"/>
      <w:bookmarkStart w:id="2509" w:name="bookmark2509"/>
      <w:r>
        <w:rPr>
          <w:color w:val="000000"/>
          <w:spacing w:val="0"/>
          <w:w w:val="100"/>
          <w:position w:val="0"/>
        </w:rPr>
        <w:t>（</w:t>
      </w:r>
      <w:bookmarkEnd w:id="2508"/>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506"/>
      <w:bookmarkEnd w:id="2507"/>
      <w:bookmarkEnd w:id="2509"/>
    </w:p>
    <w:p>
      <w:pPr>
        <w:pStyle w:val="Style29"/>
        <w:keepNext/>
        <w:keepLines/>
        <w:widowControl w:val="0"/>
        <w:shd w:val="clear" w:color="auto" w:fill="auto"/>
        <w:bidi w:val="0"/>
        <w:spacing w:before="0" w:after="1600" w:line="341" w:lineRule="exact"/>
        <w:ind w:left="0" w:right="0" w:firstLine="0"/>
        <w:jc w:val="left"/>
      </w:pPr>
      <w:bookmarkStart w:id="2510" w:name="bookmark2510"/>
      <w:bookmarkStart w:id="2511" w:name="bookmark2511"/>
      <w:bookmarkStart w:id="2512" w:name="bookmark2512"/>
      <w:bookmarkStart w:id="2513" w:name="bookmark2513"/>
      <w:r>
        <w:rPr>
          <w:rFonts w:ascii="Times New Roman" w:eastAsia="Times New Roman" w:hAnsi="Times New Roman" w:cs="Times New Roman"/>
          <w:color w:val="000000"/>
          <w:spacing w:val="0"/>
          <w:w w:val="100"/>
          <w:position w:val="0"/>
        </w:rPr>
        <w:t>4</w:t>
      </w:r>
      <w:bookmarkEnd w:id="2512"/>
      <w:r>
        <w:rPr>
          <w:color w:val="000000"/>
          <w:spacing w:val="0"/>
          <w:w w:val="100"/>
          <w:position w:val="0"/>
        </w:rPr>
        <w:t>、其他</w:t>
      </w:r>
      <w:bookmarkEnd w:id="2510"/>
      <w:bookmarkEnd w:id="2511"/>
      <w:bookmarkEnd w:id="2513"/>
    </w:p>
    <w:p>
      <w:pPr>
        <w:pStyle w:val="Style8"/>
        <w:keepNext/>
        <w:keepLines/>
        <w:widowControl w:val="0"/>
        <w:shd w:val="clear" w:color="auto" w:fill="auto"/>
        <w:bidi w:val="0"/>
        <w:spacing w:before="0" w:after="280" w:line="240" w:lineRule="auto"/>
        <w:ind w:left="0" w:right="0" w:firstLine="0"/>
        <w:jc w:val="right"/>
        <w:rPr>
          <w:sz w:val="17"/>
          <w:szCs w:val="17"/>
        </w:rPr>
      </w:pPr>
      <w:bookmarkStart w:id="2514" w:name="bookmark2514"/>
      <w:bookmarkStart w:id="2515" w:name="bookmark2515"/>
      <w:bookmarkStart w:id="2516" w:name="bookmark2516"/>
      <w:r>
        <w:rPr>
          <w:color w:val="000000"/>
          <w:spacing w:val="0"/>
          <w:w w:val="100"/>
          <w:position w:val="0"/>
          <w:sz w:val="17"/>
          <w:szCs w:val="17"/>
        </w:rPr>
        <w:t>法定代表人：薛向东</w:t>
      </w:r>
      <w:bookmarkEnd w:id="2514"/>
      <w:bookmarkEnd w:id="2515"/>
      <w:bookmarkEnd w:id="2516"/>
    </w:p>
    <w:p>
      <w:pPr>
        <w:pStyle w:val="Style8"/>
        <w:keepNext/>
        <w:keepLines/>
        <w:widowControl w:val="0"/>
        <w:shd w:val="clear" w:color="auto" w:fill="auto"/>
        <w:bidi w:val="0"/>
        <w:spacing w:before="0" w:after="280" w:line="240" w:lineRule="auto"/>
        <w:ind w:left="0" w:right="0" w:firstLine="0"/>
        <w:jc w:val="right"/>
        <w:rPr>
          <w:sz w:val="17"/>
          <w:szCs w:val="17"/>
        </w:rPr>
      </w:pPr>
      <w:bookmarkStart w:id="2517" w:name="bookmark2517"/>
      <w:bookmarkStart w:id="2518" w:name="bookmark2518"/>
      <w:bookmarkStart w:id="2519" w:name="bookmark2519"/>
      <w:r>
        <w:rPr>
          <w:color w:val="000000"/>
          <w:spacing w:val="0"/>
          <w:w w:val="100"/>
          <w:position w:val="0"/>
          <w:sz w:val="17"/>
          <w:szCs w:val="17"/>
        </w:rPr>
        <w:t>东华软件股份公司</w:t>
      </w:r>
      <w:bookmarkEnd w:id="2517"/>
      <w:bookmarkEnd w:id="2518"/>
      <w:bookmarkEnd w:id="2519"/>
    </w:p>
    <w:p>
      <w:pPr>
        <w:pStyle w:val="Style8"/>
        <w:keepNext/>
        <w:keepLines/>
        <w:widowControl w:val="0"/>
        <w:shd w:val="clear" w:color="auto" w:fill="auto"/>
        <w:bidi w:val="0"/>
        <w:spacing w:before="0" w:after="280" w:line="240" w:lineRule="auto"/>
        <w:ind w:left="0" w:right="0" w:firstLine="0"/>
        <w:jc w:val="right"/>
        <w:rPr>
          <w:sz w:val="17"/>
          <w:szCs w:val="17"/>
        </w:rPr>
      </w:pPr>
      <w:bookmarkStart w:id="2520" w:name="bookmark2520"/>
      <w:bookmarkStart w:id="2521" w:name="bookmark2521"/>
      <w:bookmarkStart w:id="2522" w:name="bookmark2522"/>
      <w:r>
        <w:rPr>
          <w:color w:val="000000"/>
          <w:spacing w:val="0"/>
          <w:w w:val="100"/>
          <w:position w:val="0"/>
          <w:sz w:val="17"/>
          <w:szCs w:val="17"/>
        </w:rPr>
        <w:t>二零二二年四月二十九日</w:t>
      </w:r>
      <w:bookmarkEnd w:id="2520"/>
      <w:bookmarkEnd w:id="2521"/>
      <w:bookmarkEnd w:id="2522"/>
    </w:p>
    <w:sectPr>
      <w:footnotePr>
        <w:pos w:val="pageBottom"/>
        <w:numFmt w:val="decimal"/>
        <w:numRestart w:val="continuous"/>
      </w:footnotePr>
      <w:pgSz w:w="11900" w:h="16840"/>
      <w:pgMar w:top="1383" w:right="1061" w:bottom="1460" w:left="10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 (5)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 (3)_"/>
    <w:basedOn w:val="DefaultParagraphFont"/>
    <w:link w:val="Style35"/>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75">
    <w:name w:val="Heading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8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
    <w:name w:val="Body text (6)"/>
    <w:basedOn w:val="Normal"/>
    <w:link w:val="CharStyle6"/>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8">
    <w:name w:val="Heading #1"/>
    <w:basedOn w:val="Normal"/>
    <w:link w:val="CharStyle9"/>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of contents"/>
    <w:basedOn w:val="Normal"/>
    <w:link w:val="CharStyle14"/>
    <w:pPr>
      <w:widowControl w:val="0"/>
      <w:shd w:val="clear" w:color="auto" w:fill="auto"/>
      <w:spacing w:after="360"/>
    </w:pPr>
    <w:rPr>
      <w:rFonts w:ascii="SimSun" w:eastAsia="SimSun" w:hAnsi="SimSun" w:cs="SimSun"/>
      <w:b/>
      <w:bCs/>
      <w:i w:val="0"/>
      <w:iCs w:val="0"/>
      <w:smallCaps w:val="0"/>
      <w:strike w:val="0"/>
      <w:sz w:val="22"/>
      <w:szCs w:val="22"/>
      <w:u w:val="none"/>
      <w:shd w:val="clear" w:color="auto" w:fill="auto"/>
    </w:rPr>
  </w:style>
  <w:style w:type="paragraph" w:customStyle="1" w:styleId="Style16">
    <w:name w:val="Body text (5)"/>
    <w:basedOn w:val="Normal"/>
    <w:link w:val="CharStyle17"/>
    <w:pPr>
      <w:widowControl w:val="0"/>
      <w:shd w:val="clear" w:color="auto" w:fill="auto"/>
      <w:spacing w:before="330" w:after="840"/>
      <w:jc w:val="center"/>
    </w:pPr>
    <w:rPr>
      <w:rFonts w:ascii="SimSun" w:eastAsia="SimSun" w:hAnsi="SimSun" w:cs="SimSun"/>
      <w:b/>
      <w:bCs/>
      <w:i w:val="0"/>
      <w:iCs w:val="0"/>
      <w:smallCaps w:val="0"/>
      <w:strike w:val="0"/>
      <w:sz w:val="32"/>
      <w:szCs w:val="32"/>
      <w:u w:val="none"/>
      <w:shd w:val="clear" w:color="auto" w:fill="auto"/>
    </w:rPr>
  </w:style>
  <w:style w:type="paragraph" w:styleId="Style18">
    <w:name w:val="Body text"/>
    <w:basedOn w:val="Normal"/>
    <w:link w:val="CharStyle19"/>
    <w:qFormat/>
    <w:pPr>
      <w:widowControl w:val="0"/>
      <w:shd w:val="clear" w:color="auto" w:fill="auto"/>
      <w:spacing w:after="100" w:line="384"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spacing w:after="100" w:line="384"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Body text (3)"/>
    <w:basedOn w:val="Normal"/>
    <w:link w:val="CharStyle36"/>
    <w:pPr>
      <w:widowControl w:val="0"/>
      <w:shd w:val="clear" w:color="auto" w:fill="auto"/>
      <w:spacing w:after="100" w:line="314" w:lineRule="exact"/>
      <w:ind w:firstLine="460"/>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40">
    <w:name w:val="Heading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4">
    <w:name w:val="Heading #5"/>
    <w:basedOn w:val="Normal"/>
    <w:link w:val="CharStyle7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admin</dc:creator>
  <cp:keywords/>
</cp:coreProperties>
</file>