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p>
      <w:pPr>
        <w:spacing w:line="2175"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10088" cy="13811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088" cy="1381125"/>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3466" w:right="4487" w:firstLine="0"/>
        <w:jc w:val="center"/>
        <w:rPr>
          <w:rFonts w:ascii="宋体" w:hAnsi="宋体" w:cs="宋体" w:eastAsia="宋体" w:hint="default"/>
          <w:sz w:val="36"/>
          <w:szCs w:val="36"/>
        </w:rPr>
      </w:pPr>
      <w:r>
        <w:rPr>
          <w:rFonts w:ascii="宋体" w:hAnsi="宋体" w:cs="宋体" w:eastAsia="宋体" w:hint="default"/>
          <w:b/>
          <w:bCs/>
          <w:sz w:val="36"/>
          <w:szCs w:val="36"/>
        </w:rPr>
        <w:t>恒宝股份有限公司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3463" w:right="448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3465" w:right="448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7"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left="2764" w:right="0"/>
        <w:jc w:val="left"/>
        <w:rPr>
          <w:b w:val="0"/>
          <w:bCs w:val="0"/>
        </w:rPr>
      </w:pPr>
      <w:bookmarkStart w:name="_TOC_250011" w:id="1"/>
      <w:r>
        <w:rPr/>
        <w:t>第一节</w:t>
      </w:r>
      <w:r>
        <w:rPr>
          <w:spacing w:val="-9"/>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129" w:firstLine="559"/>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27" w:firstLine="559"/>
        <w:jc w:val="both"/>
        <w:rPr>
          <w:rFonts w:ascii="宋体" w:hAnsi="宋体" w:cs="宋体" w:eastAsia="宋体" w:hint="default"/>
          <w:sz w:val="28"/>
          <w:szCs w:val="28"/>
        </w:rPr>
      </w:pPr>
      <w:r>
        <w:rPr>
          <w:rFonts w:ascii="宋体" w:hAnsi="宋体" w:cs="宋体" w:eastAsia="宋体" w:hint="default"/>
          <w:b/>
          <w:bCs/>
          <w:spacing w:val="-1"/>
          <w:sz w:val="28"/>
          <w:szCs w:val="28"/>
        </w:rPr>
        <w:t>公司负责人钱京、主管会计工作负责人赵长健及会计机构负责人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施伟声明：保证年度报告中财务报告的真实、准确、完整。</w:t>
      </w:r>
      <w:r>
        <w:rPr>
          <w:rFonts w:ascii="宋体" w:hAnsi="宋体" w:cs="宋体" w:eastAsia="宋体" w:hint="default"/>
          <w:sz w:val="28"/>
          <w:szCs w:val="28"/>
        </w:rPr>
      </w:r>
    </w:p>
    <w:p>
      <w:pPr>
        <w:spacing w:line="475" w:lineRule="auto" w:before="148"/>
        <w:ind w:left="671" w:right="4291"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无</w:t>
      </w:r>
      <w:r>
        <w:rPr>
          <w:rFonts w:ascii="宋体" w:hAnsi="宋体" w:cs="宋体" w:eastAsia="宋体" w:hint="default"/>
          <w:sz w:val="28"/>
          <w:szCs w:val="28"/>
        </w:rPr>
      </w:r>
    </w:p>
    <w:p>
      <w:pPr>
        <w:spacing w:line="386" w:lineRule="auto" w:before="81"/>
        <w:ind w:left="112" w:right="1127" w:firstLine="559"/>
        <w:jc w:val="both"/>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712028800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b/>
          <w:bCs/>
          <w:w w:val="99"/>
          <w:sz w:val="28"/>
          <w:szCs w:val="28"/>
        </w:rPr>
        <w:t> </w:t>
      </w:r>
      <w:r>
        <w:rPr>
          <w:rFonts w:ascii="宋体" w:hAnsi="宋体" w:cs="宋体" w:eastAsia="宋体" w:hint="default"/>
          <w:b/>
          <w:bCs/>
          <w:spacing w:val="-1"/>
          <w:w w:val="99"/>
          <w:sz w:val="28"/>
          <w:szCs w:val="28"/>
        </w:rPr>
        <w:t>向全体股东每</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10 </w:t>
      </w:r>
      <w:r>
        <w:rPr>
          <w:rFonts w:ascii="宋体" w:hAnsi="宋体" w:cs="宋体" w:eastAsia="宋体" w:hint="default"/>
          <w:b/>
          <w:bCs/>
          <w:spacing w:val="-1"/>
          <w:w w:val="99"/>
          <w:sz w:val="28"/>
          <w:szCs w:val="28"/>
        </w:rPr>
        <w:t>股派发现金红利</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spacing w:val="-1"/>
          <w:w w:val="100"/>
          <w:sz w:val="28"/>
          <w:szCs w:val="28"/>
        </w:rPr>
        <w:t>0.00</w:t>
      </w:r>
      <w:r>
        <w:rPr>
          <w:rFonts w:ascii="Times New Roman" w:hAnsi="Times New Roman" w:cs="Times New Roman" w:eastAsia="Times New Roman" w:hint="default"/>
          <w:b/>
          <w:bCs/>
          <w:w w:val="100"/>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100"/>
          <w:sz w:val="28"/>
          <w:szCs w:val="28"/>
        </w:rPr>
        <w:t>0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1017" w:header="786" w:top="110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line="460" w:lineRule="exact" w:before="0"/>
        <w:ind w:left="3466" w:right="44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6"/>
              </w:rPr>
              <w:t>11</w:t>
            </w:r>
            <w:r>
              <w:rPr>
                <w:rFonts w:ascii="Times New Roman" w:hAnsi="Times New Roman" w:cs="Times New Roman" w:eastAsia="Times New Roman" w:hint="default"/>
                <w:b w:val="0"/>
                <w:bCs w:val="0"/>
                <w:spacing w:val="-6"/>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58</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171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86" w:footer="1017" w:top="1100" w:bottom="1200" w:left="1020" w:right="0"/>
        </w:sectPr>
      </w:pPr>
    </w:p>
    <w:p>
      <w:pPr>
        <w:spacing w:before="909"/>
        <w:ind w:left="3465" w:right="448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523"/>
        <w:gridCol w:w="622"/>
        <w:gridCol w:w="5424"/>
      </w:tblGrid>
      <w:tr>
        <w:trPr>
          <w:trHeight w:val="401"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公司或本公司或恒宝股份</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恒宝股份有限公司章程</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中国证监会或证监会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交易所或深交所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新加坡国际</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智能系统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江苏恒宝智能系统技术有限公司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一卡易</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一卡易网络</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钱客多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深圳钱客多科技有限公司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恒宝中东非洲</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恒宝（中东非洲）有限责任公司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云宝金服</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headerReference w:type="default" r:id="rId9"/>
          <w:pgSz w:w="11910" w:h="16840"/>
          <w:pgMar w:header="905" w:footer="1017" w:top="1100" w:bottom="12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2604" w:right="0"/>
        <w:jc w:val="left"/>
        <w:rPr>
          <w:b w:val="0"/>
          <w:bCs w:val="0"/>
        </w:rPr>
      </w:pPr>
      <w:bookmarkStart w:name="_TOC_250010" w:id="2"/>
      <w:r>
        <w:rPr/>
        <w:t>第二节</w:t>
      </w:r>
      <w:r>
        <w:rPr>
          <w:spacing w:val="-8"/>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0"/>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2282"/>
        <w:gridCol w:w="2954"/>
        <w:gridCol w:w="2155"/>
        <w:gridCol w:w="2177"/>
      </w:tblGrid>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恒宝股份</w:t>
            </w:r>
          </w:p>
        </w:tc>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002104</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恒宝股份</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1"/>
                <w:sz w:val="18"/>
              </w:rPr>
              <w:t> </w:t>
            </w:r>
            <w:r>
              <w:rPr>
                <w:rFonts w:ascii="Times New Roman"/>
                <w:spacing w:val="-3"/>
                <w:sz w:val="18"/>
              </w:rPr>
              <w:t>Co.,LTD.</w:t>
            </w:r>
          </w:p>
        </w:tc>
      </w:tr>
      <w:tr>
        <w:trPr>
          <w:trHeight w:val="715"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1"/>
                <w:sz w:val="18"/>
              </w:rPr>
              <w:t> </w:t>
            </w:r>
            <w:r>
              <w:rPr>
                <w:rFonts w:ascii="Times New Roman"/>
                <w:spacing w:val="-3"/>
                <w:sz w:val="18"/>
              </w:rPr>
              <w:t>Co.,LTD.</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钱京</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212355</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Times New Roman" w:hAnsi="Times New Roman" w:cs="Times New Roman" w:eastAsia="Times New Roman" w:hint="default"/>
                <w:sz w:val="18"/>
                <w:szCs w:val="18"/>
              </w:rPr>
            </w:pPr>
            <w:r>
              <w:rPr>
                <w:rFonts w:ascii="Times New Roman"/>
                <w:sz w:val="18"/>
              </w:rPr>
              <w:t>212355</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hyperlink r:id="rId10">
              <w:r>
                <w:rPr>
                  <w:rFonts w:ascii="Times New Roman"/>
                  <w:sz w:val="18"/>
                </w:rPr>
                <w:t>http://www.hengbao.com</w:t>
              </w:r>
            </w:hyperlink>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hyperlink r:id="rId11">
              <w:r>
                <w:rPr>
                  <w:rFonts w:ascii="Times New Roman"/>
                  <w:sz w:val="18"/>
                </w:rPr>
                <w:t>hengbao@hengbao.com</w:t>
              </w:r>
            </w:hyperlink>
          </w:p>
        </w:tc>
      </w:tr>
    </w:tbl>
    <w:p>
      <w:pPr>
        <w:spacing w:line="240" w:lineRule="auto" w:before="11"/>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陈妹妹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王坚</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0511-86644324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0511-86644324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Times New Roman" w:hAnsi="Times New Roman" w:cs="Times New Roman" w:eastAsia="Times New Roman" w:hint="default"/>
                <w:sz w:val="18"/>
                <w:szCs w:val="18"/>
              </w:rPr>
            </w:pPr>
            <w:r>
              <w:rPr>
                <w:rFonts w:ascii="Times New Roman"/>
                <w:sz w:val="18"/>
              </w:rPr>
              <w:t>0511-86644324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Times New Roman" w:hAnsi="Times New Roman" w:cs="Times New Roman" w:eastAsia="Times New Roman" w:hint="default"/>
                <w:sz w:val="18"/>
                <w:szCs w:val="18"/>
              </w:rPr>
            </w:pPr>
            <w:r>
              <w:rPr>
                <w:rFonts w:ascii="Times New Roman"/>
                <w:sz w:val="18"/>
              </w:rPr>
              <w:t>0511-86644324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ir@hengbao.com</w:t>
              </w:r>
            </w:hyperlink>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ir@hengbao.com</w:t>
              </w:r>
            </w:hyperlink>
          </w:p>
        </w:tc>
      </w:tr>
    </w:tbl>
    <w:p>
      <w:pPr>
        <w:spacing w:line="240" w:lineRule="auto" w:before="11"/>
        <w:rPr>
          <w:rFonts w:ascii="宋体" w:hAnsi="宋体" w:cs="宋体" w:eastAsia="宋体" w:hint="default"/>
          <w:b/>
          <w:bCs/>
          <w:sz w:val="17"/>
          <w:szCs w:val="17"/>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991"/>
        <w:gridCol w:w="5575"/>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深圳证券交易所、江苏省丹阳市横塘工业区公司证券事务部</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190"/>
        <w:gridCol w:w="6377"/>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91320000253710940L</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03"/>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662"/>
        <w:gridCol w:w="6905"/>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上海市静安区威海路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号文新报业大厦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耿磊</w:t>
            </w:r>
            <w:r>
              <w:rPr>
                <w:rFonts w:ascii="宋体" w:hAnsi="宋体" w:cs="宋体" w:eastAsia="宋体" w:hint="default"/>
                <w:spacing w:val="1"/>
                <w:sz w:val="18"/>
                <w:szCs w:val="18"/>
              </w:rPr>
              <w:t> </w:t>
            </w:r>
            <w:r>
              <w:rPr>
                <w:rFonts w:ascii="宋体" w:hAnsi="宋体" w:cs="宋体" w:eastAsia="宋体" w:hint="default"/>
                <w:sz w:val="18"/>
                <w:szCs w:val="18"/>
              </w:rPr>
              <w:t>赵彧非</w:t>
            </w:r>
          </w:p>
        </w:tc>
      </w:tr>
    </w:tbl>
    <w:p>
      <w:pPr>
        <w:pStyle w:val="BodyText"/>
        <w:spacing w:line="240" w:lineRule="auto" w:before="46"/>
        <w:ind w:right="0"/>
        <w:jc w:val="left"/>
      </w:pPr>
      <w:r>
        <w:rPr/>
        <w:t>公司聘请的报告期内履行持续督导职责的保荐机构</w:t>
      </w:r>
    </w:p>
    <w:p>
      <w:pPr>
        <w:pStyle w:val="BodyText"/>
        <w:spacing w:line="357" w:lineRule="auto" w:before="117"/>
        <w:ind w:right="6793"/>
        <w:jc w:val="left"/>
      </w:pPr>
      <w:r>
        <w:rPr/>
        <w:t>□ 适用 √ 不适用 公司聘请的报告期内履行持续督导职责的财务顾问</w:t>
      </w:r>
    </w:p>
    <w:p>
      <w:pPr>
        <w:pStyle w:val="BodyText"/>
        <w:spacing w:line="240" w:lineRule="auto" w:before="29"/>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4"/>
        <w:ind w:right="0"/>
        <w:jc w:val="left"/>
      </w:pPr>
      <w:r>
        <w:rPr/>
        <w:t>□ 是 √ 否</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621"/>
        <w:gridCol w:w="1738"/>
        <w:gridCol w:w="1738"/>
        <w:gridCol w:w="1735"/>
        <w:gridCol w:w="173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1,690,305,333.68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1,368,374,091.69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1,353,352,597.08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145,493,021.11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162,648,403.93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146,405,344.51</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00" w:right="168"/>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92,113,790.14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104,212,945.50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161,271,044.34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588,243,108.85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-429,867,978.47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-236.84%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304,691,558.13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0.205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0.228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0.205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0.205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0.228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0.205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7.82%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9.48%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z w:val="18"/>
              </w:rPr>
              <w:t>-1.66%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9.17%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70" w:right="141" w:hanging="629"/>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2,250,514,166.49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2,186,573,315.72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2,114,073,367.25</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1,894,006,700.33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1,794,188,026.42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1,635,809,038.12</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168"/>
        <w:jc w:val="left"/>
      </w:pPr>
      <w:r>
        <w:rPr/>
        <w:t>□ 适用 √ 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2653"/>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621"/>
        <w:gridCol w:w="1740"/>
        <w:gridCol w:w="1738"/>
        <w:gridCol w:w="1740"/>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436,023,927.67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460,692,071.61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321,272,418.05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472,316,916.35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43,244,824.42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44,497,069.61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23,875,209.11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33,875,917.97</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68"/>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41,213,662.89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42,967,299.07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21,187,606.61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-13,254,778.43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104,902,532.83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238,382,163.87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125,735,385.79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119,223,026.36</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295"/>
        <w:gridCol w:w="1519"/>
        <w:gridCol w:w="1522"/>
        <w:gridCol w:w="1522"/>
        <w:gridCol w:w="1709"/>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9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00"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52,214,754.01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42,047.17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-24,194.78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55"/>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主要是由于报告期 公司出售了北京市 西城区月坛北街</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p>
          <w:p>
            <w:pPr>
              <w:pStyle w:val="TableParagraph"/>
              <w:spacing w:line="309" w:lineRule="auto"/>
              <w:ind w:left="100" w:right="156"/>
              <w:jc w:val="both"/>
              <w:rPr>
                <w:rFonts w:ascii="宋体" w:hAnsi="宋体" w:cs="宋体" w:eastAsia="宋体" w:hint="default"/>
                <w:sz w:val="18"/>
                <w:szCs w:val="18"/>
              </w:rPr>
            </w:pPr>
            <w:r>
              <w:rPr>
                <w:rFonts w:ascii="宋体" w:hAnsi="宋体" w:cs="宋体" w:eastAsia="宋体" w:hint="default"/>
                <w:sz w:val="18"/>
                <w:szCs w:val="18"/>
              </w:rPr>
              <w:t>号 </w:t>
            </w:r>
            <w:r>
              <w:rPr>
                <w:rFonts w:ascii="Times New Roman" w:hAnsi="Times New Roman" w:cs="Times New Roman" w:eastAsia="Times New Roman" w:hint="default"/>
                <w:sz w:val="18"/>
                <w:szCs w:val="18"/>
              </w:rPr>
              <w:t>1 </w:t>
            </w:r>
            <w:r>
              <w:rPr>
                <w:rFonts w:ascii="宋体" w:hAnsi="宋体" w:cs="宋体" w:eastAsia="宋体" w:hint="default"/>
                <w:sz w:val="18"/>
                <w:szCs w:val="18"/>
              </w:rPr>
              <w:t>幢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房产产生处置收益 所致。</w:t>
            </w: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00"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4,089,727.52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15,282,626.40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18,114,031.38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6,218,101.06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2,875,959.52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12,695,044.78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6"/>
              <w:ind w:left="100" w:right="12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 生的损益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-50,000,000.00</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4"/>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295"/>
        <w:gridCol w:w="1519"/>
        <w:gridCol w:w="1522"/>
        <w:gridCol w:w="1522"/>
        <w:gridCol w:w="1709"/>
      </w:tblGrid>
      <w:tr>
        <w:trPr>
          <w:trHeight w:val="19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22"/>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17,179.89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2,977,777.78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-578,687.38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-1,267,444.71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974,017.62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6,298,897.23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6,931,566.06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-1,322,032.94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2,282,946.90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1,566,163.89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924,409.55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53,379,230.97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58,435,458.43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-14,865,699.83</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49"/>
        <w:ind w:right="1132"/>
        <w:jc w:val="both"/>
      </w:pPr>
      <w:r>
        <w:rPr>
          <w:spacing w:val="-3"/>
        </w:rPr>
        <w:t>对公司根据《公开发行证券的公司信息披露解释性公告第</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r>
        <w:rPr/>
        <w:t> 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both"/>
      </w:pPr>
      <w:r>
        <w:rPr/>
        <w:t>□ 适用 √ 不适用</w:t>
      </w:r>
    </w:p>
    <w:p>
      <w:pPr>
        <w:pStyle w:val="BodyText"/>
        <w:spacing w:line="300" w:lineRule="auto" w:before="117"/>
        <w:ind w:right="1132"/>
        <w:jc w:val="both"/>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both"/>
        <w:sectPr>
          <w:pgSz w:w="11910" w:h="16840"/>
          <w:pgMar w:header="905" w:footer="1017"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08" w:right="0"/>
        <w:jc w:val="left"/>
        <w:rPr>
          <w:b w:val="0"/>
          <w:bCs w:val="0"/>
        </w:rPr>
      </w:pPr>
      <w:bookmarkStart w:name="_TOC_250009" w:id="3"/>
      <w:r>
        <w:rPr/>
        <w:t>第三节</w:t>
      </w:r>
      <w:r>
        <w:rPr>
          <w:spacing w:val="-9"/>
        </w:rPr>
        <w:t> </w:t>
      </w:r>
      <w:r>
        <w:rPr/>
        <w:t>公司业务概要</w:t>
      </w:r>
      <w:bookmarkEnd w:id="3"/>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7"/>
        <w:ind w:right="1132" w:firstLine="360"/>
        <w:jc w:val="both"/>
      </w:pPr>
      <w:r>
        <w:rPr>
          <w:spacing w:val="-2"/>
        </w:rPr>
        <w:t>恒宝股份是</w:t>
      </w:r>
      <w:r>
        <w:rPr>
          <w:color w:val="252525"/>
          <w:spacing w:val="-2"/>
        </w:rPr>
        <w:t>中国金融科技、物联网和数据化安全领域的领军企业，致力于为银行、通信、政府公共服务部门、防务、交</w:t>
      </w:r>
      <w:r>
        <w:rPr>
          <w:color w:val="252525"/>
        </w:rPr>
        <w:t> </w:t>
      </w:r>
      <w:r>
        <w:rPr>
          <w:color w:val="252525"/>
          <w:spacing w:val="-2"/>
        </w:rPr>
        <w:t>通等领域提供金融科技、物联网和数据化安全及身份认证整套解决方案，从安全设备到支付安全、身份与隐私保护、移动支</w:t>
      </w:r>
      <w:r>
        <w:rPr>
          <w:color w:val="252525"/>
          <w:spacing w:val="-66"/>
        </w:rPr>
        <w:t> </w:t>
      </w:r>
      <w:r>
        <w:rPr>
          <w:color w:val="252525"/>
          <w:spacing w:val="-66"/>
        </w:rPr>
      </w:r>
      <w:r>
        <w:rPr>
          <w:color w:val="252525"/>
          <w:spacing w:val="-2"/>
        </w:rPr>
        <w:t>付解决方案、云认证访问服务、智能模组、平台服务、大数据和区块链技术等，公司以雄厚的技术实力和多年在物联网和数</w:t>
      </w:r>
      <w:r>
        <w:rPr>
          <w:color w:val="252525"/>
          <w:spacing w:val="-65"/>
        </w:rPr>
        <w:t> </w:t>
      </w:r>
      <w:r>
        <w:rPr>
          <w:color w:val="252525"/>
          <w:spacing w:val="-65"/>
        </w:rPr>
      </w:r>
      <w:r>
        <w:rPr>
          <w:color w:val="252525"/>
        </w:rPr>
        <w:t>字安全领域独特的经验助力客户为数十亿用户设备提供安全数据服务。</w:t>
      </w:r>
      <w:r>
        <w:rPr/>
      </w:r>
    </w:p>
    <w:p>
      <w:pPr>
        <w:pStyle w:val="BodyText"/>
        <w:spacing w:line="316" w:lineRule="auto" w:before="57"/>
        <w:ind w:right="1129" w:firstLine="360"/>
        <w:jc w:val="both"/>
      </w:pPr>
      <w:r>
        <w:rPr>
          <w:spacing w:val="-2"/>
        </w:rPr>
        <w:t>业务方面，公司主要面向</w:t>
      </w:r>
      <w:r>
        <w:rPr>
          <w:color w:val="252525"/>
          <w:spacing w:val="-2"/>
        </w:rPr>
        <w:t>致力于为银行、通信、政府公共服务部门、防务、交通</w:t>
      </w:r>
      <w:r>
        <w:rPr>
          <w:spacing w:val="-2"/>
        </w:rPr>
        <w:t>等多个行业致力于提供高端智能化产品</w:t>
      </w:r>
      <w:r>
        <w:rPr/>
        <w:t> </w:t>
      </w:r>
      <w:r>
        <w:rPr>
          <w:spacing w:val="-2"/>
        </w:rPr>
        <w:t>及数字安全解决方案等服务。具体包括：通信和物联网连接、安全产品、系统平台、身份认证识别、数据安全、移动支付解</w:t>
      </w:r>
      <w:r>
        <w:rPr>
          <w:spacing w:val="-69"/>
        </w:rPr>
        <w:t> </w:t>
      </w:r>
      <w:r>
        <w:rPr>
          <w:spacing w:val="-69"/>
        </w:rPr>
      </w:r>
      <w:r>
        <w:rPr>
          <w:spacing w:val="-2"/>
        </w:rPr>
        <w:t>决方案、智能终端、智能卡、智能卡模块封装，以及金融科技服务等。此外，公司在区块链技术研究已有一定的储备，在信</w:t>
      </w:r>
      <w:r>
        <w:rPr>
          <w:spacing w:val="-68"/>
        </w:rPr>
        <w:t> </w:t>
      </w:r>
      <w:r>
        <w:rPr>
          <w:spacing w:val="-68"/>
        </w:rPr>
      </w:r>
      <w:r>
        <w:rPr/>
        <w:t>息安全、数据交易等方面均进行了布局。</w:t>
      </w:r>
    </w:p>
    <w:p>
      <w:pPr>
        <w:pStyle w:val="BodyText"/>
        <w:spacing w:line="312" w:lineRule="auto" w:before="59"/>
        <w:ind w:right="1033" w:firstLine="360"/>
        <w:jc w:val="left"/>
      </w:pPr>
      <w:r>
        <w:rPr/>
        <w:t>目前，公司的客户遍布海内外。一方面，在国内取得了国家十大部委等政府机关的信赖，并与</w:t>
      </w:r>
      <w:r>
        <w:rPr>
          <w:rFonts w:ascii="Times New Roman" w:hAnsi="Times New Roman" w:cs="Times New Roman" w:eastAsia="Times New Roman" w:hint="default"/>
        </w:rPr>
        <w:t>100</w:t>
      </w:r>
      <w:r>
        <w:rPr/>
        <w:t>多家银行、三大通信 运营商建立了稳健的合作；另一方面，为助力“一带一路”建设，与银联国际达成了多项战略合作，先后在柬埔寨、缅甸、 </w:t>
      </w:r>
      <w:r>
        <w:rPr>
          <w:spacing w:val="-2"/>
        </w:rPr>
        <w:t>澳大利亚等地区，首发恒宝银联卡，是银联海外新兴支付业务布局中，参与项目最多、合作最紧密的企业，也是国内入围银</w:t>
      </w:r>
      <w:r>
        <w:rPr>
          <w:spacing w:val="-63"/>
        </w:rPr>
        <w:t> </w:t>
      </w:r>
      <w:r>
        <w:rPr>
          <w:spacing w:val="-63"/>
        </w:rPr>
      </w:r>
      <w:r>
        <w:rPr/>
        <w:t>行智能卡及数据安全解决方案等服务提供商最全的企业之一。</w:t>
      </w:r>
    </w:p>
    <w:p>
      <w:pPr>
        <w:pStyle w:val="BodyText"/>
        <w:spacing w:line="316" w:lineRule="auto" w:before="22"/>
        <w:ind w:left="472" w:right="0"/>
        <w:jc w:val="left"/>
      </w:pPr>
      <w:r>
        <w:rPr/>
        <w:t>具体产品方面表现如下： </w:t>
      </w:r>
      <w:r>
        <w:rPr>
          <w:spacing w:val="-2"/>
        </w:rPr>
        <w:t>安全产品为商业银行、行业客户和物联网客户提供基于智能手机的移动互联网身份识别或安全支付端到端解决方案和物</w:t>
      </w:r>
    </w:p>
    <w:p>
      <w:pPr>
        <w:pStyle w:val="BodyText"/>
        <w:spacing w:line="300" w:lineRule="auto" w:before="19"/>
        <w:ind w:right="1115"/>
        <w:jc w:val="both"/>
      </w:pPr>
      <w:r>
        <w:rPr>
          <w:spacing w:val="-1"/>
        </w:rPr>
        <w:t>联网通讯过程中的信息加密和传递加密。在可信执行环境（</w:t>
      </w:r>
      <w:r>
        <w:rPr>
          <w:rFonts w:ascii="Times New Roman" w:hAnsi="Times New Roman" w:cs="Times New Roman" w:eastAsia="Times New Roman" w:hint="default"/>
          <w:spacing w:val="-1"/>
        </w:rPr>
        <w:t>TEE</w:t>
      </w:r>
      <w:r>
        <w:rPr>
          <w:spacing w:val="-1"/>
        </w:rPr>
        <w:t>）体系成为共识的背景下，提供集</w:t>
      </w:r>
      <w:r>
        <w:rPr>
          <w:rFonts w:ascii="Times New Roman" w:hAnsi="Times New Roman" w:cs="Times New Roman" w:eastAsia="Times New Roman" w:hint="default"/>
          <w:spacing w:val="-1"/>
        </w:rPr>
        <w:t>TEE</w:t>
      </w:r>
      <w:r>
        <w:rPr>
          <w:spacing w:val="-1"/>
        </w:rPr>
        <w:t>、</w:t>
      </w:r>
      <w:r>
        <w:rPr>
          <w:rFonts w:ascii="Times New Roman" w:hAnsi="Times New Roman" w:cs="Times New Roman" w:eastAsia="Times New Roman" w:hint="default"/>
          <w:spacing w:val="-1"/>
        </w:rPr>
        <w:t>TA</w:t>
      </w:r>
      <w:r>
        <w:rPr>
          <w:spacing w:val="-1"/>
        </w:rPr>
        <w:t>、</w:t>
      </w:r>
      <w:r>
        <w:rPr>
          <w:rFonts w:ascii="Times New Roman" w:hAnsi="Times New Roman" w:cs="Times New Roman" w:eastAsia="Times New Roman" w:hint="default"/>
          <w:spacing w:val="-1"/>
        </w:rPr>
        <w:t>eSE</w:t>
      </w:r>
      <w:r>
        <w:rPr>
          <w:spacing w:val="-1"/>
        </w:rPr>
        <w:t>、</w:t>
      </w:r>
      <w:r>
        <w:rPr>
          <w:rFonts w:ascii="Times New Roman" w:hAnsi="Times New Roman" w:cs="Times New Roman" w:eastAsia="Times New Roman" w:hint="default"/>
          <w:spacing w:val="-1"/>
        </w:rPr>
        <w:t>TSM</w:t>
      </w:r>
      <w:r>
        <w:rPr>
          <w:spacing w:val="-1"/>
        </w:rPr>
        <w:t>、</w:t>
      </w:r>
      <w:r>
        <w:rPr>
          <w:spacing w:val="-43"/>
        </w:rPr>
        <w:t> </w:t>
      </w:r>
      <w:r>
        <w:rPr>
          <w:rFonts w:ascii="Times New Roman" w:hAnsi="Times New Roman" w:cs="Times New Roman" w:eastAsia="Times New Roman" w:hint="default"/>
        </w:rPr>
        <w:t>TAM</w:t>
      </w:r>
      <w:r>
        <w:rPr/>
        <w:t>的完整的安全解决方案。公司与产业链合作方紧密合作，提供适合不同应用场景的安全解决方案。公司在产品技术、</w:t>
      </w:r>
      <w:r>
        <w:rPr>
          <w:spacing w:val="-56"/>
        </w:rPr>
        <w:t> </w:t>
      </w:r>
      <w:r>
        <w:rPr>
          <w:spacing w:val="-56"/>
        </w:rPr>
      </w:r>
      <w:r>
        <w:rPr/>
        <w:t>应用拓展，产业链合作等方面具备一定的先发优势。</w:t>
      </w:r>
    </w:p>
    <w:p>
      <w:pPr>
        <w:pStyle w:val="BodyText"/>
        <w:spacing w:line="300" w:lineRule="auto" w:before="31"/>
        <w:ind w:right="1057" w:firstLine="360"/>
        <w:jc w:val="both"/>
      </w:pPr>
      <w:r>
        <w:rPr/>
        <w:t>智能</w:t>
      </w:r>
      <w:r>
        <w:rPr>
          <w:rFonts w:ascii="Times New Roman" w:hAnsi="Times New Roman" w:cs="Times New Roman" w:eastAsia="Times New Roman" w:hint="default"/>
        </w:rPr>
        <w:t>IC</w:t>
      </w:r>
      <w:r>
        <w:rPr/>
        <w:t>卡产品主要原材料为</w:t>
      </w:r>
      <w:r>
        <w:rPr>
          <w:rFonts w:ascii="Times New Roman" w:hAnsi="Times New Roman" w:cs="Times New Roman" w:eastAsia="Times New Roman" w:hint="default"/>
        </w:rPr>
        <w:t>CPU</w:t>
      </w:r>
      <w:r>
        <w:rPr/>
        <w:t>芯片，公司通过参加商业银行、城市一卡通等客户的公开招投标获得发卡资格和订单， 并按照招投标确定的价格和订单数量销售给客户。该业务主要的业绩驱动因素为卡片销售价格的变化幅度。</w:t>
      </w:r>
    </w:p>
    <w:p>
      <w:pPr>
        <w:pStyle w:val="BodyText"/>
        <w:spacing w:line="300" w:lineRule="auto" w:before="31"/>
        <w:ind w:right="1129" w:firstLine="360"/>
        <w:jc w:val="both"/>
      </w:pPr>
      <w:r>
        <w:rPr>
          <w:spacing w:val="-2"/>
        </w:rPr>
        <w:t>通信和物联网连接是以</w:t>
      </w:r>
      <w:r>
        <w:rPr>
          <w:rFonts w:ascii="Times New Roman" w:hAnsi="Times New Roman" w:cs="Times New Roman" w:eastAsia="Times New Roman" w:hint="default"/>
          <w:spacing w:val="-2"/>
        </w:rPr>
        <w:t>CPU</w:t>
      </w:r>
      <w:r>
        <w:rPr>
          <w:spacing w:val="-2"/>
        </w:rPr>
        <w:t>芯片为基础，为运营商的通讯设备和物联网终端设备提供连接服务。该业务主要驱动因素为</w:t>
      </w:r>
      <w:r>
        <w:rPr/>
        <w:t> 连接设备数量。公司一直以来在三大运营商占有较高比例。尤其在物联网市场不断增长的情况下，连接设备会大幅增长。</w:t>
      </w:r>
    </w:p>
    <w:p>
      <w:pPr>
        <w:pStyle w:val="BodyText"/>
        <w:spacing w:line="307" w:lineRule="auto" w:before="31"/>
        <w:ind w:right="1132" w:firstLine="360"/>
        <w:jc w:val="both"/>
      </w:pPr>
      <w:r>
        <w:rPr>
          <w:spacing w:val="-2"/>
        </w:rPr>
        <w:t>智能终端是移动互联网时代方便持卡人随时随地进行</w:t>
      </w:r>
      <w:r>
        <w:rPr>
          <w:rFonts w:ascii="Times New Roman" w:hAnsi="Times New Roman" w:cs="Times New Roman" w:eastAsia="Times New Roman" w:hint="default"/>
          <w:spacing w:val="-2"/>
        </w:rPr>
        <w:t>IC</w:t>
      </w:r>
      <w:r>
        <w:rPr>
          <w:spacing w:val="-2"/>
        </w:rPr>
        <w:t>卡有卡支付和圈存的移动终端，传统燃气、交通等民生便民应用</w:t>
      </w:r>
      <w:r>
        <w:rPr/>
        <w:t> 对线上充值与支付需求明确。</w:t>
      </w:r>
      <w:r>
        <w:rPr>
          <w:rFonts w:ascii="Times New Roman" w:hAnsi="Times New Roman" w:cs="Times New Roman" w:eastAsia="Times New Roman" w:hint="default"/>
        </w:rPr>
        <w:t>mPOS</w:t>
      </w:r>
      <w:r>
        <w:rPr/>
        <w:t>、智能</w:t>
      </w:r>
      <w:r>
        <w:rPr>
          <w:rFonts w:ascii="Times New Roman" w:hAnsi="Times New Roman" w:cs="Times New Roman" w:eastAsia="Times New Roman" w:hint="default"/>
        </w:rPr>
        <w:t>POS</w:t>
      </w:r>
      <w:r>
        <w:rPr/>
        <w:t>等互联网</w:t>
      </w:r>
      <w:r>
        <w:rPr>
          <w:rFonts w:ascii="Times New Roman" w:hAnsi="Times New Roman" w:cs="Times New Roman" w:eastAsia="Times New Roman" w:hint="default"/>
        </w:rPr>
        <w:t>POS</w:t>
      </w:r>
      <w:r>
        <w:rPr/>
        <w:t>产品是移动互联网时代传统</w:t>
      </w:r>
      <w:r>
        <w:rPr>
          <w:rFonts w:ascii="Times New Roman" w:hAnsi="Times New Roman" w:cs="Times New Roman" w:eastAsia="Times New Roman" w:hint="default"/>
        </w:rPr>
        <w:t>POS</w:t>
      </w:r>
      <w:r>
        <w:rPr/>
        <w:t>的更新换代产品。税控盘是国</w:t>
      </w:r>
      <w:r>
        <w:rPr>
          <w:spacing w:val="-32"/>
        </w:rPr>
        <w:t> </w:t>
      </w:r>
      <w:r>
        <w:rPr>
          <w:spacing w:val="-32"/>
        </w:rPr>
      </w:r>
      <w:r>
        <w:rPr>
          <w:spacing w:val="-2"/>
        </w:rPr>
        <w:t>税总局规定的增值税纳税人必备的税控设备，销售价格由国家发改委确定。公司终端产品主要的业绩驱动因素为产品销售量</w:t>
      </w:r>
      <w:r>
        <w:rPr>
          <w:spacing w:val="-64"/>
        </w:rPr>
        <w:t> </w:t>
      </w:r>
      <w:r>
        <w:rPr>
          <w:spacing w:val="-64"/>
        </w:rPr>
      </w:r>
      <w:r>
        <w:rPr/>
        <w:t>和成本控制。</w:t>
      </w:r>
    </w:p>
    <w:p>
      <w:pPr>
        <w:pStyle w:val="BodyText"/>
        <w:spacing w:line="309" w:lineRule="auto" w:before="26"/>
        <w:ind w:right="1024" w:firstLine="360"/>
        <w:jc w:val="left"/>
      </w:pPr>
      <w:r>
        <w:rPr>
          <w:spacing w:val="-2"/>
        </w:rPr>
        <w:t>系统平台产品主要面向商业银行及行业客户提供行业一卡通、移动支付整体解决方案，面向商业银行及行业客户提供金</w:t>
      </w:r>
      <w:r>
        <w:rPr/>
        <w:t> </w:t>
      </w:r>
      <w:r>
        <w:rPr>
          <w:spacing w:val="-3"/>
        </w:rPr>
        <w:t>融</w:t>
      </w:r>
      <w:r>
        <w:rPr>
          <w:rFonts w:ascii="Times New Roman" w:hAnsi="Times New Roman" w:cs="Times New Roman" w:eastAsia="Times New Roman" w:hint="default"/>
          <w:spacing w:val="-3"/>
        </w:rPr>
        <w:t>IC</w:t>
      </w:r>
      <w:r>
        <w:rPr>
          <w:spacing w:val="-3"/>
        </w:rPr>
        <w:t>卡即时发卡以及社保卡、居民健康卡等行业卡的即时补换卡整体解决方案。其中移动支付整体解决方案聚合了手机</w:t>
      </w:r>
      <w:r>
        <w:rPr>
          <w:rFonts w:ascii="Times New Roman" w:hAnsi="Times New Roman" w:cs="Times New Roman" w:eastAsia="Times New Roman" w:hint="default"/>
          <w:spacing w:val="-3"/>
        </w:rPr>
        <w:t>PAY</w:t>
      </w:r>
      <w:r>
        <w:rPr>
          <w:spacing w:val="-3"/>
        </w:rPr>
        <w:t>、</w:t>
      </w:r>
      <w:r>
        <w:rPr/>
        <w:t> 行业</w:t>
      </w:r>
      <w:r>
        <w:rPr>
          <w:rFonts w:ascii="Times New Roman" w:hAnsi="Times New Roman" w:cs="Times New Roman" w:eastAsia="Times New Roman" w:hint="default"/>
        </w:rPr>
        <w:t>HCE</w:t>
      </w:r>
      <w:r>
        <w:rPr/>
        <w:t>、二维码、手机</w:t>
      </w:r>
      <w:r>
        <w:rPr>
          <w:rFonts w:ascii="Times New Roman" w:hAnsi="Times New Roman" w:cs="Times New Roman" w:eastAsia="Times New Roman" w:hint="default"/>
        </w:rPr>
        <w:t>TA</w:t>
      </w:r>
      <w:r>
        <w:rPr/>
        <w:t>盾最新技术，是国内外商业银行业务需求热点，也是公司培育的新的业务增长点。</w:t>
      </w:r>
    </w:p>
    <w:p>
      <w:pPr>
        <w:pStyle w:val="BodyText"/>
        <w:spacing w:line="316" w:lineRule="auto" w:before="5"/>
        <w:ind w:right="1129" w:firstLine="360"/>
        <w:jc w:val="both"/>
      </w:pPr>
      <w:r>
        <w:rPr>
          <w:spacing w:val="-2"/>
        </w:rPr>
        <w:t>金融科技服务主要面向金融领域，立足于公司长久以来在金融行业的丰富经验，通过技术手段的应用，尤其是计算机互</w:t>
      </w:r>
      <w:r>
        <w:rPr/>
        <w:t> </w:t>
      </w:r>
      <w:r>
        <w:rPr>
          <w:spacing w:val="-2"/>
        </w:rPr>
        <w:t>联网技术以提高金融服务质量和效率、降低金融机构运营成本。公司主要专注于在支付科技、交易科技、税务科技、监管科</w:t>
      </w:r>
      <w:r>
        <w:rPr>
          <w:spacing w:val="-63"/>
        </w:rPr>
        <w:t> </w:t>
      </w:r>
      <w:r>
        <w:rPr>
          <w:spacing w:val="-63"/>
        </w:rPr>
      </w:r>
      <w:r>
        <w:rPr/>
        <w:t>技和保险科技领域的开拓，并且一直致力于区块链技术在这些领域的应用。金融科技服务是在金融领域的新增长业务。</w:t>
      </w:r>
    </w:p>
    <w:p>
      <w:pPr>
        <w:pStyle w:val="BodyText"/>
        <w:spacing w:line="316" w:lineRule="auto" w:before="59"/>
        <w:ind w:right="1129" w:firstLine="360"/>
        <w:jc w:val="both"/>
      </w:pPr>
      <w:r>
        <w:rPr>
          <w:spacing w:val="-2"/>
        </w:rPr>
        <w:t>特种通信物联网业务主要面向公安、消防、国防建设、国家安全等应用领域市场，重点布局高端传感器设备、通信加密</w:t>
      </w:r>
      <w:r>
        <w:rPr/>
        <w:t> </w:t>
      </w:r>
      <w:r>
        <w:rPr>
          <w:spacing w:val="-2"/>
        </w:rPr>
        <w:t>终端、智能侦测终端等核心产品。在充分了解客户需求之后，与传统通信设备制造企业合作，在传统产品中融合了公司在金</w:t>
      </w:r>
      <w:r>
        <w:rPr>
          <w:spacing w:val="-66"/>
        </w:rPr>
        <w:t> </w:t>
      </w:r>
      <w:r>
        <w:rPr>
          <w:spacing w:val="-66"/>
        </w:rPr>
      </w:r>
      <w:r>
        <w:rPr>
          <w:spacing w:val="-2"/>
        </w:rPr>
        <w:t>融支付，移动通信、信息安全等领域的技术优势，形成了新一代高端智能安全通信设备；并结合智能云服务平台，为客户提</w:t>
      </w:r>
      <w:r>
        <w:rPr>
          <w:spacing w:val="-63"/>
        </w:rPr>
        <w:t> </w:t>
      </w:r>
      <w:r>
        <w:rPr>
          <w:spacing w:val="-63"/>
        </w:rPr>
      </w:r>
      <w:r>
        <w:rPr/>
        <w:t>供应急指挥通信、数据链等特种应用整体解决方案。该业务是公司培育的新的业务增长点。</w:t>
      </w:r>
    </w:p>
    <w:p>
      <w:pPr>
        <w:spacing w:after="0" w:line="316" w:lineRule="auto"/>
        <w:jc w:val="both"/>
        <w:sectPr>
          <w:pgSz w:w="11910" w:h="16840"/>
          <w:pgMar w:header="905" w:footer="1017"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050"/>
        <w:gridCol w:w="6516"/>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6"/>
              <w:ind w:left="100" w:right="101"/>
              <w:jc w:val="left"/>
              <w:rPr>
                <w:rFonts w:ascii="宋体" w:hAnsi="宋体" w:cs="宋体" w:eastAsia="宋体" w:hint="default"/>
                <w:sz w:val="18"/>
                <w:szCs w:val="18"/>
              </w:rPr>
            </w:pPr>
            <w:r>
              <w:rPr>
                <w:rFonts w:ascii="宋体" w:hAnsi="宋体" w:cs="宋体" w:eastAsia="宋体" w:hint="default"/>
                <w:spacing w:val="-2"/>
                <w:sz w:val="18"/>
                <w:szCs w:val="18"/>
              </w:rPr>
              <w:t>报告期末，公司固定资产比年初减少</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36.96%</w:t>
            </w:r>
            <w:r>
              <w:rPr>
                <w:rFonts w:ascii="宋体" w:hAnsi="宋体" w:cs="宋体" w:eastAsia="宋体" w:hint="default"/>
                <w:spacing w:val="-2"/>
                <w:sz w:val="18"/>
                <w:szCs w:val="18"/>
              </w:rPr>
              <w:t>，主要是因为报告期公司出售了北京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市西城区月坛北街 </w:t>
            </w:r>
            <w:r>
              <w:rPr>
                <w:rFonts w:ascii="Times New Roman" w:hAnsi="Times New Roman" w:cs="Times New Roman" w:eastAsia="Times New Roman" w:hint="default"/>
                <w:sz w:val="18"/>
                <w:szCs w:val="18"/>
              </w:rPr>
              <w:t>2  </w:t>
            </w:r>
            <w:r>
              <w:rPr>
                <w:rFonts w:ascii="宋体" w:hAnsi="宋体" w:cs="宋体" w:eastAsia="宋体" w:hint="default"/>
                <w:sz w:val="18"/>
                <w:szCs w:val="18"/>
              </w:rPr>
              <w:t>号 </w:t>
            </w:r>
            <w:r>
              <w:rPr>
                <w:rFonts w:ascii="Times New Roman" w:hAnsi="Times New Roman" w:cs="Times New Roman" w:eastAsia="Times New Roman" w:hint="default"/>
                <w:sz w:val="18"/>
                <w:szCs w:val="18"/>
              </w:rPr>
              <w:t>1  </w:t>
            </w:r>
            <w:r>
              <w:rPr>
                <w:rFonts w:ascii="宋体" w:hAnsi="宋体" w:cs="宋体" w:eastAsia="宋体" w:hint="default"/>
                <w:sz w:val="18"/>
                <w:szCs w:val="18"/>
              </w:rPr>
              <w:t>幢 </w:t>
            </w:r>
            <w:r>
              <w:rPr>
                <w:rFonts w:ascii="Times New Roman" w:hAnsi="Times New Roman" w:cs="Times New Roman" w:eastAsia="Times New Roman" w:hint="default"/>
                <w:sz w:val="18"/>
                <w:szCs w:val="18"/>
              </w:rPr>
              <w:t>3  </w:t>
            </w:r>
            <w:r>
              <w:rPr>
                <w:rFonts w:ascii="宋体" w:hAnsi="宋体" w:cs="宋体" w:eastAsia="宋体" w:hint="default"/>
                <w:sz w:val="18"/>
                <w:szCs w:val="18"/>
              </w:rPr>
              <w:t>层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房产所致。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7"/>
        <w:ind w:right="1025" w:firstLine="420"/>
        <w:jc w:val="left"/>
      </w:pPr>
      <w:r>
        <w:rPr>
          <w:spacing w:val="-1"/>
        </w:rPr>
        <w:t>作为中国数据安全领域的领军企业，公司</w:t>
      </w:r>
      <w:r>
        <w:rPr>
          <w:color w:val="252525"/>
          <w:spacing w:val="-1"/>
        </w:rPr>
        <w:t>致力于为银行、通信、政府公共服务部门、防务、交通等领域提供数据安全、</w:t>
      </w:r>
      <w:r>
        <w:rPr>
          <w:color w:val="252525"/>
        </w:rPr>
        <w:t> </w:t>
      </w:r>
      <w:r>
        <w:rPr>
          <w:color w:val="252525"/>
          <w:spacing w:val="-2"/>
        </w:rPr>
        <w:t>身份认证、智能模组、平台服务、大数据和区块链技术解决方案等，从安全设备到支付安全、身份与隐私保护、移动支付解</w:t>
      </w:r>
      <w:r>
        <w:rPr>
          <w:color w:val="252525"/>
          <w:spacing w:val="-67"/>
        </w:rPr>
        <w:t> </w:t>
      </w:r>
      <w:r>
        <w:rPr>
          <w:color w:val="252525"/>
          <w:spacing w:val="-67"/>
        </w:rPr>
      </w:r>
      <w:r>
        <w:rPr>
          <w:color w:val="252525"/>
          <w:spacing w:val="-2"/>
        </w:rPr>
        <w:t>决方案、云认证访问服务及物联网等，公司以雄厚的技术实力和多年在数字安全领域独特的经验助力客户为数十亿用户设备</w:t>
      </w:r>
      <w:r>
        <w:rPr>
          <w:color w:val="252525"/>
          <w:spacing w:val="-64"/>
        </w:rPr>
        <w:t> </w:t>
      </w:r>
      <w:r>
        <w:rPr>
          <w:color w:val="252525"/>
          <w:spacing w:val="-64"/>
        </w:rPr>
      </w:r>
      <w:r>
        <w:rPr>
          <w:color w:val="252525"/>
          <w:spacing w:val="-2"/>
        </w:rPr>
        <w:t>提供安全数据服务。</w:t>
      </w:r>
      <w:r>
        <w:rPr>
          <w:spacing w:val="-2"/>
        </w:rPr>
        <w:t>随着公司战略升级，为客户提供更加安全化和智能化的连接服务解决方案目标的确立，公司不断提升核</w:t>
      </w:r>
      <w:r>
        <w:rPr>
          <w:spacing w:val="-65"/>
        </w:rPr>
        <w:t> </w:t>
      </w:r>
      <w:r>
        <w:rPr>
          <w:spacing w:val="-65"/>
        </w:rPr>
      </w:r>
      <w:r>
        <w:rPr/>
        <w:t>心竞争力和综合运营能力，加快资源整合速度，在新产品研发能力、运营管理水平、市场拓展等方面成为行业领导者。</w:t>
      </w:r>
    </w:p>
    <w:p>
      <w:pPr>
        <w:pStyle w:val="BodyText"/>
        <w:spacing w:line="309" w:lineRule="auto" w:before="57"/>
        <w:ind w:right="0" w:firstLine="420"/>
        <w:jc w:val="left"/>
      </w:pPr>
      <w:r>
        <w:rPr>
          <w:rFonts w:ascii="Times New Roman" w:hAnsi="Times New Roman" w:cs="Times New Roman" w:eastAsia="Times New Roman" w:hint="default"/>
        </w:rPr>
        <w:t>1</w:t>
      </w:r>
      <w:r>
        <w:rPr/>
        <w:t>、技术优势。公司是国家火炬重点高新技术企业、国家规划布局内重点软件企业、国家高新技术企业和</w:t>
      </w:r>
      <w:r>
        <w:rPr>
          <w:rFonts w:ascii="Times New Roman" w:hAnsi="Times New Roman" w:cs="Times New Roman" w:eastAsia="Times New Roman" w:hint="default"/>
        </w:rPr>
        <w:t>“</w:t>
      </w:r>
      <w:r>
        <w:rPr/>
        <w:t>双软</w:t>
      </w:r>
      <w:r>
        <w:rPr>
          <w:rFonts w:ascii="Times New Roman" w:hAnsi="Times New Roman" w:cs="Times New Roman" w:eastAsia="Times New Roman" w:hint="default"/>
        </w:rPr>
        <w:t>”</w:t>
      </w:r>
      <w:r>
        <w:rPr/>
        <w:t>认证的 </w:t>
      </w:r>
      <w:r>
        <w:rPr>
          <w:spacing w:val="-4"/>
        </w:rPr>
        <w:t>企业、也是江苏省智能卡工程技术研究开发中心。公司以智能卡、安全终端、移动支付及系统整体解决方案为主要技术方向，</w:t>
      </w:r>
      <w:r>
        <w:rPr>
          <w:spacing w:val="-46"/>
        </w:rPr>
        <w:t> </w:t>
      </w:r>
      <w:r>
        <w:rPr>
          <w:spacing w:val="-46"/>
        </w:rPr>
      </w:r>
      <w:r>
        <w:rPr/>
        <w:t>不断探索新产品市场。报告期内公司继续加大移动支付、安全终端、平台产品等研发投入。</w:t>
      </w:r>
    </w:p>
    <w:p>
      <w:pPr>
        <w:pStyle w:val="BodyText"/>
        <w:spacing w:line="300" w:lineRule="auto" w:before="65"/>
        <w:ind w:right="0" w:firstLine="420"/>
        <w:jc w:val="left"/>
      </w:pPr>
      <w:r>
        <w:rPr>
          <w:rFonts w:ascii="Times New Roman" w:hAnsi="Times New Roman" w:cs="Times New Roman" w:eastAsia="Times New Roman" w:hint="default"/>
          <w:spacing w:val="-2"/>
        </w:rPr>
        <w:t>2</w:t>
      </w:r>
      <w:r>
        <w:rPr>
          <w:spacing w:val="-2"/>
        </w:rPr>
        <w:t>、规模优势。公司经过智能卡产业多年发展，产品线齐全、产能领先，拥有丰富的制造和供应链优势，有助于公司更</w:t>
      </w:r>
      <w:r>
        <w:rPr/>
        <w:t> 好地降低成本，并且在更大的范围内调控资源，提供产品市场竞争能力。</w:t>
      </w:r>
    </w:p>
    <w:p>
      <w:pPr>
        <w:pStyle w:val="BodyText"/>
        <w:spacing w:line="309" w:lineRule="auto" w:before="72"/>
        <w:ind w:right="0" w:firstLine="420"/>
        <w:jc w:val="left"/>
      </w:pPr>
      <w:r>
        <w:rPr>
          <w:rFonts w:ascii="Times New Roman" w:hAnsi="Times New Roman" w:cs="Times New Roman" w:eastAsia="Times New Roman" w:hint="default"/>
          <w:spacing w:val="-3"/>
        </w:rPr>
        <w:t>3</w:t>
      </w:r>
      <w:r>
        <w:rPr>
          <w:spacing w:val="-3"/>
        </w:rPr>
        <w:t>、行业优势。公司凭借突出的市场能力、技术能力和服务能力，是三大通信运营商、各大商业银行、住建部、交通部、</w:t>
      </w:r>
      <w:r>
        <w:rPr/>
        <w:t> </w:t>
      </w:r>
      <w:r>
        <w:rPr>
          <w:spacing w:val="-2"/>
        </w:rPr>
        <w:t>卫生部、国税总局、铁路公司等重要客户相关产品的主要供应商。公司是目前国内智能卡行业中拥有各种资质最多的企业之</w:t>
      </w:r>
      <w:r>
        <w:rPr>
          <w:spacing w:val="-65"/>
        </w:rPr>
        <w:t> </w:t>
      </w:r>
      <w:r>
        <w:rPr>
          <w:spacing w:val="-65"/>
        </w:rPr>
      </w:r>
      <w:r>
        <w:rPr/>
        <w:t>一，这些资质是智能卡企业进入重要细分市场的必要条件。</w:t>
      </w:r>
    </w:p>
    <w:p>
      <w:pPr>
        <w:pStyle w:val="BodyText"/>
        <w:spacing w:line="300" w:lineRule="auto" w:before="62"/>
        <w:ind w:right="0" w:firstLine="420"/>
        <w:jc w:val="left"/>
      </w:pPr>
      <w:r>
        <w:rPr>
          <w:rFonts w:ascii="Times New Roman" w:hAnsi="Times New Roman" w:cs="Times New Roman" w:eastAsia="Times New Roman" w:hint="default"/>
          <w:spacing w:val="-2"/>
        </w:rPr>
        <w:t>4</w:t>
      </w:r>
      <w:r>
        <w:rPr>
          <w:spacing w:val="-2"/>
        </w:rPr>
        <w:t>、产品结构优势。公司的业务覆盖通信、金融支付、政府公共服务部门三大应用领域，产品覆盖智能卡、安全终端和</w:t>
      </w:r>
      <w:r>
        <w:rPr/>
        <w:t> 移动支付及系统平台解决方案、运营服务，产品结构丰富，打通三端形成闭环。</w:t>
      </w:r>
    </w:p>
    <w:p>
      <w:pPr>
        <w:pStyle w:val="BodyText"/>
        <w:spacing w:line="300" w:lineRule="auto" w:before="72"/>
        <w:ind w:right="0" w:firstLine="420"/>
        <w:jc w:val="left"/>
      </w:pPr>
      <w:r>
        <w:rPr>
          <w:rFonts w:ascii="Times New Roman" w:hAnsi="Times New Roman" w:cs="Times New Roman" w:eastAsia="Times New Roman" w:hint="default"/>
          <w:spacing w:val="-2"/>
        </w:rPr>
        <w:t>5</w:t>
      </w:r>
      <w:r>
        <w:rPr>
          <w:spacing w:val="-2"/>
        </w:rPr>
        <w:t>、管理优势。经过多年的发展实践，公司已拥有较完善的法人治理结构和良好的现代化企业运营机制。公司通过建立</w:t>
      </w:r>
      <w:r>
        <w:rPr/>
        <w:t> 健全内部控制，持续不断的深化内部管理提升机制，使得公司应变能力和抗风险能力不断加强。</w:t>
      </w:r>
    </w:p>
    <w:p>
      <w:pPr>
        <w:pStyle w:val="BodyText"/>
        <w:spacing w:line="300" w:lineRule="auto" w:before="72"/>
        <w:ind w:right="0" w:firstLine="420"/>
        <w:jc w:val="left"/>
      </w:pPr>
      <w:r>
        <w:rPr>
          <w:rFonts w:ascii="Times New Roman" w:hAnsi="Times New Roman" w:cs="Times New Roman" w:eastAsia="Times New Roman" w:hint="default"/>
          <w:spacing w:val="-3"/>
        </w:rPr>
        <w:t>6</w:t>
      </w:r>
      <w:r>
        <w:rPr>
          <w:spacing w:val="-3"/>
        </w:rPr>
        <w:t>、国际市场业务优势。公司于2010年2月和2018年11月在新加坡和肯尼亚分别设立了恒宝国际有限责任公司和恒宝（中</w:t>
      </w:r>
      <w:r>
        <w:rPr/>
        <w:t> 东非洲）有限责任公司，未来公司将继续加强海外市场的开发力度，将海外市场的发展拓展成公司新的利润增长空间。</w:t>
      </w:r>
    </w:p>
    <w:p>
      <w:pPr>
        <w:spacing w:after="0" w:line="300" w:lineRule="auto"/>
        <w:jc w:val="left"/>
        <w:sectPr>
          <w:footerReference w:type="default" r:id="rId15"/>
          <w:pgSz w:w="11910" w:h="16840"/>
          <w:pgMar w:footer="1017" w:header="905" w:top="1100" w:bottom="1200" w:left="1020" w:right="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right="0"/>
        <w:jc w:val="left"/>
        <w:rPr>
          <w:b w:val="0"/>
          <w:bCs w:val="0"/>
        </w:rPr>
      </w:pPr>
      <w:bookmarkStart w:name="_TOC_250008" w:id="4"/>
      <w:r>
        <w:rPr/>
        <w:t>第四节</w:t>
      </w:r>
      <w:r>
        <w:rPr>
          <w:spacing w:val="-8"/>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t>根据中国人民银行及工信部公布的相关数据，截止2018年末，全国银行卡在用发卡数量75.97亿张,环比增长2.86%，全 </w:t>
      </w:r>
      <w:r>
        <w:rPr>
          <w:spacing w:val="-2"/>
        </w:rPr>
        <w:t>国移动电话用户总数达15.7亿户，全年净增1.49亿户。报告期内，国内金融IC卡及通信卡的总体发卡规模仍在，但行业竞争</w:t>
      </w:r>
      <w:r>
        <w:rPr>
          <w:spacing w:val="-61"/>
        </w:rPr>
        <w:t> </w:t>
      </w:r>
      <w:r>
        <w:rPr>
          <w:spacing w:val="-61"/>
        </w:rPr>
      </w:r>
      <w:r>
        <w:rPr>
          <w:spacing w:val="-2"/>
        </w:rPr>
        <w:t>日益激烈，加剧了公司卡业务的下滑。报告期内公司卡业务营收及毛利率同比下降；报告期内，公司加快物联网布局，公司</w:t>
      </w:r>
      <w:r>
        <w:rPr>
          <w:spacing w:val="-65"/>
        </w:rPr>
        <w:t> </w:t>
      </w:r>
      <w:r>
        <w:rPr>
          <w:spacing w:val="-65"/>
        </w:rPr>
      </w:r>
      <w:r>
        <w:rPr>
          <w:spacing w:val="-2"/>
        </w:rPr>
        <w:t>特种物联网形成规模销售收入，但由于该业务还处在前期的研发投入试用阶段，现阶段的毛利率较低。同时，报告期内公司</w:t>
      </w:r>
      <w:r>
        <w:rPr>
          <w:spacing w:val="-66"/>
        </w:rPr>
        <w:t> </w:t>
      </w:r>
      <w:r>
        <w:rPr>
          <w:spacing w:val="-66"/>
        </w:rPr>
      </w:r>
      <w:r>
        <w:rPr>
          <w:spacing w:val="-4"/>
        </w:rPr>
        <w:t>积极布局海外市场，加大了中东非洲、东南亚、北美等国际市场的开拓力度，加大了在移动支付系统等系统平台的产品投入，</w:t>
      </w:r>
      <w:r>
        <w:rPr>
          <w:spacing w:val="-46"/>
        </w:rPr>
        <w:t> </w:t>
      </w:r>
      <w:r>
        <w:rPr>
          <w:spacing w:val="-46"/>
        </w:rPr>
      </w:r>
      <w:r>
        <w:rPr/>
        <w:t>提高公司在海外地区的市场占有率，平衡公司区域业务收入结构。</w:t>
      </w:r>
    </w:p>
    <w:p>
      <w:pPr>
        <w:pStyle w:val="BodyText"/>
        <w:spacing w:line="316" w:lineRule="auto" w:before="59"/>
        <w:ind w:right="1132" w:firstLine="360"/>
        <w:jc w:val="both"/>
      </w:pPr>
      <w:r>
        <w:rPr/>
        <w:t>报告期内公司实现营业收入169,030.53万元，较上年同期增长23.53%；归属于上市公司股东的净利润14,549.30万元， </w:t>
      </w:r>
      <w:r>
        <w:rPr>
          <w:spacing w:val="-2"/>
        </w:rPr>
        <w:t>较上年同期减少10.55%；营业成本134,325.18万元，较上年同期增长36.20%；管理费用、销售费用、财务费用三项期间费用</w:t>
      </w:r>
      <w:r>
        <w:rPr>
          <w:spacing w:val="-54"/>
        </w:rPr>
        <w:t> </w:t>
      </w:r>
      <w:r>
        <w:rPr>
          <w:spacing w:val="-54"/>
        </w:rPr>
      </w:r>
      <w:r>
        <w:rPr/>
        <w:t>共计发生13,808.11万元，较上年同期减少18.96%；研发投入12,187.44万元，较上年同期增长0.07%；经营活动产生的现金</w:t>
      </w:r>
      <w:r>
        <w:rPr/>
        <w:t> 流量净额58,824.31万元，较上年同期增加101,811.11万元。</w:t>
      </w:r>
    </w:p>
    <w:p>
      <w:pPr>
        <w:pStyle w:val="BodyText"/>
        <w:spacing w:line="360" w:lineRule="auto" w:before="57"/>
        <w:ind w:left="472" w:right="1123"/>
        <w:jc w:val="left"/>
      </w:pPr>
      <w:r>
        <w:rPr/>
        <w:t>一、报告期内公司主要业务发展情况如下： 1、物联网业务方面，报告期内，公司继续深化特种通信物联网业务布局，不断开拓市场，加强技术创新，并结合公司</w:t>
      </w:r>
    </w:p>
    <w:p>
      <w:pPr>
        <w:pStyle w:val="BodyText"/>
        <w:spacing w:line="222" w:lineRule="exact"/>
        <w:ind w:right="0"/>
        <w:jc w:val="left"/>
      </w:pPr>
      <w:r>
        <w:rPr/>
        <w:t>在金融支付，移动通信、信息安全等领域的技术优势，积极培育物联网成为公司中长期新的业绩增长点。2018年，该业务实</w:t>
      </w:r>
    </w:p>
    <w:p>
      <w:pPr>
        <w:pStyle w:val="BodyText"/>
        <w:spacing w:line="316" w:lineRule="auto" w:before="76"/>
        <w:ind w:right="1123"/>
        <w:jc w:val="left"/>
      </w:pPr>
      <w:r>
        <w:rPr/>
        <w:t>现营收74,281.73万元，公司将继续通过技术的不断突破创新，结合区块链等信息安全技术，不断提高该项业务产品市场竞 争力，增加产品附加值，提高产品毛利率。</w:t>
      </w:r>
    </w:p>
    <w:p>
      <w:pPr>
        <w:pStyle w:val="BodyText"/>
        <w:spacing w:line="316" w:lineRule="auto" w:before="59"/>
        <w:ind w:right="0" w:firstLine="360"/>
        <w:jc w:val="left"/>
      </w:pPr>
      <w:r>
        <w:rPr/>
        <w:t>2、智能卡业务方面，报告期内，公司持续加大金融银行卡产品销售力度、加强创新研发，获得多项产品专利，公司产 品在工商电子营业执照，居民健康卡，社保卡，市民卡，一卡通，道路交通运输证、公安部eID等行业IC卡新增入围项目数 </w:t>
      </w:r>
      <w:r>
        <w:rPr>
          <w:spacing w:val="-2"/>
        </w:rPr>
        <w:t>量进一步增加，但由于产品销售价格大幅下降，产品盈利水平同比下滑；公司SIM卡、M2M产品三大运营商集采全部中标；公</w:t>
      </w:r>
      <w:r>
        <w:rPr>
          <w:spacing w:val="-61"/>
        </w:rPr>
        <w:t> </w:t>
      </w:r>
      <w:r>
        <w:rPr>
          <w:spacing w:val="-61"/>
        </w:rPr>
      </w:r>
      <w:r>
        <w:rPr>
          <w:spacing w:val="-4"/>
        </w:rPr>
        <w:t>司eSIM卡产品实现新突破，完成三大运营商的备案测试，实现电信研究院商用，并在终端设备商取得新市场推广策略的突破，</w:t>
      </w:r>
      <w:r>
        <w:rPr>
          <w:spacing w:val="-38"/>
        </w:rPr>
        <w:t> </w:t>
      </w:r>
      <w:r>
        <w:rPr>
          <w:spacing w:val="-38"/>
        </w:rPr>
      </w:r>
      <w:r>
        <w:rPr/>
        <w:t>完成了多个项目测试及商用。此外，公司通信产品还完成了16949车规产品合规性认证，具备车规级产品供货资格。后期公</w:t>
      </w:r>
      <w:r>
        <w:rPr/>
        <w:t> </w:t>
      </w:r>
      <w:r>
        <w:rPr>
          <w:spacing w:val="-2"/>
        </w:rPr>
        <w:t>司将在继续拓展销售力度，抢占市场份额的同时，加快产品开发和布局，丰富产品线及解决方案，同时加强供应链管理，从</w:t>
      </w:r>
      <w:r>
        <w:rPr>
          <w:spacing w:val="-65"/>
        </w:rPr>
        <w:t> </w:t>
      </w:r>
      <w:r>
        <w:rPr>
          <w:spacing w:val="-65"/>
        </w:rPr>
      </w:r>
      <w:r>
        <w:rPr/>
        <w:t>原材料采购、生产制造两方面持续降低成本，加强产品质量管控，巩固产品市场竞争力，保持产品利润水平。</w:t>
      </w:r>
    </w:p>
    <w:p>
      <w:pPr>
        <w:pStyle w:val="BodyText"/>
        <w:spacing w:line="316" w:lineRule="auto" w:before="57"/>
        <w:ind w:right="1132" w:firstLine="360"/>
        <w:jc w:val="both"/>
      </w:pPr>
      <w:r>
        <w:rPr>
          <w:spacing w:val="-2"/>
        </w:rPr>
        <w:t>3、安全终端产品方面，报告期内公司税控盘产品业务同比增长23%。此外，2018年公司独家助力银联发布全球首款手机</w:t>
      </w:r>
      <w:r>
        <w:rPr/>
        <w:t> POS产品，并作为银联核心技术合作伙伴，独家助力工商银行手机盾产品，亦获取银联卡受理终端企业资质、mPOS取得银联 产品资质，并受邀加入互联网金融身份认证联盟(IFAA)。</w:t>
      </w:r>
    </w:p>
    <w:p>
      <w:pPr>
        <w:pStyle w:val="BodyText"/>
        <w:spacing w:line="316" w:lineRule="auto" w:before="59"/>
        <w:ind w:right="1132" w:firstLine="360"/>
        <w:jc w:val="both"/>
      </w:pPr>
      <w:r>
        <w:rPr/>
        <w:t>4、系统平台业务方面，报告期内公司继续大力开拓系统平台业务，集成公司各产品线及第三方的硬件产品，面向银行 </w:t>
      </w:r>
      <w:r>
        <w:rPr>
          <w:spacing w:val="-2"/>
        </w:rPr>
        <w:t>提供移动金融科技服务一揽子解决方案，提升银行金融服务能力，成功中标湖南女子学院校园一卡通平台等多个项目，与多</w:t>
      </w:r>
      <w:r>
        <w:rPr>
          <w:spacing w:val="-65"/>
        </w:rPr>
        <w:t> </w:t>
      </w:r>
      <w:r>
        <w:rPr>
          <w:spacing w:val="-65"/>
        </w:rPr>
      </w:r>
      <w:r>
        <w:rPr>
          <w:spacing w:val="-2"/>
        </w:rPr>
        <w:t>家银行、企事业单位、学校建立合作，业务增长迅速；同时，公司建立售前咨询、产品设计、系统研发、实施交付、技术支</w:t>
      </w:r>
      <w:r>
        <w:rPr>
          <w:spacing w:val="-70"/>
        </w:rPr>
        <w:t> </w:t>
      </w:r>
      <w:r>
        <w:rPr>
          <w:spacing w:val="-70"/>
        </w:rPr>
      </w:r>
      <w:r>
        <w:rPr/>
        <w:t>持过程管理体系，构建系统平台从市场开拓到项目交付的端到端全过程服务能力。</w:t>
      </w:r>
    </w:p>
    <w:p>
      <w:pPr>
        <w:pStyle w:val="BodyText"/>
        <w:spacing w:line="316" w:lineRule="auto" w:before="59"/>
        <w:ind w:right="1132" w:firstLine="360"/>
        <w:jc w:val="both"/>
      </w:pPr>
      <w:r>
        <w:rPr/>
        <w:t>5、海外业务拓展方面，报告期内，公司在肯尼亚地区成功完成全资子公司恒宝（中东非洲）有限责任公司的注册，并 </w:t>
      </w:r>
      <w:r>
        <w:rPr>
          <w:spacing w:val="-2"/>
        </w:rPr>
        <w:t>成功将业务拓展至埃塞俄比亚、坦桑尼亚、苏丹、加纳、乌干达、摩洛哥、毛里求斯等国家。此外，恒宝中东非洲公司引领</w:t>
      </w:r>
      <w:r>
        <w:rPr>
          <w:spacing w:val="-67"/>
        </w:rPr>
        <w:t> </w:t>
      </w:r>
      <w:r>
        <w:rPr>
          <w:spacing w:val="-67"/>
        </w:rPr>
      </w:r>
      <w:r>
        <w:rPr>
          <w:spacing w:val="-2"/>
        </w:rPr>
        <w:t>恒宝成功入围埃塞俄比亚电信供应商，是公司实现海外布局的重要里程碑。同时，2018年新加坡国际公司加大了对马来西亚</w:t>
      </w:r>
      <w:r>
        <w:rPr>
          <w:spacing w:val="-65"/>
        </w:rPr>
        <w:t> </w:t>
      </w:r>
      <w:r>
        <w:rPr>
          <w:spacing w:val="-65"/>
        </w:rPr>
      </w:r>
      <w:r>
        <w:rPr/>
        <w:t>市场的开拓力度，完成马来西亚个人化中心MODULAR的收购工作，加强了双界面卡的推广，成功加入VISA全球双界面推荐卡</w:t>
      </w:r>
      <w:r>
        <w:rPr/>
        <w:t> </w:t>
      </w:r>
      <w:r>
        <w:rPr>
          <w:spacing w:val="-2"/>
        </w:rPr>
        <w:t>商名录，并成功通过pure产品认证。公司将继续积极开拓海外市场，紧跟银联步伐，持续推进，大力营销，迅速增加公司在</w:t>
      </w:r>
      <w:r>
        <w:rPr>
          <w:spacing w:val="-65"/>
        </w:rPr>
        <w:t> </w:t>
      </w:r>
      <w:r>
        <w:rPr>
          <w:spacing w:val="-65"/>
        </w:rPr>
      </w:r>
      <w:r>
        <w:rPr/>
        <w:t>东南亚以及中东非洲地区的市场份额。</w:t>
      </w:r>
    </w:p>
    <w:p>
      <w:pPr>
        <w:pStyle w:val="BodyText"/>
        <w:spacing w:line="360" w:lineRule="auto" w:before="57"/>
        <w:ind w:left="472" w:right="0"/>
        <w:jc w:val="left"/>
      </w:pPr>
      <w:r>
        <w:rPr/>
        <w:t>二、公司知识产权建设情况 </w:t>
      </w:r>
      <w:r>
        <w:rPr>
          <w:spacing w:val="-2"/>
        </w:rPr>
        <w:t>2017年12月，公司顺利完成《企业知识产权管理规范》贯标认证，获得了知识产权管理体系认证证书，将知识产权贯穿</w:t>
      </w:r>
    </w:p>
    <w:p>
      <w:pPr>
        <w:spacing w:after="0" w:line="36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spacing w:val="-4"/>
        </w:rPr>
        <w:t>于企业创新和市场竞争的全过程，知识产权管理的规范化、系统化、程序化、精细化，可以使企业合理有效的运用知识产权，</w:t>
      </w:r>
      <w:r>
        <w:rPr>
          <w:spacing w:val="-44"/>
        </w:rPr>
        <w:t> </w:t>
      </w:r>
      <w:r>
        <w:rPr>
          <w:spacing w:val="-44"/>
        </w:rPr>
      </w:r>
      <w:r>
        <w:rPr>
          <w:spacing w:val="-2"/>
        </w:rPr>
        <w:t>抵御知识产权风险，从而提高企业自身的竞争力，保证企业在激烈的市场竞争大潮中稳定发展。2018年公司在不断提高侵权</w:t>
      </w:r>
      <w:r>
        <w:rPr>
          <w:spacing w:val="-63"/>
        </w:rPr>
        <w:t> </w:t>
      </w:r>
      <w:r>
        <w:rPr>
          <w:spacing w:val="-63"/>
        </w:rPr>
      </w:r>
      <w:r>
        <w:rPr/>
        <w:t>风险防范和应对能力的道路上继续前进，新增发明专利申请110件，实用新型专利25件，新增专利授权33件，计算机软件著</w:t>
      </w:r>
      <w:r>
        <w:rPr/>
        <w:t> 作权总量29件，并获得国家知识产权局“国家知识产权优势企业”荣誉称号。</w:t>
      </w:r>
    </w:p>
    <w:p>
      <w:pPr>
        <w:pStyle w:val="BodyText"/>
        <w:spacing w:line="360" w:lineRule="auto" w:before="57"/>
        <w:ind w:left="472" w:right="1123"/>
        <w:jc w:val="left"/>
      </w:pPr>
      <w:r>
        <w:rPr/>
        <w:t>三、资本合作 报告期内，公司通过资本合作，加大在智慧农业领域的技术和应用开发，与华领鋆弘合作设立智慧农业&amp;物联网股权投</w:t>
      </w:r>
    </w:p>
    <w:p>
      <w:pPr>
        <w:pStyle w:val="BodyText"/>
        <w:spacing w:line="222" w:lineRule="exact"/>
        <w:ind w:right="0"/>
        <w:jc w:val="left"/>
      </w:pPr>
      <w:r>
        <w:rPr/>
        <w:t>资基金，借助华领鋆弘在股权投资及资本运作方面的成熟经验，加速该业务的发展。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参见“经营情况讨论与分析”中的“一、概述”相关内容。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1,690,305,333.68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1,368,374,091.69</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23.53%</w:t>
            </w:r>
          </w:p>
        </w:tc>
      </w:tr>
      <w:tr>
        <w:trPr>
          <w:trHeight w:val="401" w:hRule="exact"/>
        </w:trPr>
        <w:tc>
          <w:tcPr>
            <w:tcW w:w="956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1,633,157,753.44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1,321,621,380.97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信息软件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46,246,960.62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40,570,152.83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13.99%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10,900,619.62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6,182,557.89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76.31%</w:t>
            </w:r>
          </w:p>
        </w:tc>
      </w:tr>
      <w:tr>
        <w:trPr>
          <w:trHeight w:val="401" w:hRule="exact"/>
        </w:trPr>
        <w:tc>
          <w:tcPr>
            <w:tcW w:w="956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5,465,679.36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5,577,102.30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-2.00%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766,358,165.22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991,240,531.60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-22.69%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118,516,593.95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164,134,088.95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-27.79%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网络版会员软件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46,246,960.62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40,570,152.83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13.99%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特种物联网业务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742,817,314.91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160,669,658.12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362.33%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10,900,619.62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6,182,557.89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76.31%</w:t>
            </w:r>
          </w:p>
        </w:tc>
      </w:tr>
      <w:tr>
        <w:trPr>
          <w:trHeight w:val="403" w:hRule="exact"/>
        </w:trPr>
        <w:tc>
          <w:tcPr>
            <w:tcW w:w="956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345,269,458.62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462,518,625.75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-25.35%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936,564,258.64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406,257,824.56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130.53%</w:t>
            </w:r>
          </w:p>
        </w:tc>
      </w:tr>
      <w:tr>
        <w:trPr>
          <w:trHeight w:val="3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156,234,589.44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212,036,218.26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-26.32%</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69,251,363.36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85,296,374.91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96,254,874.59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106,845,712.36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-9.91%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32,056,024.60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34,428,109.57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-6.89%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54,674,764.43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60,991,226.28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-10.36%</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7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5" w:footer="1017" w:top="1100" w:bottom="1200" w:left="1020" w:right="0"/>
        </w:sectPr>
      </w:pPr>
    </w:p>
    <w:p>
      <w:pPr>
        <w:pStyle w:val="BodyText"/>
        <w:spacing w:line="360"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100" w:bottom="1200" w:left="1020" w:right="0"/>
          <w:cols w:num="2" w:equalWidth="0">
            <w:col w:w="3173" w:space="5745"/>
            <w:col w:w="1972"/>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6"/>
        <w:gridCol w:w="1366"/>
        <w:gridCol w:w="1366"/>
        <w:gridCol w:w="1368"/>
        <w:gridCol w:w="1368"/>
        <w:gridCol w:w="1366"/>
        <w:gridCol w:w="1370"/>
      </w:tblGrid>
      <w:tr>
        <w:trPr>
          <w:trHeight w:val="713"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28" w:right="139" w:hanging="92"/>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25" w:right="137"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319"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1,633,157,753.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1,328,870,047.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-7.36%</w:t>
            </w:r>
          </w:p>
        </w:tc>
      </w:tr>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5,465,679.36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3,876,950.12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8.32%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z w:val="18"/>
              </w:rPr>
              <w:t>-6.75%</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766,358,165.22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567,089,487.38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-4.59%</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118,516,593.95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104,002,616.05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-28.32%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0.65%</w:t>
            </w:r>
          </w:p>
        </w:tc>
      </w:tr>
      <w:tr>
        <w:trPr>
          <w:trHeight w:val="7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73"/>
              <w:jc w:val="left"/>
              <w:rPr>
                <w:rFonts w:ascii="宋体" w:hAnsi="宋体" w:cs="宋体" w:eastAsia="宋体" w:hint="default"/>
                <w:sz w:val="18"/>
                <w:szCs w:val="18"/>
              </w:rPr>
            </w:pPr>
            <w:r>
              <w:rPr>
                <w:rFonts w:ascii="宋体" w:hAnsi="宋体" w:cs="宋体" w:eastAsia="宋体" w:hint="default"/>
                <w:sz w:val="18"/>
                <w:szCs w:val="18"/>
              </w:rPr>
              <w:t>特种物联网业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742,817,314.91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653,900,994.17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326,589,412.26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239,896,108.77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-0.24%</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914,562,154.56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786,593,586.17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162.63%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-10.72%</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152,746,258.12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116,367,457.52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-8.18%</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68,974,586.52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52,745,997.82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-19.05%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1.45%</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91,625,425.35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70,815,027.35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-0.33%</w:t>
            </w: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32,056,024.60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24,660,551.76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z w:val="18"/>
              </w:rPr>
              <w:t>-2.96%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z w:val="18"/>
              </w:rPr>
              <w:t>-3.12%</w:t>
            </w: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46,603,892.03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37,791,318.33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0.09%</w:t>
            </w:r>
          </w:p>
        </w:tc>
      </w:tr>
    </w:tbl>
    <w:p>
      <w:pPr>
        <w:pStyle w:val="BodyText"/>
        <w:spacing w:line="240" w:lineRule="auto" w:before="49"/>
        <w:ind w:right="0"/>
        <w:jc w:val="left"/>
      </w:pPr>
      <w:r>
        <w:rPr/>
        <w:t>公司主营业务数据统计口径在报告期发生调整的情况下，公司最近</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年按报告期末口径调整后的主营业务数据</w:t>
      </w:r>
    </w:p>
    <w:p>
      <w:pPr>
        <w:pStyle w:val="BodyText"/>
        <w:spacing w:line="240" w:lineRule="auto" w:before="101"/>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98"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-11.55%</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-10.66%</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14.55%</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-14.71%</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-14.94%</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-4.27%</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-3.15%</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-3.26%</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-14.07%</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特种物联网业务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409.52%</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409.52%</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t>√ 适用 □ 不适用</w:t>
      </w:r>
    </w:p>
    <w:p>
      <w:pPr>
        <w:pStyle w:val="BodyText"/>
        <w:spacing w:line="300" w:lineRule="auto" w:before="117"/>
        <w:ind w:right="0"/>
        <w:jc w:val="left"/>
      </w:pPr>
      <w:r>
        <w:rPr>
          <w:spacing w:val="-2"/>
        </w:rPr>
        <w:t>报告期公司特种通信物联网业务共计生产和交付</w:t>
      </w:r>
      <w:r>
        <w:rPr>
          <w:rFonts w:ascii="Times New Roman" w:hAnsi="Times New Roman" w:cs="Times New Roman" w:eastAsia="Times New Roman" w:hint="default"/>
          <w:spacing w:val="-2"/>
        </w:rPr>
        <w:t>10,696</w:t>
      </w:r>
      <w:r>
        <w:rPr>
          <w:spacing w:val="-2"/>
        </w:rPr>
        <w:t>套特种通信物联网产品，确认销售收入</w:t>
      </w:r>
      <w:r>
        <w:rPr>
          <w:rFonts w:ascii="Times New Roman" w:hAnsi="Times New Roman" w:cs="Times New Roman" w:eastAsia="Times New Roman" w:hint="default"/>
          <w:spacing w:val="-2"/>
        </w:rPr>
        <w:t>742,817,314.91</w:t>
      </w:r>
      <w:r>
        <w:rPr>
          <w:spacing w:val="-2"/>
        </w:rPr>
        <w:t>元；销量和产量</w:t>
      </w:r>
      <w:r>
        <w:rPr>
          <w:spacing w:val="-52"/>
        </w:rPr>
        <w:t> </w:t>
      </w:r>
      <w:r>
        <w:rPr>
          <w:spacing w:val="-52"/>
        </w:rPr>
      </w:r>
      <w:r>
        <w:rPr/>
        <w:t>比去年同期增加</w:t>
      </w:r>
      <w:r>
        <w:rPr>
          <w:rFonts w:ascii="Times New Roman" w:hAnsi="Times New Roman" w:cs="Times New Roman" w:eastAsia="Times New Roman" w:hint="default"/>
        </w:rPr>
        <w:t>409.52%</w:t>
      </w:r>
      <w:r>
        <w:rPr/>
        <w:t>，收入比去年同期增加</w:t>
      </w:r>
      <w:r>
        <w:rPr>
          <w:rFonts w:ascii="Times New Roman" w:hAnsi="Times New Roman" w:cs="Times New Roman" w:eastAsia="Times New Roman" w:hint="default"/>
        </w:rPr>
        <w:t>362.33%</w:t>
      </w:r>
      <w:r>
        <w:rPr/>
        <w:t>。</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588" w:right="139" w:hanging="452"/>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587" w:right="139" w:hanging="452"/>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1,167,136,627.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849,942,505.89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67,968,540.28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48,054,328.29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41.44%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5,628,161.76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5,110,071.72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98,609,348.41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7.34%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79,599,194.10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23.88%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3,909,140.72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3,513,767.76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2"/>
                <w:sz w:val="18"/>
              </w:rPr>
              <w:t>11.25%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1,343,251,818.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986,219,867.76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36.20%</w:t>
            </w:r>
          </w:p>
        </w:tc>
      </w:tr>
    </w:tbl>
    <w:p>
      <w:pPr>
        <w:pStyle w:val="BodyText"/>
        <w:spacing w:line="240" w:lineRule="auto" w:before="49"/>
        <w:ind w:left="0" w:right="1132"/>
        <w:jc w:val="right"/>
      </w:pPr>
      <w:r>
        <w:rPr/>
        <w:t>单位：元</w:t>
      </w:r>
    </w:p>
    <w:p>
      <w:pPr>
        <w:spacing w:after="0" w:line="240" w:lineRule="auto"/>
        <w:jc w:val="right"/>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8" w:right="139" w:hanging="452"/>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7" w:right="139" w:hanging="452"/>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3,876,950.12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3,579,273.20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567,089,487.38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688,037,951.67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-17.58%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104,002,616.05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145,095,425.08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-28.32%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75"/>
              <w:jc w:val="left"/>
              <w:rPr>
                <w:rFonts w:ascii="宋体" w:hAnsi="宋体" w:cs="宋体" w:eastAsia="宋体" w:hint="default"/>
                <w:sz w:val="18"/>
                <w:szCs w:val="18"/>
              </w:rPr>
            </w:pPr>
            <w:r>
              <w:rPr>
                <w:rFonts w:ascii="宋体" w:hAnsi="宋体" w:cs="宋体" w:eastAsia="宋体" w:hint="default"/>
                <w:sz w:val="18"/>
                <w:szCs w:val="18"/>
              </w:rPr>
              <w:t>网络版会员软 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8,280,133.53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4,615,244.85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79.41%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75"/>
              <w:jc w:val="left"/>
              <w:rPr>
                <w:rFonts w:ascii="宋体" w:hAnsi="宋体" w:cs="宋体" w:eastAsia="宋体" w:hint="default"/>
                <w:sz w:val="18"/>
                <w:szCs w:val="18"/>
              </w:rPr>
            </w:pPr>
            <w:r>
              <w:rPr>
                <w:rFonts w:ascii="宋体" w:hAnsi="宋体" w:cs="宋体" w:eastAsia="宋体" w:hint="default"/>
                <w:sz w:val="18"/>
                <w:szCs w:val="18"/>
              </w:rPr>
              <w:t>特种物联网业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653,900,994.17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141,378,205.20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362.52%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6,101,637.49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3,513,767.76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73.65%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1,343,251,818.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986,219,867.76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36.20%</w:t>
            </w: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3553"/>
        <w:jc w:val="left"/>
      </w:pPr>
      <w:r>
        <w:rPr/>
        <w:t>√ 是 □ 否 报告期内，公司在肯尼亚设立全资子公司恒宝（中东非洲）有限责任公司，纳入合并范围。</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 适用 □ 不适用 </w:t>
      </w:r>
      <w:r>
        <w:rPr>
          <w:spacing w:val="-2"/>
        </w:rPr>
        <w:t>报告期内，公司继续深化特种通信物联网业务布局，业务增长迅速，实现营收7.43亿元，占公司营业收入的比例由2017年的</w:t>
      </w:r>
      <w:r>
        <w:rPr>
          <w:spacing w:val="-62"/>
        </w:rPr>
        <w:t> </w:t>
      </w:r>
      <w:r>
        <w:rPr>
          <w:spacing w:val="-62"/>
        </w:rPr>
      </w:r>
      <w:r>
        <w:rPr/>
        <w:t>11.74%增加至43.95%。</w:t>
      </w:r>
    </w:p>
    <w:p>
      <w:pPr>
        <w:pStyle w:val="BodyText"/>
        <w:spacing w:line="316" w:lineRule="auto" w:before="43"/>
        <w:ind w:right="1132"/>
        <w:jc w:val="both"/>
      </w:pPr>
      <w:r>
        <w:rPr>
          <w:spacing w:val="-2"/>
        </w:rPr>
        <w:t>公司特种通信物联网业务主要面向公安、消防、国防建设、国家安全等应用领域市场，重点布局高端传感器设备、通信加密</w:t>
      </w:r>
      <w:r>
        <w:rPr>
          <w:spacing w:val="-65"/>
        </w:rPr>
        <w:t> </w:t>
      </w:r>
      <w:r>
        <w:rPr>
          <w:spacing w:val="-65"/>
        </w:rPr>
      </w:r>
      <w:r>
        <w:rPr>
          <w:spacing w:val="-2"/>
        </w:rPr>
        <w:t>终端、智能侦测终端等核心产品。公司在充分了解客户需求之后，与传统通信设备制造企业合作，在传统产品中融合了我公</w:t>
      </w:r>
      <w:r>
        <w:rPr>
          <w:spacing w:val="-66"/>
        </w:rPr>
        <w:t> </w:t>
      </w:r>
      <w:r>
        <w:rPr>
          <w:spacing w:val="-66"/>
        </w:rPr>
      </w:r>
      <w:r>
        <w:rPr>
          <w:spacing w:val="-2"/>
        </w:rPr>
        <w:t>司在金融支付、移动通信、信息安全等领域的技术优势，形成了新一代高端智能安全通信设备；并结合智能云服务平台，为</w:t>
      </w:r>
      <w:r>
        <w:rPr>
          <w:spacing w:val="-65"/>
        </w:rPr>
        <w:t> </w:t>
      </w:r>
      <w:r>
        <w:rPr>
          <w:spacing w:val="-65"/>
        </w:rPr>
      </w:r>
      <w:r>
        <w:rPr/>
        <w:t>客户提供应急指挥通信、数据链等特种应用整体解决方案。该业务是公司培育的新的业务增长点。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255"/>
        <w:gridCol w:w="5311"/>
      </w:tblGrid>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806,846,990.16</w:t>
            </w:r>
          </w:p>
        </w:tc>
      </w:tr>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47.74%</w:t>
            </w:r>
          </w:p>
        </w:tc>
      </w:tr>
      <w:tr>
        <w:trPr>
          <w:trHeight w:val="713"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00" w:right="1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802"/>
        <w:gridCol w:w="3300"/>
        <w:gridCol w:w="2323"/>
        <w:gridCol w:w="3142"/>
      </w:tblGrid>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1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75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802"/>
        <w:gridCol w:w="3300"/>
        <w:gridCol w:w="2323"/>
        <w:gridCol w:w="3142"/>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354,564,927.75</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322,192,042.41</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87,493,324.26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22,665,276.27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19,931,419.47</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1.18%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806,846,990.16</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47.74%</w:t>
            </w:r>
          </w:p>
        </w:tc>
      </w:tr>
    </w:tbl>
    <w:p>
      <w:pPr>
        <w:pStyle w:val="BodyText"/>
        <w:spacing w:line="240" w:lineRule="auto" w:before="49"/>
        <w:ind w:right="0"/>
        <w:jc w:val="left"/>
      </w:pPr>
      <w:r>
        <w:rPr/>
        <w:t>主要客户其他情况说明</w:t>
      </w:r>
    </w:p>
    <w:p>
      <w:pPr>
        <w:pStyle w:val="BodyText"/>
        <w:spacing w:line="360" w:lineRule="auto" w:before="117"/>
        <w:ind w:right="9133"/>
        <w:jc w:val="left"/>
      </w:pPr>
      <w:r>
        <w:rPr/>
        <w:t>□ 适用 √ 不适用 公司主要供应商情况</w:t>
      </w:r>
    </w:p>
    <w:tbl>
      <w:tblPr>
        <w:tblW w:w="0" w:type="auto"/>
        <w:jc w:val="left"/>
        <w:tblInd w:w="110" w:type="dxa"/>
        <w:tblLayout w:type="fixed"/>
        <w:tblCellMar>
          <w:top w:w="0" w:type="dxa"/>
          <w:left w:w="0" w:type="dxa"/>
          <w:bottom w:w="0" w:type="dxa"/>
          <w:right w:w="0" w:type="dxa"/>
        </w:tblCellMar>
        <w:tblLook w:val="01E0"/>
      </w:tblPr>
      <w:tblGrid>
        <w:gridCol w:w="4255"/>
        <w:gridCol w:w="5311"/>
      </w:tblGrid>
      <w:tr>
        <w:trPr>
          <w:trHeight w:val="403"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388,104,562.92</w:t>
            </w:r>
          </w:p>
        </w:tc>
      </w:tr>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31.65%</w:t>
            </w:r>
          </w:p>
        </w:tc>
      </w:tr>
      <w:tr>
        <w:trPr>
          <w:trHeight w:val="715" w:hRule="exact"/>
        </w:trPr>
        <w:tc>
          <w:tcPr>
            <w:tcW w:w="4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934"/>
        <w:gridCol w:w="3168"/>
        <w:gridCol w:w="2323"/>
        <w:gridCol w:w="3142"/>
      </w:tblGrid>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126,773,035.83</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10.34%</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101,410,729.29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8.27%</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100"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67,731,955.62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5.52%</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66,773,015.39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5.45%</w:t>
            </w:r>
          </w:p>
        </w:tc>
      </w:tr>
      <w:tr>
        <w:trPr>
          <w:trHeight w:val="401" w:hRule="exact"/>
        </w:trPr>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25,415,826.79</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388,104,562.92</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31.65%</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639"/>
        <w:gridCol w:w="1637"/>
        <w:gridCol w:w="1459"/>
        <w:gridCol w:w="2918"/>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65,644,995.31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73,022,761.07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-10.10%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72,170,605.53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89,158,810.04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55" w:hRule="exact"/>
        </w:trPr>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5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报告期，公司财务费用比去年同期</w:t>
            </w:r>
          </w:p>
        </w:tc>
      </w:tr>
      <w:tr>
        <w:trPr>
          <w:trHeight w:val="316" w:hRule="exact"/>
        </w:trPr>
        <w:tc>
          <w:tcPr>
            <w:tcW w:w="19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265,500.60</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8,203,723.61</w:t>
            </w:r>
          </w:p>
        </w:tc>
        <w:tc>
          <w:tcPr>
            <w:tcW w:w="145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-96.76%</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96.76%</w:t>
            </w:r>
            <w:r>
              <w:rPr>
                <w:rFonts w:ascii="宋体" w:hAnsi="宋体" w:cs="宋体" w:eastAsia="宋体" w:hint="default"/>
                <w:spacing w:val="-4"/>
                <w:sz w:val="18"/>
                <w:szCs w:val="18"/>
              </w:rPr>
              <w:t>，主要是因为公司报告</w:t>
            </w:r>
          </w:p>
        </w:tc>
      </w:tr>
      <w:tr>
        <w:trPr>
          <w:trHeight w:val="354" w:hRule="exact"/>
        </w:trPr>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9"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5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期汇兑损益同比减少所致。</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121,874,377.09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121,783,765.82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46" w:hRule="exact"/>
        </w:trPr>
        <w:tc>
          <w:tcPr>
            <w:tcW w:w="1913" w:type="dxa"/>
            <w:tcBorders>
              <w:top w:val="single" w:sz="4" w:space="0" w:color="000000"/>
              <w:left w:val="single" w:sz="4" w:space="0" w:color="000000"/>
              <w:bottom w:val="nil" w:sz="6" w:space="0" w:color="auto"/>
              <w:right w:val="single" w:sz="4" w:space="0" w:color="000000"/>
            </w:tcBorders>
          </w:tcPr>
          <w:p>
            <w:pPr/>
          </w:p>
        </w:tc>
        <w:tc>
          <w:tcPr>
            <w:tcW w:w="1639"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5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报告期，公司营业成本比去年同期</w:t>
            </w:r>
          </w:p>
        </w:tc>
      </w:tr>
      <w:tr>
        <w:trPr>
          <w:trHeight w:val="325"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3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1,343,251,818.74</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986,219,867.76</w:t>
            </w:r>
          </w:p>
        </w:tc>
        <w:tc>
          <w:tcPr>
            <w:tcW w:w="145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36.20%</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36.20%</w:t>
            </w:r>
            <w:r>
              <w:rPr>
                <w:rFonts w:ascii="宋体" w:hAnsi="宋体" w:cs="宋体" w:eastAsia="宋体" w:hint="default"/>
                <w:spacing w:val="-4"/>
                <w:sz w:val="18"/>
                <w:szCs w:val="18"/>
              </w:rPr>
              <w:t>，主要是因为公司报告</w:t>
            </w:r>
          </w:p>
        </w:tc>
      </w:tr>
      <w:tr>
        <w:trPr>
          <w:trHeight w:val="313" w:hRule="exact"/>
        </w:trPr>
        <w:tc>
          <w:tcPr>
            <w:tcW w:w="1913" w:type="dxa"/>
            <w:tcBorders>
              <w:top w:val="nil" w:sz="6" w:space="0" w:color="auto"/>
              <w:left w:val="single" w:sz="4" w:space="0" w:color="000000"/>
              <w:bottom w:val="single" w:sz="4" w:space="0" w:color="000000"/>
              <w:right w:val="single" w:sz="4" w:space="0" w:color="000000"/>
            </w:tcBorders>
          </w:tcPr>
          <w:p>
            <w:pPr/>
          </w:p>
        </w:tc>
        <w:tc>
          <w:tcPr>
            <w:tcW w:w="1639"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5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期收入增长</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23.53%</w:t>
            </w:r>
            <w:r>
              <w:rPr>
                <w:rFonts w:ascii="宋体" w:hAnsi="宋体" w:cs="宋体" w:eastAsia="宋体" w:hint="default"/>
                <w:spacing w:val="-5"/>
                <w:sz w:val="18"/>
                <w:szCs w:val="18"/>
              </w:rPr>
              <w:t>；以及销售结构</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913"/>
        <w:gridCol w:w="1639"/>
        <w:gridCol w:w="1637"/>
        <w:gridCol w:w="1459"/>
        <w:gridCol w:w="2918"/>
      </w:tblGrid>
      <w:tr>
        <w:trPr>
          <w:trHeight w:val="986"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both"/>
              <w:rPr>
                <w:rFonts w:ascii="宋体" w:hAnsi="宋体" w:cs="宋体" w:eastAsia="宋体" w:hint="default"/>
                <w:sz w:val="18"/>
                <w:szCs w:val="18"/>
              </w:rPr>
            </w:pPr>
            <w:r>
              <w:rPr>
                <w:rFonts w:ascii="宋体" w:hAnsi="宋体" w:cs="宋体" w:eastAsia="宋体" w:hint="default"/>
                <w:sz w:val="18"/>
                <w:szCs w:val="18"/>
              </w:rPr>
              <w:t>发生变化，毛利率较低的特种通信 物联网业务同比大幅增长，两者共 同影响所致。</w:t>
            </w:r>
          </w:p>
        </w:tc>
      </w:tr>
      <w:tr>
        <w:trPr>
          <w:trHeight w:val="227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6,425,026.28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-2,151,981.56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-398.56%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报告期，公司资产减值损失比去年 同期增加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857.70 </w:t>
            </w:r>
            <w:r>
              <w:rPr>
                <w:rFonts w:ascii="宋体" w:hAnsi="宋体" w:cs="宋体" w:eastAsia="宋体" w:hint="default"/>
                <w:spacing w:val="-6"/>
                <w:sz w:val="18"/>
                <w:szCs w:val="18"/>
              </w:rPr>
              <w:t>万元，主要是因为</w:t>
            </w:r>
            <w:r>
              <w:rPr>
                <w:rFonts w:ascii="宋体" w:hAnsi="宋体" w:cs="宋体" w:eastAsia="宋体" w:hint="default"/>
                <w:sz w:val="18"/>
                <w:szCs w:val="18"/>
              </w:rPr>
              <w:t> 报告期公司存货跌价准备增加 </w:t>
            </w:r>
            <w:r>
              <w:rPr>
                <w:rFonts w:ascii="Times New Roman" w:hAnsi="Times New Roman" w:cs="Times New Roman" w:eastAsia="Times New Roman" w:hint="default"/>
                <w:sz w:val="18"/>
                <w:szCs w:val="18"/>
              </w:rPr>
              <w:t>710.43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万元；商誉减值准备增加</w:t>
            </w:r>
          </w:p>
          <w:p>
            <w:pPr>
              <w:pStyle w:val="TableParagraph"/>
              <w:spacing w:line="300" w:lineRule="auto" w:before="3"/>
              <w:ind w:left="103"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511.93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万元；应收款项下降，坏账 准备与去年增加</w:t>
            </w:r>
            <w:r>
              <w:rPr>
                <w:rFonts w:ascii="Times New Roman" w:hAnsi="Times New Roman" w:cs="Times New Roman" w:eastAsia="Times New Roman" w:hint="default"/>
                <w:sz w:val="18"/>
                <w:szCs w:val="18"/>
              </w:rPr>
              <w:t>-364.66 </w:t>
            </w:r>
            <w:r>
              <w:rPr>
                <w:rFonts w:ascii="宋体" w:hAnsi="宋体" w:cs="宋体" w:eastAsia="宋体" w:hint="default"/>
                <w:sz w:val="18"/>
                <w:szCs w:val="18"/>
              </w:rPr>
              <w:t>万元</w:t>
            </w:r>
            <w:r>
              <w:rPr>
                <w:rFonts w:ascii="宋体" w:hAnsi="宋体" w:cs="宋体" w:eastAsia="宋体" w:hint="default"/>
                <w:spacing w:val="-4"/>
                <w:sz w:val="18"/>
                <w:szCs w:val="18"/>
              </w:rPr>
              <w:t> </w:t>
            </w:r>
            <w:r>
              <w:rPr>
                <w:rFonts w:ascii="宋体" w:hAnsi="宋体" w:cs="宋体" w:eastAsia="宋体" w:hint="default"/>
                <w:sz w:val="18"/>
                <w:szCs w:val="18"/>
              </w:rPr>
              <w:t>，三</w:t>
            </w:r>
            <w:r>
              <w:rPr>
                <w:rFonts w:ascii="宋体" w:hAnsi="宋体" w:cs="宋体" w:eastAsia="宋体" w:hint="default"/>
                <w:sz w:val="18"/>
                <w:szCs w:val="18"/>
              </w:rPr>
              <w:t> 者共同影响所致。</w:t>
            </w:r>
          </w:p>
        </w:tc>
      </w:tr>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23,483,632.86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41,092,378.76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报告期，公司其他收益比去年同期 减少</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42.85%</w:t>
            </w:r>
            <w:r>
              <w:rPr>
                <w:rFonts w:ascii="宋体" w:hAnsi="宋体" w:cs="宋体" w:eastAsia="宋体" w:hint="default"/>
                <w:spacing w:val="-4"/>
                <w:sz w:val="18"/>
                <w:szCs w:val="18"/>
              </w:rPr>
              <w:t>，主要是由于报告期公</w:t>
            </w:r>
            <w:r>
              <w:rPr>
                <w:rFonts w:ascii="宋体" w:hAnsi="宋体" w:cs="宋体" w:eastAsia="宋体" w:hint="default"/>
                <w:sz w:val="18"/>
                <w:szCs w:val="18"/>
              </w:rPr>
              <w:t> 司实际收到的增值税即征即退返还 税款以及与企业日常活动相关的政 府补助同比减少所致。</w:t>
            </w:r>
          </w:p>
        </w:tc>
      </w:tr>
      <w:tr>
        <w:trPr>
          <w:trHeight w:val="19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13,070,592.79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5,545,932.13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3"/>
              <w:jc w:val="both"/>
              <w:rPr>
                <w:rFonts w:ascii="宋体" w:hAnsi="宋体" w:cs="宋体" w:eastAsia="宋体" w:hint="default"/>
                <w:sz w:val="18"/>
                <w:szCs w:val="18"/>
              </w:rPr>
            </w:pPr>
            <w:r>
              <w:rPr>
                <w:rFonts w:ascii="宋体" w:hAnsi="宋体" w:cs="宋体" w:eastAsia="宋体" w:hint="default"/>
                <w:sz w:val="18"/>
                <w:szCs w:val="18"/>
              </w:rPr>
              <w:t>报告期，公司投资收益比去年同期 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135.68%</w:t>
            </w:r>
            <w:r>
              <w:rPr>
                <w:rFonts w:ascii="宋体" w:hAnsi="宋体" w:cs="宋体" w:eastAsia="宋体" w:hint="default"/>
                <w:sz w:val="18"/>
                <w:szCs w:val="18"/>
              </w:rPr>
              <w:t>，主要是因为公司报 告期按权益法核算的联营企业所确 认的投资收益同比增加；购买银行 理财产品收益同比增加，两者共同 影响所致。</w:t>
            </w:r>
          </w:p>
        </w:tc>
      </w:tr>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52,214,754.01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42,047.17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124,081.38%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3"/>
              <w:jc w:val="left"/>
              <w:rPr>
                <w:rFonts w:ascii="宋体" w:hAnsi="宋体" w:cs="宋体" w:eastAsia="宋体" w:hint="default"/>
                <w:sz w:val="18"/>
                <w:szCs w:val="18"/>
              </w:rPr>
            </w:pPr>
            <w:r>
              <w:rPr>
                <w:rFonts w:ascii="宋体" w:hAnsi="宋体" w:cs="宋体" w:eastAsia="宋体" w:hint="default"/>
                <w:sz w:val="18"/>
                <w:szCs w:val="18"/>
              </w:rPr>
              <w:t>报告期，公司资产处置收益比去年 同期增加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124,081.38%</w:t>
            </w:r>
            <w:r>
              <w:rPr>
                <w:rFonts w:ascii="宋体" w:hAnsi="宋体" w:cs="宋体" w:eastAsia="宋体" w:hint="default"/>
                <w:sz w:val="18"/>
                <w:szCs w:val="18"/>
              </w:rPr>
              <w:t>，主要是因 为报告期公司出售了北京市西城区 月坛北街 </w:t>
            </w:r>
            <w:r>
              <w:rPr>
                <w:rFonts w:ascii="Times New Roman" w:hAnsi="Times New Roman" w:cs="Times New Roman" w:eastAsia="Times New Roman" w:hint="default"/>
                <w:sz w:val="18"/>
                <w:szCs w:val="18"/>
              </w:rPr>
              <w:t>2 </w:t>
            </w:r>
            <w:r>
              <w:rPr>
                <w:rFonts w:ascii="宋体" w:hAnsi="宋体" w:cs="宋体" w:eastAsia="宋体" w:hint="default"/>
                <w:sz w:val="18"/>
                <w:szCs w:val="18"/>
              </w:rPr>
              <w:t>号 </w:t>
            </w:r>
            <w:r>
              <w:rPr>
                <w:rFonts w:ascii="Times New Roman" w:hAnsi="Times New Roman" w:cs="Times New Roman" w:eastAsia="Times New Roman" w:hint="default"/>
                <w:sz w:val="18"/>
                <w:szCs w:val="18"/>
              </w:rPr>
              <w:t>1 </w:t>
            </w:r>
            <w:r>
              <w:rPr>
                <w:rFonts w:ascii="宋体" w:hAnsi="宋体" w:cs="宋体" w:eastAsia="宋体" w:hint="default"/>
                <w:sz w:val="18"/>
                <w:szCs w:val="18"/>
              </w:rPr>
              <w:t>幢 </w:t>
            </w:r>
            <w:r>
              <w:rPr>
                <w:rFonts w:ascii="Times New Roman" w:hAnsi="Times New Roman" w:cs="Times New Roman" w:eastAsia="Times New Roman" w:hint="default"/>
                <w:sz w:val="18"/>
                <w:szCs w:val="18"/>
              </w:rPr>
              <w:t>3 </w:t>
            </w:r>
            <w:r>
              <w:rPr>
                <w:rFonts w:ascii="宋体" w:hAnsi="宋体" w:cs="宋体" w:eastAsia="宋体" w:hint="default"/>
                <w:sz w:val="18"/>
                <w:szCs w:val="18"/>
              </w:rPr>
              <w:t>层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房 产产生收益所致。</w:t>
            </w:r>
          </w:p>
        </w:tc>
      </w:tr>
      <w:tr>
        <w:trPr>
          <w:trHeight w:val="35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333,326.74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54,234,533.80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2"/>
              <w:jc w:val="left"/>
              <w:rPr>
                <w:rFonts w:ascii="宋体" w:hAnsi="宋体" w:cs="宋体" w:eastAsia="宋体" w:hint="default"/>
                <w:sz w:val="18"/>
                <w:szCs w:val="18"/>
              </w:rPr>
            </w:pPr>
            <w:r>
              <w:rPr>
                <w:rFonts w:ascii="宋体" w:hAnsi="宋体" w:cs="宋体" w:eastAsia="宋体" w:hint="default"/>
                <w:sz w:val="18"/>
                <w:szCs w:val="18"/>
              </w:rPr>
              <w:t>报告期，公司营业外收入比去年同 期减少</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99.39%</w:t>
            </w:r>
            <w:r>
              <w:rPr>
                <w:rFonts w:ascii="宋体" w:hAnsi="宋体" w:cs="宋体" w:eastAsia="宋体" w:hint="default"/>
                <w:spacing w:val="-5"/>
                <w:sz w:val="18"/>
                <w:szCs w:val="18"/>
              </w:rPr>
              <w:t>，主要是因为去年同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期收到《北京市高级人民法院民事 </w:t>
            </w:r>
            <w:r>
              <w:rPr>
                <w:rFonts w:ascii="宋体" w:hAnsi="宋体" w:cs="宋体" w:eastAsia="宋体" w:hint="default"/>
                <w:spacing w:val="-3"/>
                <w:sz w:val="18"/>
                <w:szCs w:val="18"/>
              </w:rPr>
              <w:t>裁定书》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）京民终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 北京市高级人民法院裁定驳回北京 握奇的起诉并撤销北京知识产权法 院（</w:t>
            </w:r>
            <w:r>
              <w:rPr>
                <w:rFonts w:ascii="Times New Roman" w:hAnsi="Times New Roman" w:cs="Times New Roman" w:eastAsia="Times New Roman" w:hint="default"/>
                <w:sz w:val="18"/>
                <w:szCs w:val="18"/>
              </w:rPr>
              <w:t>2015</w:t>
            </w:r>
            <w:r>
              <w:rPr>
                <w:rFonts w:ascii="宋体" w:hAnsi="宋体" w:cs="宋体" w:eastAsia="宋体" w:hint="default"/>
                <w:sz w:val="18"/>
                <w:szCs w:val="18"/>
              </w:rPr>
              <w:t>）京知民初字第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号民 事判决。据此，公司去年同期转回 前期已计提预计负债人民币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万元计入营业外收入，与报告期形 成差异所致。</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856,973.94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1,568,369.74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报告期，公司营业外支出比去年同 期减少</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45.36%</w:t>
            </w:r>
            <w:r>
              <w:rPr>
                <w:rFonts w:ascii="宋体" w:hAnsi="宋体" w:cs="宋体" w:eastAsia="宋体" w:hint="default"/>
                <w:spacing w:val="-5"/>
                <w:sz w:val="18"/>
                <w:szCs w:val="18"/>
              </w:rPr>
              <w:t>，主要是因为公司报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告期对外捐赠同比减少所致。</w:t>
            </w:r>
          </w:p>
        </w:tc>
      </w:tr>
      <w:tr>
        <w:trPr>
          <w:trHeight w:val="67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2,139,247.00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1,467,148.63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报告期，公司少数股东损益比去年 同期增加</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45.81%</w:t>
            </w:r>
            <w:r>
              <w:rPr>
                <w:rFonts w:ascii="宋体" w:hAnsi="宋体" w:cs="宋体" w:eastAsia="宋体" w:hint="default"/>
                <w:spacing w:val="-5"/>
                <w:sz w:val="18"/>
                <w:szCs w:val="18"/>
              </w:rPr>
              <w:t>，主要是因为控股</w:t>
            </w:r>
          </w:p>
        </w:tc>
      </w:tr>
    </w:tbl>
    <w:p>
      <w:pPr>
        <w:spacing w:after="0" w:line="319"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913"/>
        <w:gridCol w:w="1639"/>
        <w:gridCol w:w="1637"/>
        <w:gridCol w:w="1459"/>
        <w:gridCol w:w="2918"/>
      </w:tblGrid>
      <w:tr>
        <w:trPr>
          <w:trHeight w:val="67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子公司深圳一卡易公司净利润增加 所致。</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0" w:right="180"/>
              <w:jc w:val="left"/>
              <w:rPr>
                <w:rFonts w:ascii="宋体" w:hAnsi="宋体" w:cs="宋体" w:eastAsia="宋体" w:hint="default"/>
                <w:sz w:val="18"/>
                <w:szCs w:val="18"/>
              </w:rPr>
            </w:pPr>
            <w:r>
              <w:rPr>
                <w:rFonts w:ascii="宋体" w:hAnsi="宋体" w:cs="宋体" w:eastAsia="宋体" w:hint="default"/>
                <w:sz w:val="18"/>
                <w:szCs w:val="18"/>
              </w:rPr>
              <w:t>其他综合收益的税后 净额</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5" w:right="0"/>
              <w:jc w:val="left"/>
              <w:rPr>
                <w:rFonts w:ascii="Times New Roman" w:hAnsi="Times New Roman" w:cs="Times New Roman" w:eastAsia="Times New Roman" w:hint="default"/>
                <w:sz w:val="18"/>
                <w:szCs w:val="18"/>
              </w:rPr>
            </w:pPr>
            <w:r>
              <w:rPr>
                <w:rFonts w:ascii="Times New Roman"/>
                <w:sz w:val="18"/>
              </w:rPr>
              <w:t>336,081.56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-965,628.14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-134.80%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报告期，公司其他综合收益比去年 同期增加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130.17 </w:t>
            </w:r>
            <w:r>
              <w:rPr>
                <w:rFonts w:ascii="宋体" w:hAnsi="宋体" w:cs="宋体" w:eastAsia="宋体" w:hint="default"/>
                <w:spacing w:val="-6"/>
                <w:sz w:val="18"/>
                <w:szCs w:val="18"/>
              </w:rPr>
              <w:t>万元，主要是因为</w:t>
            </w:r>
            <w:r>
              <w:rPr>
                <w:rFonts w:ascii="宋体" w:hAnsi="宋体" w:cs="宋体" w:eastAsia="宋体" w:hint="default"/>
                <w:sz w:val="18"/>
                <w:szCs w:val="18"/>
              </w:rPr>
              <w:t> 报告期汇率变动影响所致。</w:t>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472" w:right="1033" w:hanging="360"/>
        <w:jc w:val="left"/>
      </w:pPr>
      <w:r>
        <w:rPr/>
        <w:t>√ 适用 □ 不适用 </w:t>
      </w:r>
      <w:r>
        <w:rPr>
          <w:spacing w:val="-2"/>
        </w:rPr>
        <w:t>研发投入是公司在市场中长久生存的保障，是公司提高自主创新能力的途径，是公司提升产品核心竞争力的根本。公司</w:t>
      </w:r>
    </w:p>
    <w:p>
      <w:pPr>
        <w:pStyle w:val="BodyText"/>
        <w:spacing w:line="224" w:lineRule="exact"/>
        <w:ind w:right="0"/>
        <w:jc w:val="left"/>
      </w:pPr>
      <w:r>
        <w:rPr/>
        <w:t>的研发目的是既要保证在现有业务中占有一席之地，也要增强在新拓展业务领域的竞争力。</w:t>
      </w:r>
    </w:p>
    <w:p>
      <w:pPr>
        <w:pStyle w:val="BodyText"/>
        <w:spacing w:line="316" w:lineRule="auto" w:before="76"/>
        <w:ind w:right="1129" w:firstLine="360"/>
        <w:jc w:val="both"/>
      </w:pPr>
      <w:r>
        <w:rPr>
          <w:spacing w:val="-2"/>
        </w:rPr>
        <w:t>公司掌握了多项自主研发的核心技术，公司的智能卡技术在移动通信、金融等领域应用先后获得了数百项专利和软件著</w:t>
      </w:r>
      <w:r>
        <w:rPr/>
        <w:t> </w:t>
      </w:r>
      <w:r>
        <w:rPr>
          <w:spacing w:val="-2"/>
        </w:rPr>
        <w:t>作权。除了技术专利之外，从实际的生产过程中发现问题，解决问题，积极改进生产效率，获得了诸多生产方面的自主知识</w:t>
      </w:r>
      <w:r>
        <w:rPr>
          <w:spacing w:val="-63"/>
        </w:rPr>
        <w:t> </w:t>
      </w:r>
      <w:r>
        <w:rPr>
          <w:spacing w:val="-63"/>
        </w:rPr>
      </w:r>
      <w:r>
        <w:rPr/>
        <w:t>产权，大大提高了生产的效率和质量。</w:t>
      </w:r>
    </w:p>
    <w:p>
      <w:pPr>
        <w:pStyle w:val="BodyText"/>
        <w:spacing w:line="240" w:lineRule="auto" w:before="59"/>
        <w:ind w:right="0"/>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6.57%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0.72%</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121,874,377.09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121,783,765.82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-1.69%</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1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研发投入总额占营业收入的比重较上年发生显著变化的原因</w:t>
      </w:r>
    </w:p>
    <w:p>
      <w:pPr>
        <w:pStyle w:val="BodyText"/>
        <w:spacing w:line="357" w:lineRule="auto" w:before="117"/>
        <w:ind w:right="6793"/>
        <w:jc w:val="left"/>
      </w:pPr>
      <w:r>
        <w:rPr/>
        <w:t>□ 适用 √ 不适用 研发投入资本化率大幅变动的原因及其合理性说明</w:t>
      </w:r>
    </w:p>
    <w:p>
      <w:pPr>
        <w:pStyle w:val="BodyText"/>
        <w:spacing w:line="240" w:lineRule="auto" w:before="29"/>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2,051,304,274.20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1,541,821,252.71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33.04%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1,463,061,165.35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1,971,689,231.18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-25.80%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00"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588,243,108.85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-429,867,978.47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-236.84%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1,028,616,812.90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260,579,571.22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294.74%</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1,064,908,231.22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279,057,126.21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281.61%</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-36,291,418.32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-18,477,554.99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96.41%</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229,635,884.92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-69.52%</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203,195,557.48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155,384,498.71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30.77%</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-133,195,557.48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74,251,386.21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-279.38%</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418,896,250.03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-377,220,244.01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w w:val="95"/>
                <w:sz w:val="18"/>
              </w:rPr>
              <w:t>-211.05%</w:t>
            </w:r>
            <w:r>
              <w:rPr>
                <w:rFonts w:ascii="Times New Roman"/>
                <w:spacing w:val="-1"/>
                <w:sz w:val="18"/>
              </w:rPr>
            </w:r>
          </w:p>
        </w:tc>
      </w:tr>
    </w:tbl>
    <w:p>
      <w:pPr>
        <w:pStyle w:val="BodyText"/>
        <w:spacing w:line="240" w:lineRule="auto" w:before="49"/>
        <w:ind w:right="0"/>
        <w:jc w:val="left"/>
      </w:pPr>
      <w:r>
        <w:rPr/>
        <w:t>相关数据同比发生重大变动的主要影响因素说明</w:t>
      </w:r>
    </w:p>
    <w:p>
      <w:pPr>
        <w:pStyle w:val="BodyText"/>
        <w:spacing w:line="240" w:lineRule="auto" w:before="117"/>
        <w:ind w:right="0"/>
        <w:jc w:val="left"/>
      </w:pPr>
      <w:r>
        <w:rPr/>
        <w:t>√ 适用 □ 不适用</w:t>
      </w:r>
    </w:p>
    <w:p>
      <w:pPr>
        <w:pStyle w:val="BodyText"/>
        <w:spacing w:line="300" w:lineRule="auto" w:before="117"/>
        <w:ind w:right="1063"/>
        <w:jc w:val="left"/>
      </w:pPr>
      <w:r>
        <w:rPr>
          <w:rFonts w:ascii="Times New Roman" w:hAnsi="Times New Roman" w:cs="Times New Roman" w:eastAsia="Times New Roman" w:hint="default"/>
        </w:rPr>
        <w:t>1.</w:t>
      </w:r>
      <w:r>
        <w:rPr/>
        <w:t>经营活动现金流入小计：报告期，公司经营活动现金流入小计比去年同期增加33.04%，主要是因为公司销售增长</w:t>
      </w:r>
      <w:r>
        <w:rPr>
          <w:rFonts w:ascii="Times New Roman" w:hAnsi="Times New Roman" w:cs="Times New Roman" w:eastAsia="Times New Roman" w:hint="default"/>
        </w:rPr>
        <w:t>23.53%</w:t>
      </w:r>
      <w:r>
        <w:rPr/>
        <w:t>， 增加了现金流入；报告期公司应收账款下降57.84%增加了现金流入，两者共同影响所致。</w:t>
      </w:r>
    </w:p>
    <w:p>
      <w:pPr>
        <w:pStyle w:val="BodyText"/>
        <w:spacing w:line="300" w:lineRule="auto" w:before="70"/>
        <w:ind w:right="1121"/>
        <w:jc w:val="left"/>
      </w:pPr>
      <w:r>
        <w:rPr>
          <w:rFonts w:ascii="Times New Roman" w:hAnsi="Times New Roman" w:cs="Times New Roman" w:eastAsia="Times New Roman" w:hint="default"/>
          <w:spacing w:val="-1"/>
        </w:rPr>
        <w:t>2.</w:t>
      </w:r>
      <w:r>
        <w:rPr>
          <w:spacing w:val="-1"/>
        </w:rPr>
        <w:t>经营活动现金流出小计：报告期，公司经营活动现金流出小计比去年同期减少</w:t>
      </w:r>
      <w:r>
        <w:rPr>
          <w:rFonts w:ascii="Times New Roman" w:hAnsi="Times New Roman" w:cs="Times New Roman" w:eastAsia="Times New Roman" w:hint="default"/>
          <w:spacing w:val="-1"/>
        </w:rPr>
        <w:t>25.80%</w:t>
      </w:r>
      <w:r>
        <w:rPr>
          <w:spacing w:val="-1"/>
        </w:rPr>
        <w:t>，主要原因是报告期公司预付特种通</w:t>
      </w:r>
      <w:r>
        <w:rPr>
          <w:spacing w:val="-86"/>
        </w:rPr>
        <w:t> </w:t>
      </w:r>
      <w:r>
        <w:rPr>
          <w:spacing w:val="-86"/>
        </w:rPr>
      </w:r>
      <w:r>
        <w:rPr/>
        <w:t>信物联网业务配套采购硬件款同比下降所致。</w:t>
      </w:r>
    </w:p>
    <w:p>
      <w:pPr>
        <w:pStyle w:val="BodyText"/>
        <w:spacing w:line="300" w:lineRule="auto" w:before="72"/>
        <w:ind w:right="0"/>
        <w:jc w:val="left"/>
      </w:pPr>
      <w:r>
        <w:rPr>
          <w:rFonts w:ascii="Times New Roman" w:hAnsi="Times New Roman" w:cs="Times New Roman" w:eastAsia="Times New Roman" w:hint="default"/>
        </w:rPr>
        <w:t>3.</w:t>
      </w:r>
      <w:r>
        <w:rPr/>
        <w:t>经营活动产生的现金流量净额：报告期，公司经营活动产生的现金流量净额比去年同期增加10.18亿元，主要是因为公司</w:t>
      </w:r>
      <w:r>
        <w:rPr>
          <w:spacing w:val="-50"/>
        </w:rPr>
        <w:t> </w:t>
      </w:r>
      <w:r>
        <w:rPr>
          <w:spacing w:val="-50"/>
        </w:rPr>
      </w:r>
      <w:r>
        <w:rPr/>
        <w:t>报告期应收账款回笼同比增加；报告期公司预付特种通信物联网业务配套采购硬件款同比下降，两者共同影响所致。</w:t>
      </w:r>
    </w:p>
    <w:p>
      <w:pPr>
        <w:pStyle w:val="BodyText"/>
        <w:spacing w:line="300" w:lineRule="auto" w:before="72"/>
        <w:ind w:right="1132"/>
        <w:jc w:val="both"/>
      </w:pPr>
      <w:r>
        <w:rPr>
          <w:rFonts w:ascii="Times New Roman" w:hAnsi="Times New Roman" w:cs="Times New Roman" w:eastAsia="Times New Roman" w:hint="default"/>
        </w:rPr>
        <w:t>4.</w:t>
      </w:r>
      <w:r>
        <w:rPr/>
        <w:t>投资活动现金流入小计：报告期，公司投资活动现金流入小计比去年同期增加294.74%，主要是因为报告期公司收回到期</w:t>
      </w:r>
      <w:r>
        <w:rPr>
          <w:spacing w:val="-51"/>
        </w:rPr>
        <w:t> </w:t>
      </w:r>
      <w:r>
        <w:rPr>
          <w:spacing w:val="-51"/>
        </w:rPr>
      </w:r>
      <w:r>
        <w:rPr/>
        <w:t>的银行理财产品金额同比增加</w:t>
      </w:r>
      <w:r>
        <w:rPr>
          <w:rFonts w:ascii="Times New Roman" w:hAnsi="Times New Roman" w:cs="Times New Roman" w:eastAsia="Times New Roman" w:hint="default"/>
        </w:rPr>
        <w:t>239.71%</w:t>
      </w:r>
      <w:r>
        <w:rPr/>
        <w:t>；报告期收回北京市西城区月坛北街2号1幢3层2-3房产处置款，同比增加</w:t>
      </w:r>
      <w:r>
        <w:rPr>
          <w:rFonts w:ascii="Times New Roman" w:hAnsi="Times New Roman" w:cs="Times New Roman" w:eastAsia="Times New Roman" w:hint="default"/>
        </w:rPr>
        <w:t>1.40</w:t>
      </w:r>
      <w:r>
        <w:rPr/>
        <w:t>亿元，</w:t>
      </w:r>
      <w:r>
        <w:rPr>
          <w:spacing w:val="-67"/>
        </w:rPr>
        <w:t> </w:t>
      </w:r>
      <w:r>
        <w:rPr>
          <w:spacing w:val="-67"/>
        </w:rPr>
      </w:r>
      <w:r>
        <w:rPr/>
        <w:t>两者共同影响所致。</w:t>
      </w:r>
    </w:p>
    <w:p>
      <w:pPr>
        <w:pStyle w:val="BodyText"/>
        <w:spacing w:line="300" w:lineRule="auto" w:before="70"/>
        <w:ind w:right="0"/>
        <w:jc w:val="left"/>
      </w:pPr>
      <w:r>
        <w:rPr>
          <w:rFonts w:ascii="Times New Roman" w:hAnsi="Times New Roman" w:cs="Times New Roman" w:eastAsia="Times New Roman" w:hint="default"/>
        </w:rPr>
        <w:t>5.</w:t>
      </w:r>
      <w:r>
        <w:rPr/>
        <w:t>投资活动现金流出小计：报告期，公司投资活动现金流出小计比去年同期增加281.61%，主要原因是报告期公司购买银行</w:t>
      </w:r>
      <w:r>
        <w:rPr>
          <w:spacing w:val="-51"/>
        </w:rPr>
        <w:t> </w:t>
      </w:r>
      <w:r>
        <w:rPr>
          <w:spacing w:val="-51"/>
        </w:rPr>
      </w:r>
      <w:r>
        <w:rPr/>
        <w:t>理财产品支付的现金同比增加所致。</w:t>
      </w:r>
    </w:p>
    <w:p>
      <w:pPr>
        <w:pStyle w:val="BodyText"/>
        <w:spacing w:line="300" w:lineRule="auto" w:before="72"/>
        <w:ind w:right="0"/>
        <w:jc w:val="left"/>
      </w:pPr>
      <w:r>
        <w:rPr>
          <w:rFonts w:ascii="Times New Roman" w:hAnsi="Times New Roman" w:cs="Times New Roman" w:eastAsia="Times New Roman" w:hint="default"/>
          <w:spacing w:val="-1"/>
        </w:rPr>
        <w:t>6.</w:t>
      </w:r>
      <w:r>
        <w:rPr>
          <w:spacing w:val="-1"/>
        </w:rPr>
        <w:t>投资活动产生的现金流量净额：报告期，公司投资活动产生的现金流量净额比去年同期减少1,781.39万元，主要是因为公</w:t>
      </w:r>
      <w:r>
        <w:rPr>
          <w:spacing w:val="-73"/>
        </w:rPr>
        <w:t> </w:t>
      </w:r>
      <w:r>
        <w:rPr>
          <w:spacing w:val="-73"/>
        </w:rPr>
      </w:r>
      <w:r>
        <w:rPr/>
        <w:t>司报告期购买银行理财产品净增加额，超过到期收回的银行理财产品净增加额和资产处置回收额合计所致。</w:t>
      </w:r>
    </w:p>
    <w:p>
      <w:pPr>
        <w:pStyle w:val="BodyText"/>
        <w:spacing w:line="300" w:lineRule="auto" w:before="72"/>
        <w:ind w:right="0"/>
        <w:jc w:val="left"/>
      </w:pPr>
      <w:r>
        <w:rPr>
          <w:rFonts w:ascii="Times New Roman" w:hAnsi="Times New Roman" w:cs="Times New Roman" w:eastAsia="Times New Roman" w:hint="default"/>
          <w:spacing w:val="-1"/>
        </w:rPr>
        <w:t>7.</w:t>
      </w:r>
      <w:r>
        <w:rPr>
          <w:spacing w:val="-1"/>
        </w:rPr>
        <w:t>筹资活动现金流入小计：报告期，公司筹资活动现金流入小计比去年同期减少69.52%，主要原因是报告期公司取得借款收</w:t>
      </w:r>
      <w:r>
        <w:rPr>
          <w:spacing w:val="-74"/>
        </w:rPr>
        <w:t> </w:t>
      </w:r>
      <w:r>
        <w:rPr>
          <w:spacing w:val="-74"/>
        </w:rPr>
      </w:r>
      <w:r>
        <w:rPr/>
        <w:t>到的现金比去年同期减少1.60亿元所致。</w:t>
      </w:r>
    </w:p>
    <w:p>
      <w:pPr>
        <w:pStyle w:val="BodyText"/>
        <w:spacing w:line="319" w:lineRule="auto" w:before="70"/>
        <w:ind w:right="1123"/>
        <w:jc w:val="left"/>
      </w:pPr>
      <w:r>
        <w:rPr>
          <w:rFonts w:ascii="Times New Roman" w:hAnsi="Times New Roman" w:cs="Times New Roman" w:eastAsia="Times New Roman" w:hint="default"/>
          <w:spacing w:val="-1"/>
        </w:rPr>
        <w:t>8.</w:t>
      </w:r>
      <w:r>
        <w:rPr>
          <w:spacing w:val="-1"/>
        </w:rPr>
        <w:t>筹资活动现金流出小计：报告期，公司筹资活动现金流出小计比去年同期增加30.77%，主要原因是报告期公司股票回购支</w:t>
      </w:r>
      <w:r>
        <w:rPr>
          <w:spacing w:val="-74"/>
        </w:rPr>
        <w:t> </w:t>
      </w:r>
      <w:r>
        <w:rPr>
          <w:spacing w:val="-74"/>
        </w:rPr>
      </w:r>
      <w:r>
        <w:rPr/>
        <w:t>付现金同比增加</w:t>
      </w:r>
      <w:r>
        <w:rPr>
          <w:rFonts w:ascii="Times New Roman" w:hAnsi="Times New Roman" w:cs="Times New Roman" w:eastAsia="Times New Roman" w:hint="default"/>
        </w:rPr>
        <w:t>4,601.04</w:t>
      </w:r>
      <w:r>
        <w:rPr/>
        <w:t>万元所致。 </w:t>
      </w:r>
      <w:r>
        <w:rPr>
          <w:rFonts w:ascii="Times New Roman" w:hAnsi="Times New Roman" w:cs="Times New Roman" w:eastAsia="Times New Roman" w:hint="default"/>
        </w:rPr>
        <w:t>9.</w:t>
      </w:r>
      <w:r>
        <w:rPr/>
        <w:t>筹资活动产生的现金流量净额：报告期，公司筹资活动产生的现金流量净额比去年同期减少</w:t>
      </w:r>
      <w:r>
        <w:rPr>
          <w:rFonts w:ascii="Times New Roman" w:hAnsi="Times New Roman" w:cs="Times New Roman" w:eastAsia="Times New Roman" w:hint="default"/>
        </w:rPr>
        <w:t>2.07</w:t>
      </w:r>
      <w:r>
        <w:rPr/>
        <w:t>亿元，主要是因为公司报</w:t>
      </w:r>
    </w:p>
    <w:p>
      <w:pPr>
        <w:pStyle w:val="BodyText"/>
        <w:spacing w:line="319" w:lineRule="auto"/>
        <w:ind w:right="0"/>
        <w:jc w:val="left"/>
      </w:pPr>
      <w:r>
        <w:rPr/>
        <w:t>告期银行借款现金流入同比减少1.60亿元；公司报告期股票回购支付现金同比增加</w:t>
      </w:r>
      <w:r>
        <w:rPr>
          <w:rFonts w:ascii="Times New Roman" w:hAnsi="Times New Roman" w:cs="Times New Roman" w:eastAsia="Times New Roman" w:hint="default"/>
        </w:rPr>
        <w:t>4,601.04</w:t>
      </w:r>
      <w:r>
        <w:rPr/>
        <w:t>万元，两者共同影响所致。 </w:t>
      </w:r>
      <w:r>
        <w:rPr>
          <w:rFonts w:ascii="Times New Roman" w:hAnsi="Times New Roman" w:cs="Times New Roman" w:eastAsia="Times New Roman" w:hint="default"/>
        </w:rPr>
        <w:t>10.</w:t>
      </w:r>
      <w:r>
        <w:rPr/>
        <w:t>现金及现金等价物净增加额：报告期，公司现金及现金等价物净增加额比去年同期增加7.96亿元，主要是因为公司报告</w:t>
      </w:r>
      <w:r>
        <w:rPr>
          <w:spacing w:val="-50"/>
        </w:rPr>
        <w:t> </w:t>
      </w:r>
      <w:r>
        <w:rPr>
          <w:spacing w:val="-50"/>
        </w:rPr>
      </w:r>
      <w:r>
        <w:rPr/>
        <w:t>期上述经营、投资、筹资活动产生的现金流量与去年同期相比发生变化，共同影响所致。</w:t>
      </w:r>
    </w:p>
    <w:p>
      <w:pPr>
        <w:pStyle w:val="BodyText"/>
        <w:spacing w:line="240" w:lineRule="auto" w:before="55"/>
        <w:ind w:right="0"/>
        <w:jc w:val="left"/>
      </w:pPr>
      <w:r>
        <w:rPr/>
        <w:t>报告期内公司经营活动产生的现金净流量与本年度净利润存在重大差异的原因说明</w:t>
      </w:r>
    </w:p>
    <w:p>
      <w:pPr>
        <w:pStyle w:val="BodyText"/>
        <w:spacing w:line="240" w:lineRule="auto" w:before="117"/>
        <w:ind w:right="0"/>
        <w:jc w:val="left"/>
      </w:pPr>
      <w:r>
        <w:rPr/>
        <w:t>√ 适用 □ 不适用</w:t>
      </w:r>
    </w:p>
    <w:p>
      <w:pPr>
        <w:pStyle w:val="BodyText"/>
        <w:spacing w:line="300" w:lineRule="auto" w:before="117"/>
        <w:ind w:right="1168"/>
        <w:jc w:val="left"/>
      </w:pPr>
      <w:r>
        <w:rPr/>
        <w:t>报告期内公司经营活动产生的现金净流量为</w:t>
      </w:r>
      <w:r>
        <w:rPr>
          <w:rFonts w:ascii="Times New Roman" w:hAnsi="Times New Roman" w:cs="Times New Roman" w:eastAsia="Times New Roman" w:hint="default"/>
        </w:rPr>
        <w:t>5.88</w:t>
      </w:r>
      <w:r>
        <w:rPr/>
        <w:t>亿元，本年度归属于母公司所有者的净利润</w:t>
      </w:r>
      <w:r>
        <w:rPr>
          <w:rFonts w:ascii="Times New Roman" w:hAnsi="Times New Roman" w:cs="Times New Roman" w:eastAsia="Times New Roman" w:hint="default"/>
        </w:rPr>
        <w:t>1.45</w:t>
      </w:r>
      <w:r>
        <w:rPr/>
        <w:t>亿元，两者的差异为</w:t>
      </w:r>
      <w:r>
        <w:rPr>
          <w:rFonts w:ascii="Times New Roman" w:hAnsi="Times New Roman" w:cs="Times New Roman" w:eastAsia="Times New Roman" w:hint="default"/>
        </w:rPr>
        <w:t>4.43</w:t>
      </w:r>
      <w:r>
        <w:rPr/>
        <w:t>亿 元。主要原因是：上年同期公司预付配套硬件采购款的特种通信物联网业务在本报告期按照合同约定交付并结算所致。</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22"/>
        <w:gridCol w:w="1915"/>
        <w:gridCol w:w="1625"/>
        <w:gridCol w:w="2251"/>
        <w:gridCol w:w="2256"/>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98" w:hRule="exact"/>
        </w:trPr>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67" w:right="0"/>
              <w:jc w:val="left"/>
              <w:rPr>
                <w:rFonts w:ascii="Times New Roman" w:hAnsi="Times New Roman" w:cs="Times New Roman" w:eastAsia="Times New Roman" w:hint="default"/>
                <w:sz w:val="18"/>
                <w:szCs w:val="18"/>
              </w:rPr>
            </w:pPr>
            <w:r>
              <w:rPr>
                <w:rFonts w:ascii="Times New Roman"/>
                <w:sz w:val="18"/>
              </w:rPr>
              <w:t>13,070,592.79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6" w:right="0"/>
              <w:jc w:val="left"/>
              <w:rPr>
                <w:rFonts w:ascii="Times New Roman" w:hAnsi="Times New Roman" w:cs="Times New Roman" w:eastAsia="Times New Roman" w:hint="default"/>
                <w:sz w:val="18"/>
                <w:szCs w:val="18"/>
              </w:rPr>
            </w:pPr>
            <w:r>
              <w:rPr>
                <w:rFonts w:ascii="Times New Roman"/>
                <w:sz w:val="18"/>
              </w:rPr>
              <w:t>8.27%</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8"/>
              <w:jc w:val="center"/>
              <w:rPr>
                <w:rFonts w:ascii="宋体" w:hAnsi="宋体" w:cs="宋体" w:eastAsia="宋体" w:hint="default"/>
                <w:sz w:val="18"/>
                <w:szCs w:val="18"/>
              </w:rPr>
            </w:pPr>
            <w:r>
              <w:rPr>
                <w:rFonts w:ascii="宋体" w:hAnsi="宋体" w:cs="宋体" w:eastAsia="宋体" w:hint="default"/>
                <w:sz w:val="18"/>
                <w:szCs w:val="18"/>
              </w:rPr>
              <w:t>权益法核算的长期股权投</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522"/>
        <w:gridCol w:w="1915"/>
        <w:gridCol w:w="1625"/>
        <w:gridCol w:w="2251"/>
        <w:gridCol w:w="2256"/>
      </w:tblGrid>
      <w:tr>
        <w:trPr>
          <w:trHeight w:val="986" w:hRule="exact"/>
        </w:trPr>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58"/>
              <w:jc w:val="both"/>
              <w:rPr>
                <w:rFonts w:ascii="宋体" w:hAnsi="宋体" w:cs="宋体" w:eastAsia="宋体" w:hint="default"/>
                <w:sz w:val="18"/>
                <w:szCs w:val="18"/>
              </w:rPr>
            </w:pPr>
            <w:r>
              <w:rPr>
                <w:rFonts w:ascii="宋体" w:hAnsi="宋体" w:cs="宋体" w:eastAsia="宋体" w:hint="default"/>
                <w:sz w:val="18"/>
                <w:szCs w:val="18"/>
              </w:rPr>
              <w:t>资收益及委托他人投资或 管理资产的投资收益等组 成</w:t>
            </w:r>
          </w:p>
        </w:tc>
        <w:tc>
          <w:tcPr>
            <w:tcW w:w="225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49"/>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5"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251"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6,425,026.28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4.07%</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61"/>
              <w:jc w:val="both"/>
              <w:rPr>
                <w:rFonts w:ascii="宋体" w:hAnsi="宋体" w:cs="宋体" w:eastAsia="宋体" w:hint="default"/>
                <w:sz w:val="18"/>
                <w:szCs w:val="18"/>
              </w:rPr>
            </w:pPr>
            <w:r>
              <w:rPr>
                <w:rFonts w:ascii="宋体" w:hAnsi="宋体" w:cs="宋体" w:eastAsia="宋体" w:hint="default"/>
                <w:sz w:val="18"/>
                <w:szCs w:val="18"/>
              </w:rPr>
              <w:t>计提存货跌价准备、计提 商誉减值准备、转回应收 款项坏账准备，共同形成</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333,326.74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0.21%</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政府奖励款等形成</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856,973.94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0.54%</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捐款捐赠等形成</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23,483,632.86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14.86%</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158"/>
              <w:jc w:val="left"/>
              <w:rPr>
                <w:rFonts w:ascii="宋体" w:hAnsi="宋体" w:cs="宋体" w:eastAsia="宋体" w:hint="default"/>
                <w:sz w:val="18"/>
                <w:szCs w:val="18"/>
              </w:rPr>
            </w:pPr>
            <w:r>
              <w:rPr>
                <w:rFonts w:ascii="宋体" w:hAnsi="宋体" w:cs="宋体" w:eastAsia="宋体" w:hint="default"/>
                <w:sz w:val="18"/>
                <w:szCs w:val="18"/>
              </w:rPr>
              <w:t>软件产品退税及科研项目 政府补助款等形成</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1"/>
              <w:jc w:val="both"/>
              <w:rPr>
                <w:rFonts w:ascii="宋体" w:hAnsi="宋体" w:cs="宋体" w:eastAsia="宋体" w:hint="default"/>
                <w:sz w:val="18"/>
                <w:szCs w:val="18"/>
              </w:rPr>
            </w:pPr>
            <w:r>
              <w:rPr>
                <w:rFonts w:ascii="宋体" w:hAnsi="宋体" w:cs="宋体" w:eastAsia="宋体" w:hint="default"/>
                <w:sz w:val="18"/>
                <w:szCs w:val="18"/>
              </w:rPr>
              <w:t>软件产品退税具有可持续 性；科研项目政府补助款 不具有可持续性</w:t>
            </w:r>
          </w:p>
        </w:tc>
      </w:tr>
      <w:tr>
        <w:trPr>
          <w:trHeight w:val="40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52,214,754.01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33.05%</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处置非流动资产形成</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164"/>
        <w:gridCol w:w="1061"/>
        <w:gridCol w:w="1195"/>
        <w:gridCol w:w="1063"/>
        <w:gridCol w:w="799"/>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343" w:right="16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345" w:right="16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报告期末，公司货币资金比年初增</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117.78%</w:t>
            </w:r>
            <w:r>
              <w:rPr>
                <w:rFonts w:ascii="宋体" w:hAnsi="宋体" w:cs="宋体" w:eastAsia="宋体" w:hint="default"/>
                <w:sz w:val="18"/>
                <w:szCs w:val="18"/>
              </w:rPr>
              <w:t>，主要是因为公司上年</w:t>
            </w:r>
          </w:p>
        </w:tc>
      </w:tr>
      <w:tr>
        <w:trPr>
          <w:trHeight w:val="931"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774,995,915.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93</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34.44%</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355,855,614.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16.27%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18.17%</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0" w:right="107"/>
              <w:jc w:val="both"/>
              <w:rPr>
                <w:rFonts w:ascii="宋体" w:hAnsi="宋体" w:cs="宋体" w:eastAsia="宋体" w:hint="default"/>
                <w:sz w:val="18"/>
                <w:szCs w:val="18"/>
              </w:rPr>
            </w:pPr>
            <w:r>
              <w:rPr>
                <w:rFonts w:ascii="宋体" w:hAnsi="宋体" w:cs="宋体" w:eastAsia="宋体" w:hint="default"/>
                <w:sz w:val="18"/>
                <w:szCs w:val="18"/>
              </w:rPr>
              <w:t>同期预付采购款的特种通信物联网 业务在报告期按照合同约定进行了 结算；报告期公司出售了北京市西</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城区月坛北街 </w:t>
            </w:r>
            <w:r>
              <w:rPr>
                <w:rFonts w:ascii="Times New Roman" w:hAnsi="Times New Roman" w:cs="Times New Roman" w:eastAsia="Times New Roman" w:hint="default"/>
                <w:sz w:val="18"/>
                <w:szCs w:val="18"/>
              </w:rPr>
              <w:t>2  </w:t>
            </w:r>
            <w:r>
              <w:rPr>
                <w:rFonts w:ascii="宋体" w:hAnsi="宋体" w:cs="宋体" w:eastAsia="宋体" w:hint="default"/>
                <w:sz w:val="18"/>
                <w:szCs w:val="18"/>
              </w:rPr>
              <w:t>号 </w:t>
            </w:r>
            <w:r>
              <w:rPr>
                <w:rFonts w:ascii="Times New Roman" w:hAnsi="Times New Roman" w:cs="Times New Roman" w:eastAsia="Times New Roman" w:hint="default"/>
                <w:sz w:val="18"/>
                <w:szCs w:val="18"/>
              </w:rPr>
              <w:t>1  </w:t>
            </w:r>
            <w:r>
              <w:rPr>
                <w:rFonts w:ascii="宋体" w:hAnsi="宋体" w:cs="宋体" w:eastAsia="宋体" w:hint="default"/>
                <w:sz w:val="18"/>
                <w:szCs w:val="18"/>
              </w:rPr>
              <w:t>幢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r>
      <w:tr>
        <w:trPr>
          <w:trHeight w:val="355"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房产，两者共同影响所致。</w:t>
            </w:r>
          </w:p>
        </w:tc>
      </w:tr>
      <w:tr>
        <w:trPr>
          <w:trHeight w:val="353"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报告期末，公司应收账款比年初减</w:t>
            </w:r>
          </w:p>
        </w:tc>
      </w:tr>
      <w:tr>
        <w:trPr>
          <w:trHeight w:val="629"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90,851,198.7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4.04%</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215,491,640.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0" w:right="103"/>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57.84%</w:t>
            </w:r>
            <w:r>
              <w:rPr>
                <w:rFonts w:ascii="宋体" w:hAnsi="宋体" w:cs="宋体" w:eastAsia="宋体" w:hint="default"/>
                <w:spacing w:val="-4"/>
                <w:sz w:val="18"/>
                <w:szCs w:val="18"/>
              </w:rPr>
              <w:t>，主要是因为公司加强了</w:t>
            </w:r>
            <w:r>
              <w:rPr>
                <w:rFonts w:ascii="宋体" w:hAnsi="宋体" w:cs="宋体" w:eastAsia="宋体" w:hint="default"/>
                <w:sz w:val="18"/>
                <w:szCs w:val="18"/>
              </w:rPr>
              <w:t> 应收账款管理，调整了销售策略，</w:t>
            </w:r>
          </w:p>
        </w:tc>
      </w:tr>
      <w:tr>
        <w:trPr>
          <w:trHeight w:val="355"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导致应收账款下降所致。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196,152,735.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162,833,035.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209,435,048.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202,599,736.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9.27%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194,067,865.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8.62%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5" w:right="0"/>
              <w:jc w:val="center"/>
              <w:rPr>
                <w:rFonts w:ascii="Times New Roman" w:hAnsi="Times New Roman" w:cs="Times New Roman" w:eastAsia="Times New Roman" w:hint="default"/>
                <w:sz w:val="18"/>
                <w:szCs w:val="18"/>
              </w:rPr>
            </w:pPr>
            <w:r>
              <w:rPr>
                <w:rFonts w:ascii="Times New Roman"/>
                <w:sz w:val="18"/>
              </w:rPr>
              <w:t>307,853,308.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14.08%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-5.46%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报告期末，公司固定资产比年初减</w:t>
            </w:r>
          </w:p>
        </w:tc>
      </w:tr>
    </w:tbl>
    <w:p>
      <w:pPr>
        <w:spacing w:after="0" w:line="240" w:lineRule="auto"/>
        <w:jc w:val="left"/>
        <w:rPr>
          <w:rFonts w:ascii="宋体" w:hAnsi="宋体" w:cs="宋体" w:eastAsia="宋体" w:hint="default"/>
          <w:sz w:val="18"/>
          <w:szCs w:val="18"/>
        </w:rPr>
        <w:sectPr>
          <w:footerReference w:type="default" r:id="rId16"/>
          <w:pgSz w:w="11910" w:h="16840"/>
          <w:pgMar w:footer="1017" w:header="905" w:top="1100" w:bottom="1200" w:left="1020" w:right="0"/>
          <w:pgNumType w:start="2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368"/>
        <w:gridCol w:w="1164"/>
        <w:gridCol w:w="1061"/>
        <w:gridCol w:w="1195"/>
        <w:gridCol w:w="1063"/>
        <w:gridCol w:w="799"/>
        <w:gridCol w:w="2918"/>
      </w:tblGrid>
      <w:tr>
        <w:trPr>
          <w:trHeight w:val="98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0"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少</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36.96%</w:t>
            </w:r>
            <w:r>
              <w:rPr>
                <w:rFonts w:ascii="宋体" w:hAnsi="宋体" w:cs="宋体" w:eastAsia="宋体" w:hint="default"/>
                <w:spacing w:val="-4"/>
                <w:sz w:val="18"/>
                <w:szCs w:val="18"/>
              </w:rPr>
              <w:t>，主要是因为报告期公司</w:t>
            </w:r>
            <w:r>
              <w:rPr>
                <w:rFonts w:ascii="宋体" w:hAnsi="宋体" w:cs="宋体" w:eastAsia="宋体" w:hint="default"/>
                <w:sz w:val="18"/>
                <w:szCs w:val="18"/>
              </w:rPr>
              <w:t> 出售了北京市西城区月坛北街</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p>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号 </w:t>
            </w:r>
            <w:r>
              <w:rPr>
                <w:rFonts w:ascii="Times New Roman" w:hAnsi="Times New Roman" w:cs="Times New Roman" w:eastAsia="Times New Roman" w:hint="default"/>
                <w:sz w:val="18"/>
                <w:szCs w:val="18"/>
              </w:rPr>
              <w:t>1  </w:t>
            </w:r>
            <w:r>
              <w:rPr>
                <w:rFonts w:ascii="宋体" w:hAnsi="宋体" w:cs="宋体" w:eastAsia="宋体" w:hint="default"/>
                <w:sz w:val="18"/>
                <w:szCs w:val="18"/>
              </w:rPr>
              <w:t>幢 </w:t>
            </w:r>
            <w:r>
              <w:rPr>
                <w:rFonts w:ascii="Times New Roman" w:hAnsi="Times New Roman" w:cs="Times New Roman" w:eastAsia="Times New Roman" w:hint="default"/>
                <w:sz w:val="18"/>
                <w:szCs w:val="18"/>
              </w:rPr>
              <w:t>3  </w:t>
            </w:r>
            <w:r>
              <w:rPr>
                <w:rFonts w:ascii="宋体" w:hAnsi="宋体" w:cs="宋体" w:eastAsia="宋体" w:hint="default"/>
                <w:sz w:val="18"/>
                <w:szCs w:val="18"/>
              </w:rPr>
              <w:t>层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房产所致。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83,812,641.0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0" w:right="107"/>
              <w:jc w:val="both"/>
              <w:rPr>
                <w:rFonts w:ascii="宋体" w:hAnsi="宋体" w:cs="宋体" w:eastAsia="宋体" w:hint="default"/>
                <w:sz w:val="18"/>
                <w:szCs w:val="18"/>
              </w:rPr>
            </w:pPr>
            <w:r>
              <w:rPr>
                <w:rFonts w:ascii="宋体" w:hAnsi="宋体" w:cs="宋体" w:eastAsia="宋体" w:hint="default"/>
                <w:sz w:val="18"/>
                <w:szCs w:val="18"/>
              </w:rPr>
              <w:t>报告期末，公司短期借款比年初减 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8,381.26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万元，主要是因为报告 期公司归还银行贷款所致。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报告期末，公司应收票据比年初减</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51,820.94</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2,750,838.58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0.13%</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-0.13%</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0" w:right="103"/>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98.12%</w:t>
            </w:r>
            <w:r>
              <w:rPr>
                <w:rFonts w:ascii="宋体" w:hAnsi="宋体" w:cs="宋体" w:eastAsia="宋体" w:hint="default"/>
                <w:spacing w:val="-4"/>
                <w:sz w:val="18"/>
                <w:szCs w:val="18"/>
              </w:rPr>
              <w:t>，是因为报告期公司以银</w:t>
            </w:r>
            <w:r>
              <w:rPr>
                <w:rFonts w:ascii="宋体" w:hAnsi="宋体" w:cs="宋体" w:eastAsia="宋体" w:hint="default"/>
                <w:sz w:val="18"/>
                <w:szCs w:val="18"/>
              </w:rPr>
              <w:t> 行承兑汇票结算的销售业务减少所</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报告期末，公司预付款项比年初减</w:t>
            </w:r>
          </w:p>
        </w:tc>
      </w:tr>
      <w:tr>
        <w:trPr>
          <w:trHeight w:val="93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308,783,403.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76</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13.72%</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609,917,046.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27.89%</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0" w:right="103"/>
              <w:jc w:val="both"/>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49.37%</w:t>
            </w:r>
            <w:r>
              <w:rPr>
                <w:rFonts w:ascii="宋体" w:hAnsi="宋体" w:cs="宋体" w:eastAsia="宋体" w:hint="default"/>
                <w:spacing w:val="-4"/>
                <w:sz w:val="18"/>
                <w:szCs w:val="18"/>
              </w:rPr>
              <w:t>，主要是因为报告期公司</w:t>
            </w:r>
            <w:r>
              <w:rPr>
                <w:rFonts w:ascii="宋体" w:hAnsi="宋体" w:cs="宋体" w:eastAsia="宋体" w:hint="default"/>
                <w:sz w:val="18"/>
                <w:szCs w:val="18"/>
              </w:rPr>
              <w:t> 按照合同约定交付并结算的特种通 信物联网业务结算额超过报告期该</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业务的预付额所致。</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报告期末，公司其他流动资产比年</w:t>
            </w:r>
          </w:p>
        </w:tc>
      </w:tr>
      <w:tr>
        <w:trPr>
          <w:trHeight w:val="628"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238,961,910.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72</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10.62%</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67,987,669.5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3.11%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0" w:right="107"/>
              <w:jc w:val="left"/>
              <w:rPr>
                <w:rFonts w:ascii="宋体" w:hAnsi="宋体" w:cs="宋体" w:eastAsia="宋体" w:hint="default"/>
                <w:sz w:val="18"/>
                <w:szCs w:val="18"/>
              </w:rPr>
            </w:pPr>
            <w:r>
              <w:rPr>
                <w:rFonts w:ascii="宋体" w:hAnsi="宋体" w:cs="宋体" w:eastAsia="宋体" w:hint="default"/>
                <w:sz w:val="18"/>
                <w:szCs w:val="18"/>
              </w:rPr>
              <w:t>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251.48%</w:t>
            </w:r>
            <w:r>
              <w:rPr>
                <w:rFonts w:ascii="宋体" w:hAnsi="宋体" w:cs="宋体" w:eastAsia="宋体" w:hint="default"/>
                <w:sz w:val="18"/>
                <w:szCs w:val="18"/>
              </w:rPr>
              <w:t>，主要是因为报告 期末公司持有的银行理财产品比年</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初增加所致。</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报告期末，公司长期待摊费用比年</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2,701,349.54</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0.12%</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1,356,885.56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0.06%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初增加</w:t>
            </w:r>
            <w:r>
              <w:rPr>
                <w:rFonts w:ascii="宋体" w:hAnsi="宋体" w:cs="宋体" w:eastAsia="宋体" w:hint="default"/>
                <w:spacing w:val="-32"/>
                <w:sz w:val="18"/>
                <w:szCs w:val="18"/>
              </w:rPr>
              <w:t> </w:t>
            </w:r>
            <w:r>
              <w:rPr>
                <w:rFonts w:ascii="Times New Roman" w:hAnsi="Times New Roman" w:cs="Times New Roman" w:eastAsia="Times New Roman" w:hint="default"/>
                <w:spacing w:val="-5"/>
                <w:sz w:val="18"/>
                <w:szCs w:val="18"/>
              </w:rPr>
              <w:t>99.08%</w:t>
            </w:r>
            <w:r>
              <w:rPr>
                <w:rFonts w:ascii="宋体" w:hAnsi="宋体" w:cs="宋体" w:eastAsia="宋体" w:hint="default"/>
                <w:spacing w:val="-5"/>
                <w:sz w:val="18"/>
                <w:szCs w:val="18"/>
              </w:rPr>
              <w:t>，主要是因为报告期</w:t>
            </w:r>
          </w:p>
        </w:tc>
      </w:tr>
      <w:tr>
        <w:trPr>
          <w:trHeight w:val="355"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公司车间改造费用增加所致。</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报告期末，公司应付票据及应付账</w:t>
            </w:r>
          </w:p>
        </w:tc>
      </w:tr>
      <w:tr>
        <w:trPr>
          <w:trHeight w:val="93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0" w:right="175"/>
              <w:jc w:val="left"/>
              <w:rPr>
                <w:rFonts w:ascii="宋体" w:hAnsi="宋体" w:cs="宋体" w:eastAsia="宋体" w:hint="default"/>
                <w:sz w:val="18"/>
                <w:szCs w:val="18"/>
              </w:rPr>
            </w:pPr>
            <w:r>
              <w:rPr>
                <w:rFonts w:ascii="宋体" w:hAnsi="宋体" w:cs="宋体" w:eastAsia="宋体" w:hint="default"/>
                <w:sz w:val="18"/>
                <w:szCs w:val="18"/>
              </w:rPr>
              <w:t>应付票据及应 付账款</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179,104,736.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62</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7.96%</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96,091,087.9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4.39%</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z w:val="18"/>
              </w:rPr>
              <w:t>3.57%</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0" w:right="103"/>
              <w:jc w:val="both"/>
              <w:rPr>
                <w:rFonts w:ascii="宋体" w:hAnsi="宋体" w:cs="宋体" w:eastAsia="宋体" w:hint="default"/>
                <w:sz w:val="18"/>
                <w:szCs w:val="18"/>
              </w:rPr>
            </w:pPr>
            <w:r>
              <w:rPr>
                <w:rFonts w:ascii="宋体" w:hAnsi="宋体" w:cs="宋体" w:eastAsia="宋体" w:hint="default"/>
                <w:sz w:val="18"/>
                <w:szCs w:val="18"/>
              </w:rPr>
              <w:t>款比年初增加</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86.39%</w:t>
            </w:r>
            <w:r>
              <w:rPr>
                <w:rFonts w:ascii="宋体" w:hAnsi="宋体" w:cs="宋体" w:eastAsia="宋体" w:hint="default"/>
                <w:spacing w:val="-6"/>
                <w:sz w:val="18"/>
                <w:szCs w:val="18"/>
              </w:rPr>
              <w:t>，主要是因为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报告期公司调整了采购结算方式， 增加了远期信用证、赊购比例和账</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期所致。</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报告期末，公司预收款项比年初减</w:t>
            </w:r>
          </w:p>
        </w:tc>
      </w:tr>
      <w:tr>
        <w:trPr>
          <w:trHeight w:val="93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43,438,836.0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pacing w:val="-1"/>
                <w:sz w:val="18"/>
              </w:rPr>
              <w:t>1.93%</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73,766,771.6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z w:val="18"/>
              </w:rPr>
              <w:t>3.37%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-1.44%</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0" w:right="103"/>
              <w:jc w:val="both"/>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41.11%</w:t>
            </w:r>
            <w:r>
              <w:rPr>
                <w:rFonts w:ascii="宋体" w:hAnsi="宋体" w:cs="宋体" w:eastAsia="宋体" w:hint="default"/>
                <w:spacing w:val="-4"/>
                <w:sz w:val="18"/>
                <w:szCs w:val="18"/>
              </w:rPr>
              <w:t>，主要是因为报告期公司</w:t>
            </w:r>
            <w:r>
              <w:rPr>
                <w:rFonts w:ascii="宋体" w:hAnsi="宋体" w:cs="宋体" w:eastAsia="宋体" w:hint="default"/>
                <w:sz w:val="18"/>
                <w:szCs w:val="18"/>
              </w:rPr>
              <w:t> 按照合同约定交付并结算的特种通 信物联网业务结算额超过报告期该</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业务的新接订单额所致。</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报告期末，公司应交税费比年初减</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6,323,848.64</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0.28%</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9,762,441.01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0" w:right="103"/>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35.22%</w:t>
            </w:r>
            <w:r>
              <w:rPr>
                <w:rFonts w:ascii="宋体" w:hAnsi="宋体" w:cs="宋体" w:eastAsia="宋体" w:hint="default"/>
                <w:spacing w:val="-4"/>
                <w:sz w:val="18"/>
                <w:szCs w:val="18"/>
              </w:rPr>
              <w:t>，主要是因为报告期末公</w:t>
            </w:r>
            <w:r>
              <w:rPr>
                <w:rFonts w:ascii="宋体" w:hAnsi="宋体" w:cs="宋体" w:eastAsia="宋体" w:hint="default"/>
                <w:sz w:val="18"/>
                <w:szCs w:val="18"/>
              </w:rPr>
              <w:t> 司按照规定计提的企业所得税和增</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值税比期初减少所致。</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报告期末，公司递延收益比年初减</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1,693,776.25</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0.08%</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2,559,821.25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0.12%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33.83%</w:t>
            </w:r>
            <w:r>
              <w:rPr>
                <w:rFonts w:ascii="宋体" w:hAnsi="宋体" w:cs="宋体" w:eastAsia="宋体" w:hint="default"/>
                <w:spacing w:val="-4"/>
                <w:sz w:val="18"/>
                <w:szCs w:val="18"/>
              </w:rPr>
              <w:t>，主要是因为报告期公司</w:t>
            </w:r>
          </w:p>
        </w:tc>
      </w:tr>
      <w:tr>
        <w:trPr>
          <w:trHeight w:val="353"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按期结转政府研发项目补贴所致。</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368"/>
        <w:gridCol w:w="1164"/>
        <w:gridCol w:w="1061"/>
        <w:gridCol w:w="1195"/>
        <w:gridCol w:w="1063"/>
        <w:gridCol w:w="799"/>
        <w:gridCol w:w="2918"/>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46,010,428.7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0" w:right="107"/>
              <w:jc w:val="both"/>
              <w:rPr>
                <w:rFonts w:ascii="宋体" w:hAnsi="宋体" w:cs="宋体" w:eastAsia="宋体" w:hint="default"/>
                <w:sz w:val="18"/>
                <w:szCs w:val="18"/>
              </w:rPr>
            </w:pPr>
            <w:r>
              <w:rPr>
                <w:rFonts w:ascii="宋体" w:hAnsi="宋体" w:cs="宋体" w:eastAsia="宋体" w:hint="default"/>
                <w:sz w:val="18"/>
                <w:szCs w:val="18"/>
              </w:rPr>
              <w:t>报告期末，公司库存股比年初增加 </w:t>
            </w:r>
            <w:r>
              <w:rPr>
                <w:rFonts w:ascii="Times New Roman" w:hAnsi="Times New Roman" w:cs="Times New Roman" w:eastAsia="Times New Roman" w:hint="default"/>
                <w:sz w:val="18"/>
                <w:szCs w:val="18"/>
              </w:rPr>
              <w:t>4,601.04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万元，主要是因为报告期 公司回购股票所致。</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报告期末，其他综合收益比年初增</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1,358,868.21</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0.06%</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6" w:right="0"/>
              <w:jc w:val="left"/>
              <w:rPr>
                <w:rFonts w:ascii="Times New Roman" w:hAnsi="Times New Roman" w:cs="Times New Roman" w:eastAsia="Times New Roman" w:hint="default"/>
                <w:sz w:val="18"/>
                <w:szCs w:val="18"/>
              </w:rPr>
            </w:pPr>
            <w:r>
              <w:rPr>
                <w:rFonts w:ascii="Times New Roman"/>
                <w:sz w:val="18"/>
              </w:rPr>
              <w:t>1,022,786.65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0.05%</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32.86%</w:t>
            </w:r>
            <w:r>
              <w:rPr>
                <w:rFonts w:ascii="宋体" w:hAnsi="宋体" w:cs="宋体" w:eastAsia="宋体" w:hint="default"/>
                <w:spacing w:val="-4"/>
                <w:sz w:val="18"/>
                <w:szCs w:val="18"/>
              </w:rPr>
              <w:t>，主要是因为报告期汇率</w:t>
            </w:r>
          </w:p>
        </w:tc>
      </w:tr>
      <w:tr>
        <w:trPr>
          <w:trHeight w:val="353"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变动影响所致。</w:t>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4"/>
        <w:ind w:right="0"/>
        <w:jc w:val="both"/>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9"/>
        <w:jc w:val="both"/>
      </w:pPr>
      <w:r>
        <w:rPr/>
        <w:t>（1）公司以其所有的座落于北京西城区金融大街的不动产为抵押，向中国农业银行股份有限公司丹阳支行取得2.06亿元人 民币授信。截止期末，上述抵押物账面原值为人民币 43,690,478.23 元，账面价值为人民币33,781,706.11</w:t>
      </w:r>
      <w:r>
        <w:rPr>
          <w:spacing w:val="-11"/>
        </w:rPr>
        <w:t> </w:t>
      </w:r>
      <w:r>
        <w:rPr/>
        <w:t>元。授信额度</w:t>
      </w:r>
      <w:r>
        <w:rPr/>
        <w:t> 用于开具信用证、短期流动资金贷款。</w:t>
      </w:r>
    </w:p>
    <w:p>
      <w:pPr>
        <w:pStyle w:val="BodyText"/>
        <w:spacing w:line="316" w:lineRule="auto" w:before="57"/>
        <w:ind w:right="1139"/>
        <w:jc w:val="both"/>
      </w:pPr>
      <w:r>
        <w:rPr/>
        <w:t>（2）公司以其所有的座落于丹阳市云阳镇横塘化工路、横塘工业园、云阳镇东马场的不动产为抵押物及钱京的个人保证， 向中国银行股份有限公司丹阳支行取得2.4亿元人民币授信。截止期末，上述抵押物账面原值为人民币136,897,927.16元， 账面价值为人民币 65,388,563.34</w:t>
      </w:r>
      <w:r>
        <w:rPr>
          <w:spacing w:val="-5"/>
        </w:rPr>
        <w:t> </w:t>
      </w:r>
      <w:r>
        <w:rPr/>
        <w:t>元。授信额度用于开具信用证。</w:t>
      </w:r>
    </w:p>
    <w:p>
      <w:pPr>
        <w:pStyle w:val="BodyText"/>
        <w:spacing w:line="240" w:lineRule="auto" w:before="59"/>
        <w:ind w:right="0"/>
        <w:jc w:val="both"/>
      </w:pPr>
      <w:r>
        <w:rPr/>
        <w:t>（3）公司以结构性存款8000万元为质押，用于光大银行股份有限公司南京分行江北支行向供应商开具信用证。</w:t>
      </w:r>
    </w:p>
    <w:p>
      <w:pPr>
        <w:pStyle w:val="BodyText"/>
        <w:spacing w:line="316" w:lineRule="auto" w:before="117"/>
        <w:ind w:right="1123"/>
        <w:jc w:val="left"/>
      </w:pPr>
      <w:r>
        <w:rPr/>
        <w:t>（4）公司银行存款3,945,311.42元为质押，用于中国银行股份有限公司丹阳支行、中国农业银行股份有限公司丹阳支行向 客户开具保函。</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公司报告期无募集资金使用情况。</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634"/>
        <w:gridCol w:w="636"/>
        <w:gridCol w:w="638"/>
        <w:gridCol w:w="636"/>
        <w:gridCol w:w="641"/>
        <w:gridCol w:w="638"/>
        <w:gridCol w:w="638"/>
        <w:gridCol w:w="638"/>
        <w:gridCol w:w="638"/>
        <w:gridCol w:w="641"/>
        <w:gridCol w:w="638"/>
        <w:gridCol w:w="638"/>
        <w:gridCol w:w="638"/>
        <w:gridCol w:w="638"/>
        <w:gridCol w:w="638"/>
      </w:tblGrid>
      <w:tr>
        <w:trPr>
          <w:trHeight w:val="355" w:hRule="exact"/>
        </w:trPr>
        <w:tc>
          <w:tcPr>
            <w:tcW w:w="634"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634" w:type="dxa"/>
            <w:tcBorders>
              <w:top w:val="nil" w:sz="6" w:space="0" w:color="auto"/>
              <w:left w:val="single" w:sz="4" w:space="0" w:color="000000"/>
              <w:bottom w:val="nil" w:sz="6" w:space="0" w:color="auto"/>
              <w:right w:val="single" w:sz="4" w:space="0" w:color="000000"/>
            </w:tcBorders>
            <w:shd w:val="clear" w:color="auto" w:fill="D3D3D3"/>
          </w:tcPr>
          <w:p>
            <w:pPr/>
          </w:p>
        </w:tc>
        <w:tc>
          <w:tcPr>
            <w:tcW w:w="636"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6"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32" w:right="0"/>
              <w:jc w:val="left"/>
              <w:rPr>
                <w:rFonts w:ascii="宋体" w:hAnsi="宋体" w:cs="宋体" w:eastAsia="宋体" w:hint="default"/>
                <w:sz w:val="18"/>
                <w:szCs w:val="18"/>
              </w:rPr>
            </w:pPr>
            <w:r>
              <w:rPr>
                <w:rFonts w:ascii="宋体" w:hAnsi="宋体" w:cs="宋体" w:eastAsia="宋体" w:hint="default"/>
                <w:sz w:val="18"/>
                <w:szCs w:val="18"/>
              </w:rPr>
              <w:t>按计</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4056" w:hRule="exact"/>
        </w:trPr>
        <w:tc>
          <w:tcPr>
            <w:tcW w:w="6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9" w:lineRule="auto"/>
              <w:ind w:left="129" w:right="132"/>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7"/>
              <w:ind w:left="132" w:right="132"/>
              <w:jc w:val="both"/>
              <w:rPr>
                <w:rFonts w:ascii="宋体" w:hAnsi="宋体" w:cs="宋体" w:eastAsia="宋体" w:hint="default"/>
                <w:sz w:val="18"/>
                <w:szCs w:val="18"/>
              </w:rPr>
            </w:pPr>
            <w:r>
              <w:rPr>
                <w:rFonts w:ascii="宋体" w:hAnsi="宋体" w:cs="宋体" w:eastAsia="宋体" w:hint="default"/>
                <w:sz w:val="18"/>
                <w:szCs w:val="18"/>
              </w:rPr>
              <w:t>被出 售资 产</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9" w:lineRule="auto"/>
              <w:ind w:left="223" w:right="132" w:hanging="89"/>
              <w:jc w:val="left"/>
              <w:rPr>
                <w:rFonts w:ascii="宋体" w:hAnsi="宋体" w:cs="宋体" w:eastAsia="宋体" w:hint="default"/>
                <w:sz w:val="18"/>
                <w:szCs w:val="18"/>
              </w:rPr>
            </w:pPr>
            <w:r>
              <w:rPr>
                <w:rFonts w:ascii="宋体" w:hAnsi="宋体" w:cs="宋体" w:eastAsia="宋体" w:hint="default"/>
                <w:sz w:val="18"/>
                <w:szCs w:val="18"/>
              </w:rPr>
              <w:t>出售 日</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132" w:right="132"/>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132" w:right="132"/>
              <w:jc w:val="left"/>
              <w:rPr>
                <w:rFonts w:ascii="宋体" w:hAnsi="宋体" w:cs="宋体" w:eastAsia="宋体" w:hint="default"/>
                <w:sz w:val="18"/>
                <w:szCs w:val="18"/>
              </w:rPr>
            </w:pPr>
            <w:r>
              <w:rPr>
                <w:rFonts w:ascii="宋体" w:hAnsi="宋体" w:cs="宋体" w:eastAsia="宋体" w:hint="default"/>
                <w:sz w:val="18"/>
                <w:szCs w:val="18"/>
              </w:rPr>
              <w:t>（万 元）</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34" w:right="134"/>
              <w:jc w:val="both"/>
              <w:rPr>
                <w:rFonts w:ascii="宋体" w:hAnsi="宋体" w:cs="宋体" w:eastAsia="宋体" w:hint="default"/>
                <w:sz w:val="18"/>
                <w:szCs w:val="18"/>
              </w:rPr>
            </w:pPr>
            <w:r>
              <w:rPr>
                <w:rFonts w:ascii="宋体" w:hAnsi="宋体" w:cs="宋体" w:eastAsia="宋体" w:hint="default"/>
                <w:sz w:val="18"/>
                <w:szCs w:val="18"/>
              </w:rPr>
              <w:t>本期 初起 至出 售日 该资 产为 上市 公司 贡献 的净 利润</w:t>
            </w:r>
          </w:p>
          <w:p>
            <w:pPr>
              <w:pStyle w:val="TableParagraph"/>
              <w:spacing w:line="316" w:lineRule="auto" w:before="19"/>
              <w:ind w:left="134" w:right="134"/>
              <w:jc w:val="both"/>
              <w:rPr>
                <w:rFonts w:ascii="宋体" w:hAnsi="宋体" w:cs="宋体" w:eastAsia="宋体" w:hint="default"/>
                <w:sz w:val="18"/>
                <w:szCs w:val="18"/>
              </w:rPr>
            </w:pPr>
            <w:r>
              <w:rPr>
                <w:rFonts w:ascii="宋体" w:hAnsi="宋体" w:cs="宋体" w:eastAsia="宋体" w:hint="default"/>
                <w:sz w:val="18"/>
                <w:szCs w:val="18"/>
              </w:rPr>
              <w:t>（万 元）</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32" w:right="134"/>
              <w:jc w:val="both"/>
              <w:rPr>
                <w:rFonts w:ascii="宋体" w:hAnsi="宋体" w:cs="宋体" w:eastAsia="宋体" w:hint="default"/>
                <w:sz w:val="18"/>
                <w:szCs w:val="18"/>
              </w:rPr>
            </w:pPr>
            <w:r>
              <w:rPr>
                <w:rFonts w:ascii="宋体" w:hAnsi="宋体" w:cs="宋体" w:eastAsia="宋体" w:hint="default"/>
                <w:sz w:val="18"/>
                <w:szCs w:val="18"/>
              </w:rPr>
              <w:t>出售 对公 司的 影响</w:t>
            </w:r>
          </w:p>
          <w:p>
            <w:pPr>
              <w:pStyle w:val="TableParagraph"/>
              <w:spacing w:line="240" w:lineRule="auto" w:before="18"/>
              <w:ind w:left="132" w:right="0"/>
              <w:jc w:val="both"/>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6"/>
              <w:ind w:left="17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32" w:right="134"/>
              <w:jc w:val="both"/>
              <w:rPr>
                <w:rFonts w:ascii="宋体" w:hAnsi="宋体" w:cs="宋体" w:eastAsia="宋体" w:hint="default"/>
                <w:sz w:val="18"/>
                <w:szCs w:val="18"/>
              </w:rPr>
            </w:pPr>
            <w:r>
              <w:rPr>
                <w:rFonts w:ascii="宋体" w:hAnsi="宋体" w:cs="宋体" w:eastAsia="宋体" w:hint="default"/>
                <w:sz w:val="18"/>
                <w:szCs w:val="18"/>
              </w:rPr>
              <w:t>资产 出售 为上 市公 司贡 献的 净利 润占 净利 润总 额的 比例</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34" w:right="134"/>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p>
            <w:pPr>
              <w:pStyle w:val="TableParagraph"/>
              <w:spacing w:line="316" w:lineRule="auto" w:before="19"/>
              <w:ind w:left="134" w:right="134"/>
              <w:jc w:val="both"/>
              <w:rPr>
                <w:rFonts w:ascii="宋体" w:hAnsi="宋体" w:cs="宋体" w:eastAsia="宋体" w:hint="default"/>
                <w:sz w:val="18"/>
                <w:szCs w:val="18"/>
              </w:rPr>
            </w:pPr>
            <w:r>
              <w:rPr>
                <w:rFonts w:ascii="宋体" w:hAnsi="宋体" w:cs="宋体" w:eastAsia="宋体" w:hint="default"/>
                <w:sz w:val="18"/>
                <w:szCs w:val="18"/>
              </w:rPr>
              <w:t>（适 用关 联交 易情 形）</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32" w:right="134"/>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31" w:right="134"/>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32" w:right="134"/>
              <w:jc w:val="both"/>
              <w:rPr>
                <w:rFonts w:ascii="宋体" w:hAnsi="宋体" w:cs="宋体" w:eastAsia="宋体" w:hint="default"/>
                <w:sz w:val="18"/>
                <w:szCs w:val="18"/>
              </w:rPr>
            </w:pPr>
            <w:r>
              <w:rPr>
                <w:rFonts w:ascii="宋体" w:hAnsi="宋体" w:cs="宋体" w:eastAsia="宋体" w:hint="default"/>
                <w:sz w:val="18"/>
                <w:szCs w:val="18"/>
              </w:rPr>
              <w:t>划如 期实 施， 如未 按计 划实 施， 应当 说明 原因 及公 司已 采取</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9" w:lineRule="auto"/>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9" w:lineRule="auto"/>
              <w:ind w:left="131" w:right="134"/>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shd w:val="clear" w:color="auto" w:fill="D3D3D3"/>
          </w:tcPr>
          <w:p>
            <w:pPr/>
          </w:p>
        </w:tc>
        <w:tc>
          <w:tcPr>
            <w:tcW w:w="636"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6"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41"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32" w:right="0"/>
              <w:jc w:val="left"/>
              <w:rPr>
                <w:rFonts w:ascii="宋体" w:hAnsi="宋体" w:cs="宋体" w:eastAsia="宋体" w:hint="default"/>
                <w:sz w:val="18"/>
                <w:szCs w:val="18"/>
              </w:rPr>
            </w:pPr>
            <w:r>
              <w:rPr>
                <w:rFonts w:ascii="宋体" w:hAnsi="宋体" w:cs="宋体" w:eastAsia="宋体" w:hint="default"/>
                <w:sz w:val="18"/>
                <w:szCs w:val="18"/>
              </w:rPr>
              <w:t>的措</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c>
          <w:tcPr>
            <w:tcW w:w="63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60" w:hRule="exact"/>
        </w:trPr>
        <w:tc>
          <w:tcPr>
            <w:tcW w:w="634"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施</w:t>
            </w: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3" w:hRule="exact"/>
        </w:trPr>
        <w:tc>
          <w:tcPr>
            <w:tcW w:w="634"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本次</w:t>
            </w: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详见</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w:t>
            </w:r>
          </w:p>
        </w:tc>
      </w:tr>
      <w:tr>
        <w:trPr>
          <w:trHeight w:val="317"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2018</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有利</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于公</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r>
      <w:tr>
        <w:trPr>
          <w:trHeight w:val="297"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司盘</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日和</w:t>
            </w:r>
          </w:p>
        </w:tc>
      </w:tr>
      <w:tr>
        <w:trPr>
          <w:trHeight w:val="317" w:hRule="exact"/>
        </w:trPr>
        <w:tc>
          <w:tcPr>
            <w:tcW w:w="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60"/>
              <w:jc w:val="center"/>
              <w:rPr>
                <w:rFonts w:ascii="宋体" w:hAnsi="宋体" w:cs="宋体" w:eastAsia="宋体" w:hint="default"/>
                <w:sz w:val="18"/>
                <w:szCs w:val="18"/>
              </w:rPr>
            </w:pPr>
            <w:r>
              <w:rPr>
                <w:rFonts w:ascii="宋体" w:hAnsi="宋体" w:cs="宋体" w:eastAsia="宋体" w:hint="default"/>
                <w:sz w:val="18"/>
                <w:szCs w:val="18"/>
              </w:rPr>
              <w:t>北京</w:t>
            </w: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活现</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2018</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60"/>
              <w:jc w:val="center"/>
              <w:rPr>
                <w:rFonts w:ascii="宋体" w:hAnsi="宋体" w:cs="宋体" w:eastAsia="宋体" w:hint="default"/>
                <w:sz w:val="18"/>
                <w:szCs w:val="18"/>
              </w:rPr>
            </w:pPr>
            <w:r>
              <w:rPr>
                <w:rFonts w:ascii="宋体" w:hAnsi="宋体" w:cs="宋体" w:eastAsia="宋体" w:hint="default"/>
                <w:sz w:val="18"/>
                <w:szCs w:val="18"/>
              </w:rPr>
              <w:t>勤立</w:t>
            </w: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18"/>
                <w:szCs w:val="18"/>
              </w:rPr>
            </w:pPr>
            <w:r>
              <w:rPr>
                <w:rFonts w:ascii="Times New Roman"/>
                <w:sz w:val="18"/>
              </w:rPr>
              <w:t>2018</w:t>
            </w: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有资</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0" w:right="0"/>
              <w:jc w:val="left"/>
              <w:rPr>
                <w:rFonts w:ascii="宋体" w:hAnsi="宋体" w:cs="宋体" w:eastAsia="宋体" w:hint="default"/>
                <w:sz w:val="18"/>
                <w:szCs w:val="18"/>
              </w:rPr>
            </w:pPr>
            <w:r>
              <w:rPr>
                <w:rFonts w:ascii="宋体" w:hAnsi="宋体" w:cs="宋体" w:eastAsia="宋体" w:hint="default"/>
                <w:sz w:val="18"/>
                <w:szCs w:val="18"/>
              </w:rPr>
              <w:t>参照</w:t>
            </w: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18"/>
                <w:szCs w:val="18"/>
              </w:rPr>
            </w:pPr>
            <w:r>
              <w:rPr>
                <w:rFonts w:ascii="Times New Roman"/>
                <w:sz w:val="18"/>
              </w:rPr>
              <w:t>2018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619" w:hRule="exact"/>
        </w:trPr>
        <w:tc>
          <w:tcPr>
            <w:tcW w:w="63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0" w:right="161"/>
              <w:jc w:val="left"/>
              <w:rPr>
                <w:rFonts w:ascii="宋体" w:hAnsi="宋体" w:cs="宋体" w:eastAsia="宋体" w:hint="default"/>
                <w:sz w:val="18"/>
                <w:szCs w:val="18"/>
              </w:rPr>
            </w:pPr>
            <w:r>
              <w:rPr>
                <w:rFonts w:ascii="宋体" w:hAnsi="宋体" w:cs="宋体" w:eastAsia="宋体" w:hint="default"/>
                <w:sz w:val="18"/>
                <w:szCs w:val="18"/>
              </w:rPr>
              <w:t>企业 管理</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20" w:right="0"/>
              <w:jc w:val="center"/>
              <w:rPr>
                <w:rFonts w:ascii="Times New Roman" w:hAnsi="Times New Roman" w:cs="Times New Roman" w:eastAsia="Times New Roman" w:hint="default"/>
                <w:sz w:val="18"/>
                <w:szCs w:val="18"/>
              </w:rPr>
            </w:pPr>
            <w:r>
              <w:rPr>
                <w:rFonts w:ascii="Times New Roman"/>
                <w:sz w:val="18"/>
              </w:rPr>
              <w:t>5,205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9" w:lineRule="auto" w:before="15"/>
              <w:ind w:left="103" w:right="163"/>
              <w:jc w:val="left"/>
              <w:rPr>
                <w:rFonts w:ascii="宋体" w:hAnsi="宋体" w:cs="宋体" w:eastAsia="宋体" w:hint="default"/>
                <w:sz w:val="18"/>
                <w:szCs w:val="18"/>
              </w:rPr>
            </w:pPr>
            <w:r>
              <w:rPr>
                <w:rFonts w:ascii="宋体" w:hAnsi="宋体" w:cs="宋体" w:eastAsia="宋体" w:hint="default"/>
                <w:sz w:val="18"/>
                <w:szCs w:val="18"/>
              </w:rPr>
              <w:t>产， 符合</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17" w:right="0"/>
              <w:jc w:val="left"/>
              <w:rPr>
                <w:rFonts w:ascii="Times New Roman" w:hAnsi="Times New Roman" w:cs="Times New Roman" w:eastAsia="Times New Roman" w:hint="default"/>
                <w:sz w:val="18"/>
                <w:szCs w:val="18"/>
              </w:rPr>
            </w:pPr>
            <w:r>
              <w:rPr>
                <w:rFonts w:ascii="Times New Roman"/>
                <w:sz w:val="18"/>
              </w:rPr>
              <w:t>35.78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0" w:right="167"/>
              <w:jc w:val="left"/>
              <w:rPr>
                <w:rFonts w:ascii="宋体" w:hAnsi="宋体" w:cs="宋体" w:eastAsia="宋体" w:hint="default"/>
                <w:sz w:val="18"/>
                <w:szCs w:val="18"/>
              </w:rPr>
            </w:pPr>
            <w:r>
              <w:rPr>
                <w:rFonts w:ascii="宋体" w:hAnsi="宋体" w:cs="宋体" w:eastAsia="宋体" w:hint="default"/>
                <w:sz w:val="18"/>
                <w:szCs w:val="18"/>
              </w:rPr>
              <w:t>评估 价确</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165"/>
              <w:jc w:val="left"/>
              <w:rPr>
                <w:rFonts w:ascii="宋体" w:hAnsi="宋体" w:cs="宋体" w:eastAsia="宋体" w:hint="default"/>
                <w:sz w:val="18"/>
                <w:szCs w:val="18"/>
              </w:rPr>
            </w:pPr>
            <w:r>
              <w:rPr>
                <w:rFonts w:ascii="宋体" w:hAnsi="宋体" w:cs="宋体" w:eastAsia="宋体" w:hint="default"/>
                <w:sz w:val="18"/>
                <w:szCs w:val="18"/>
              </w:rPr>
              <w:t>不适 用</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日刊</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有限</w:t>
            </w: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定</w:t>
            </w: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登在</w:t>
            </w:r>
          </w:p>
        </w:tc>
      </w:tr>
      <w:tr>
        <w:trPr>
          <w:trHeight w:val="322" w:hRule="exact"/>
        </w:trPr>
        <w:tc>
          <w:tcPr>
            <w:tcW w:w="6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60"/>
              <w:jc w:val="center"/>
              <w:rPr>
                <w:rFonts w:ascii="宋体" w:hAnsi="宋体" w:cs="宋体" w:eastAsia="宋体" w:hint="default"/>
                <w:sz w:val="18"/>
                <w:szCs w:val="18"/>
              </w:rPr>
            </w:pPr>
            <w:r>
              <w:rPr>
                <w:rFonts w:ascii="宋体" w:hAnsi="宋体" w:cs="宋体" w:eastAsia="宋体" w:hint="default"/>
                <w:sz w:val="18"/>
                <w:szCs w:val="18"/>
              </w:rPr>
              <w:t>公司</w:t>
            </w: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战略</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《上</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海证</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划。</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券</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本次</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预计</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国证</w:t>
            </w:r>
          </w:p>
        </w:tc>
      </w:tr>
      <w:tr>
        <w:trPr>
          <w:trHeight w:val="312" w:hRule="exact"/>
        </w:trPr>
        <w:tc>
          <w:tcPr>
            <w:tcW w:w="63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将形</w:t>
            </w: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券</w:t>
            </w:r>
          </w:p>
        </w:tc>
      </w:tr>
      <w:tr>
        <w:trPr>
          <w:trHeight w:val="329" w:hRule="exact"/>
        </w:trPr>
        <w:tc>
          <w:tcPr>
            <w:tcW w:w="634"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成资</w:t>
            </w: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634"/>
        <w:gridCol w:w="636"/>
        <w:gridCol w:w="638"/>
        <w:gridCol w:w="636"/>
        <w:gridCol w:w="641"/>
        <w:gridCol w:w="638"/>
        <w:gridCol w:w="638"/>
        <w:gridCol w:w="638"/>
        <w:gridCol w:w="638"/>
        <w:gridCol w:w="641"/>
        <w:gridCol w:w="638"/>
        <w:gridCol w:w="638"/>
        <w:gridCol w:w="638"/>
        <w:gridCol w:w="638"/>
        <w:gridCol w:w="638"/>
      </w:tblGrid>
      <w:tr>
        <w:trPr>
          <w:trHeight w:val="317" w:hRule="exact"/>
        </w:trPr>
        <w:tc>
          <w:tcPr>
            <w:tcW w:w="634"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产处</w:t>
            </w: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置收</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券时</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w:t>
            </w:r>
          </w:p>
        </w:tc>
      </w:tr>
      <w:tr>
        <w:trPr>
          <w:trHeight w:val="316"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5,205</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及巨</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.18</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潮资</w:t>
            </w:r>
          </w:p>
        </w:tc>
      </w:tr>
      <w:tr>
        <w:trPr>
          <w:trHeight w:val="308"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万</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6"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所得</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p://w</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pacing w:val="-3"/>
                <w:sz w:val="18"/>
              </w:rPr>
              <w:t>ww.c</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将用</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ninfo</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于补</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.com.</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充公</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308"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司的</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的</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于资</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产处</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降低</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置的</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用，</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记入</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告编</w:t>
            </w:r>
          </w:p>
        </w:tc>
      </w:tr>
      <w:tr>
        <w:trPr>
          <w:trHeight w:val="316"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2018</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2018-</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年第</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053</w:t>
            </w:r>
            <w:r>
              <w:rPr>
                <w:rFonts w:ascii="宋体" w:hAnsi="宋体" w:cs="宋体" w:eastAsia="宋体" w:hint="default"/>
                <w:sz w:val="18"/>
                <w:szCs w:val="18"/>
              </w:rPr>
              <w:t>）</w:t>
            </w:r>
          </w:p>
        </w:tc>
      </w:tr>
      <w:tr>
        <w:trPr>
          <w:trHeight w:val="308"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四季</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和</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对公</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于资</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司的</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产处</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置的</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状况</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进展</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和经</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营成</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果将</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产生</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告编</w:t>
            </w:r>
          </w:p>
        </w:tc>
      </w:tr>
      <w:tr>
        <w:trPr>
          <w:trHeight w:val="312"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积极</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16" w:hRule="exact"/>
        </w:trPr>
        <w:tc>
          <w:tcPr>
            <w:tcW w:w="63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影</w:t>
            </w: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2018-</w:t>
            </w:r>
          </w:p>
        </w:tc>
      </w:tr>
      <w:tr>
        <w:trPr>
          <w:trHeight w:val="354" w:hRule="exact"/>
        </w:trPr>
        <w:tc>
          <w:tcPr>
            <w:tcW w:w="63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响。</w:t>
            </w: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058</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5" w:footer="1017"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5" w:footer="1017" w:top="1100" w:bottom="1200" w:left="1020" w:right="0"/>
        </w:sectPr>
      </w:pPr>
    </w:p>
    <w:p>
      <w:pPr>
        <w:pStyle w:val="BodyText"/>
        <w:spacing w:line="240" w:lineRule="auto" w:before="44"/>
        <w:ind w:right="-17"/>
        <w:jc w:val="left"/>
      </w:pPr>
      <w:r>
        <w:rPr/>
        <w:t>√ 适用 □ 不适用</w:t>
      </w:r>
    </w:p>
    <w:p>
      <w:pPr>
        <w:pStyle w:val="BodyText"/>
        <w:spacing w:line="240" w:lineRule="auto" w:before="117"/>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4808" w:space="4111"/>
            <w:col w:w="1971"/>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54"/>
        <w:gridCol w:w="1195"/>
        <w:gridCol w:w="1044"/>
        <w:gridCol w:w="1046"/>
        <w:gridCol w:w="1046"/>
        <w:gridCol w:w="1044"/>
        <w:gridCol w:w="1046"/>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56"/>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电子标签、</w:t>
            </w: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读写机具、</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的研发、生</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产、销售及</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服务；电子</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标签的行</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江苏恒宝</w:t>
            </w: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业解决方</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0" w:right="221"/>
              <w:jc w:val="left"/>
              <w:rPr>
                <w:rFonts w:ascii="宋体" w:hAnsi="宋体" w:cs="宋体" w:eastAsia="宋体" w:hint="default"/>
                <w:sz w:val="18"/>
                <w:szCs w:val="18"/>
              </w:rPr>
            </w:pPr>
            <w:r>
              <w:rPr>
                <w:rFonts w:ascii="宋体" w:hAnsi="宋体" w:cs="宋体" w:eastAsia="宋体" w:hint="default"/>
                <w:sz w:val="18"/>
                <w:szCs w:val="18"/>
              </w:rPr>
              <w:t>智能系统 技术有限</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案、软件开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发及系统</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271,978,04</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7.49</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0" w:right="0"/>
              <w:jc w:val="left"/>
              <w:rPr>
                <w:rFonts w:ascii="Times New Roman" w:hAnsi="Times New Roman" w:cs="Times New Roman" w:eastAsia="Times New Roman" w:hint="default"/>
                <w:sz w:val="18"/>
                <w:szCs w:val="18"/>
              </w:rPr>
            </w:pPr>
            <w:r>
              <w:rPr>
                <w:rFonts w:ascii="Times New Roman"/>
                <w:sz w:val="18"/>
              </w:rPr>
              <w:t>257,655,78</w:t>
            </w:r>
          </w:p>
          <w:p>
            <w:pPr>
              <w:pStyle w:val="TableParagraph"/>
              <w:spacing w:line="240" w:lineRule="auto" w:before="105"/>
              <w:ind w:left="614" w:right="0"/>
              <w:jc w:val="left"/>
              <w:rPr>
                <w:rFonts w:ascii="Times New Roman" w:hAnsi="Times New Roman" w:cs="Times New Roman" w:eastAsia="Times New Roman" w:hint="default"/>
                <w:sz w:val="18"/>
                <w:szCs w:val="18"/>
              </w:rPr>
            </w:pPr>
            <w:r>
              <w:rPr>
                <w:rFonts w:ascii="Times New Roman"/>
                <w:sz w:val="18"/>
              </w:rPr>
              <w:t>0.84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67,592,241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.26</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5,480,069.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3,678,669.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18</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15"/>
                <w:sz w:val="18"/>
                <w:szCs w:val="18"/>
              </w:rPr>
              <w:t>集成；上述</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相关产业</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的信息咨</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询服务；磁</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7"/>
                <w:sz w:val="18"/>
                <w:szCs w:val="18"/>
              </w:rPr>
              <w:t>卡、</w:t>
            </w:r>
            <w:r>
              <w:rPr>
                <w:rFonts w:ascii="Times New Roman" w:hAnsi="Times New Roman" w:cs="Times New Roman" w:eastAsia="Times New Roman" w:hint="default"/>
                <w:spacing w:val="-7"/>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文化用品、</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信封的销</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64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0" w:right="221"/>
              <w:jc w:val="both"/>
              <w:rPr>
                <w:rFonts w:ascii="宋体" w:hAnsi="宋体" w:cs="宋体" w:eastAsia="宋体" w:hint="default"/>
                <w:sz w:val="18"/>
                <w:szCs w:val="18"/>
              </w:rPr>
            </w:pPr>
            <w:r>
              <w:rPr>
                <w:rFonts w:ascii="宋体" w:hAnsi="宋体" w:cs="宋体" w:eastAsia="宋体" w:hint="default"/>
                <w:sz w:val="18"/>
                <w:szCs w:val="18"/>
              </w:rPr>
              <w:t>恒宝国际 有限责任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研发、提供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智能卡及 相关解决 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新加坡元</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1,980,000.</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 </w:t>
            </w:r>
            <w:r>
              <w:rPr>
                <w:rFonts w:ascii="宋体" w:hAnsi="宋体" w:cs="宋体" w:eastAsia="宋体" w:hint="default"/>
                <w:sz w:val="18"/>
                <w:szCs w:val="18"/>
              </w:rPr>
              <w:t>美元</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2,983,527.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39,292,923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28,360,838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31,429,906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-376,874.3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-376,874.3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恒宝科技</w:t>
            </w:r>
          </w:p>
          <w:p>
            <w:pPr>
              <w:pStyle w:val="TableParagraph"/>
              <w:spacing w:line="316" w:lineRule="auto" w:before="76"/>
              <w:ind w:left="100" w:right="103"/>
              <w:jc w:val="left"/>
              <w:rPr>
                <w:rFonts w:ascii="宋体" w:hAnsi="宋体" w:cs="宋体" w:eastAsia="宋体" w:hint="default"/>
                <w:sz w:val="18"/>
                <w:szCs w:val="18"/>
              </w:rPr>
            </w:pPr>
            <w:r>
              <w:rPr>
                <w:rFonts w:ascii="宋体" w:hAnsi="宋体" w:cs="宋体" w:eastAsia="宋体" w:hint="default"/>
                <w:spacing w:val="-13"/>
                <w:sz w:val="18"/>
                <w:szCs w:val="18"/>
              </w:rPr>
              <w:t>（印度）私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15"/>
                <w:sz w:val="18"/>
                <w:szCs w:val="18"/>
              </w:rPr>
              <w:t>研发、提供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智能卡及 相关解决 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印度卢比</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18,808,390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13,782.75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7,802.98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0.00</w:t>
            </w: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生产智能</w:t>
            </w: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卡（限分支</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100" w:right="221"/>
              <w:jc w:val="both"/>
              <w:rPr>
                <w:rFonts w:ascii="宋体" w:hAnsi="宋体" w:cs="宋体" w:eastAsia="宋体" w:hint="default"/>
                <w:sz w:val="18"/>
                <w:szCs w:val="18"/>
              </w:rPr>
            </w:pPr>
            <w:r>
              <w:rPr>
                <w:rFonts w:ascii="宋体" w:hAnsi="宋体" w:cs="宋体" w:eastAsia="宋体" w:hint="default"/>
                <w:sz w:val="18"/>
                <w:szCs w:val="18"/>
              </w:rPr>
              <w:t>北京东方 英卡数字 信息技术 有限公司</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9"/>
              <w:jc w:val="left"/>
              <w:rPr>
                <w:rFonts w:ascii="宋体" w:hAnsi="宋体" w:cs="宋体" w:eastAsia="宋体" w:hint="default"/>
                <w:sz w:val="18"/>
                <w:szCs w:val="18"/>
              </w:rPr>
            </w:pPr>
            <w:r>
              <w:rPr>
                <w:rFonts w:ascii="宋体" w:hAnsi="宋体" w:cs="宋体" w:eastAsia="宋体" w:hint="default"/>
                <w:sz w:val="18"/>
                <w:szCs w:val="18"/>
              </w:rPr>
              <w:t>机构经 </w:t>
            </w:r>
            <w:r>
              <w:rPr>
                <w:rFonts w:ascii="宋体" w:hAnsi="宋体" w:cs="宋体" w:eastAsia="宋体" w:hint="default"/>
                <w:spacing w:val="-19"/>
                <w:sz w:val="18"/>
                <w:szCs w:val="18"/>
              </w:rPr>
              <w:t>营）；货物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进出口、技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术进出口、 代理进出</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17,792,913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.31</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17,779,208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6,696,485.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99</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-2,652,831.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-2,652,831.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38</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口；技术检</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测；技术服</w:t>
            </w: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054"/>
        <w:gridCol w:w="1195"/>
        <w:gridCol w:w="1044"/>
        <w:gridCol w:w="1046"/>
        <w:gridCol w:w="1046"/>
        <w:gridCol w:w="1044"/>
        <w:gridCol w:w="1046"/>
        <w:gridCol w:w="1044"/>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计算机软</w:t>
            </w: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硬件的技</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深圳一卡</w:t>
            </w: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术开发与</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0" w:right="221"/>
              <w:jc w:val="left"/>
              <w:rPr>
                <w:rFonts w:ascii="宋体" w:hAnsi="宋体" w:cs="宋体" w:eastAsia="宋体" w:hint="default"/>
                <w:sz w:val="18"/>
                <w:szCs w:val="18"/>
              </w:rPr>
            </w:pPr>
            <w:r>
              <w:rPr>
                <w:rFonts w:ascii="宋体" w:hAnsi="宋体" w:cs="宋体" w:eastAsia="宋体" w:hint="default"/>
                <w:sz w:val="18"/>
                <w:szCs w:val="18"/>
              </w:rPr>
              <w:t>易科技股 份有限公</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15"/>
                <w:sz w:val="18"/>
                <w:szCs w:val="18"/>
              </w:rPr>
              <w:t>销售（不含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专营、专</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208,652,11</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0.26</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0" w:right="0"/>
              <w:jc w:val="left"/>
              <w:rPr>
                <w:rFonts w:ascii="Times New Roman" w:hAnsi="Times New Roman" w:cs="Times New Roman" w:eastAsia="Times New Roman" w:hint="default"/>
                <w:sz w:val="18"/>
                <w:szCs w:val="18"/>
              </w:rPr>
            </w:pPr>
            <w:r>
              <w:rPr>
                <w:rFonts w:ascii="Times New Roman"/>
                <w:sz w:val="18"/>
              </w:rPr>
              <w:t>172,623,06</w:t>
            </w:r>
          </w:p>
          <w:p>
            <w:pPr>
              <w:pStyle w:val="TableParagraph"/>
              <w:spacing w:line="240" w:lineRule="auto" w:before="105"/>
              <w:ind w:left="614" w:right="0"/>
              <w:jc w:val="left"/>
              <w:rPr>
                <w:rFonts w:ascii="Times New Roman" w:hAnsi="Times New Roman" w:cs="Times New Roman" w:eastAsia="Times New Roman" w:hint="default"/>
                <w:sz w:val="18"/>
                <w:szCs w:val="18"/>
              </w:rPr>
            </w:pPr>
            <w:r>
              <w:rPr>
                <w:rFonts w:ascii="Times New Roman"/>
                <w:sz w:val="18"/>
              </w:rPr>
              <w:t>0.65</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46,246,960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.62</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3,515,905.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6,020,939.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10</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15"/>
                <w:sz w:val="18"/>
                <w:szCs w:val="18"/>
              </w:rPr>
              <w:t>控、专卖商</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品及限制</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软化开发；</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接受金融</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云宝金服</w:t>
            </w: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机构委托</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0" w:right="103"/>
              <w:jc w:val="left"/>
              <w:rPr>
                <w:rFonts w:ascii="宋体" w:hAnsi="宋体" w:cs="宋体" w:eastAsia="宋体" w:hint="default"/>
                <w:sz w:val="18"/>
                <w:szCs w:val="18"/>
              </w:rPr>
            </w:pPr>
            <w:r>
              <w:rPr>
                <w:rFonts w:ascii="宋体" w:hAnsi="宋体" w:cs="宋体" w:eastAsia="宋体" w:hint="default"/>
                <w:spacing w:val="-13"/>
                <w:sz w:val="18"/>
                <w:szCs w:val="18"/>
              </w:rPr>
              <w:t>（北京）科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3" w:right="209"/>
              <w:jc w:val="left"/>
              <w:rPr>
                <w:rFonts w:ascii="宋体" w:hAnsi="宋体" w:cs="宋体" w:eastAsia="宋体" w:hint="default"/>
                <w:sz w:val="18"/>
                <w:szCs w:val="18"/>
              </w:rPr>
            </w:pPr>
            <w:r>
              <w:rPr>
                <w:rFonts w:ascii="宋体" w:hAnsi="宋体" w:cs="宋体" w:eastAsia="宋体" w:hint="default"/>
                <w:sz w:val="18"/>
                <w:szCs w:val="18"/>
              </w:rPr>
              <w:t>从事金融 信息技术</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980,411.53</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819,788.47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-1,234,537.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-1,234,537.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84</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服务外包；</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互联网信</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息服务。</w:t>
            </w: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研发、销</w:t>
            </w:r>
          </w:p>
        </w:tc>
        <w:tc>
          <w:tcPr>
            <w:tcW w:w="104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5"/>
                <w:sz w:val="18"/>
                <w:szCs w:val="18"/>
              </w:rPr>
              <w:t>售、系统集</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103"/>
              <w:jc w:val="both"/>
              <w:rPr>
                <w:rFonts w:ascii="宋体" w:hAnsi="宋体" w:cs="宋体" w:eastAsia="宋体" w:hint="default"/>
                <w:sz w:val="18"/>
                <w:szCs w:val="18"/>
              </w:rPr>
            </w:pPr>
            <w:r>
              <w:rPr>
                <w:rFonts w:ascii="宋体" w:hAnsi="宋体" w:cs="宋体" w:eastAsia="宋体" w:hint="default"/>
                <w:spacing w:val="-13"/>
                <w:sz w:val="18"/>
                <w:szCs w:val="18"/>
              </w:rPr>
              <w:t>恒宝（中东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非洲）有限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责任公司</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15"/>
                <w:sz w:val="18"/>
                <w:szCs w:val="18"/>
              </w:rPr>
              <w:t>成；提供智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能卡、金融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科技、物联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网、数据服</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00" w:lineRule="auto"/>
              <w:ind w:left="103" w:right="166"/>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亿肯尼 亚先令</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1,023,724.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57</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1,023,724.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-4,721.76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-4,721.76</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务及相关</w:t>
            </w:r>
          </w:p>
        </w:tc>
        <w:tc>
          <w:tcPr>
            <w:tcW w:w="1046"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104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t>√ 适用 □ 不适用</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恒宝（中东非洲）有限责任公司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7"/>
              <w:jc w:val="left"/>
              <w:rPr>
                <w:rFonts w:ascii="宋体" w:hAnsi="宋体" w:cs="宋体" w:eastAsia="宋体" w:hint="default"/>
                <w:sz w:val="18"/>
                <w:szCs w:val="18"/>
              </w:rPr>
            </w:pPr>
            <w:r>
              <w:rPr>
                <w:rFonts w:ascii="宋体" w:hAnsi="宋体" w:cs="宋体" w:eastAsia="宋体" w:hint="default"/>
                <w:sz w:val="18"/>
                <w:szCs w:val="18"/>
              </w:rPr>
              <w:t>对报告期年度生产经营和业绩无重大 影响。</w:t>
            </w:r>
          </w:p>
        </w:tc>
      </w:tr>
    </w:tbl>
    <w:p>
      <w:pPr>
        <w:pStyle w:val="BodyText"/>
        <w:spacing w:line="240" w:lineRule="auto" w:before="49"/>
        <w:ind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5" w:footer="1017"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472" w:right="1033"/>
        <w:jc w:val="left"/>
      </w:pPr>
      <w:r>
        <w:rPr>
          <w:rFonts w:ascii="宋体" w:hAnsi="宋体" w:cs="宋体" w:eastAsia="宋体" w:hint="default"/>
          <w:b/>
          <w:bCs/>
        </w:rPr>
        <w:t>一、背景简介</w:t>
      </w:r>
      <w:r>
        <w:rPr>
          <w:rFonts w:ascii="宋体" w:hAnsi="宋体" w:cs="宋体" w:eastAsia="宋体" w:hint="default"/>
          <w:b/>
          <w:bCs/>
          <w:w w:val="99"/>
        </w:rPr>
        <w:t> </w:t>
      </w:r>
      <w:r>
        <w:rPr>
          <w:spacing w:val="-2"/>
        </w:rPr>
        <w:t>随着5G及物联网技术的推进，对人工智能、自动驾驶、智慧医疗等产业也将产生极大的促进，科技赋能产业并引领产业</w:t>
      </w:r>
    </w:p>
    <w:p>
      <w:pPr>
        <w:pStyle w:val="BodyText"/>
        <w:spacing w:line="316" w:lineRule="auto" w:before="17"/>
        <w:ind w:right="1033"/>
        <w:jc w:val="left"/>
      </w:pPr>
      <w:r>
        <w:rPr/>
        <w:t>变革的重要性日益凸显，恒宝股份的通信解决方案与运营商密切合作，从SIM卡、USIM卡到嵌入式eSIM卡，再到发行和管理 </w:t>
      </w:r>
      <w:r>
        <w:rPr>
          <w:spacing w:val="-2"/>
        </w:rPr>
        <w:t>平台及服务，无缝对接通信解决方案，为客户创造安全、高效、快捷、个性化的连接体验；另一方面，物联网将不断走向智</w:t>
      </w:r>
      <w:r>
        <w:rPr>
          <w:spacing w:val="-68"/>
        </w:rPr>
        <w:t> </w:t>
      </w:r>
      <w:r>
        <w:rPr>
          <w:spacing w:val="-68"/>
        </w:rPr>
      </w:r>
      <w:r>
        <w:rPr/>
        <w:t>能家居、智能穿戴装备、医疗器械、虚拟现实版游戏、智慧社区、无人驾驶、智慧交通网络等具体应用场景，并不断蔓延， </w:t>
      </w:r>
      <w:r>
        <w:rPr>
          <w:spacing w:val="-2"/>
        </w:rPr>
        <w:t>实现万物之间的互联互通。无处不在的连接需求推动了无线网络和数据传输量的迅速增长，也为各种新的安全威胁打开了大</w:t>
      </w:r>
      <w:r>
        <w:rPr>
          <w:spacing w:val="-64"/>
        </w:rPr>
        <w:t> </w:t>
      </w:r>
      <w:r>
        <w:rPr>
          <w:spacing w:val="-64"/>
        </w:rPr>
      </w:r>
      <w:r>
        <w:rPr>
          <w:spacing w:val="-2"/>
        </w:rPr>
        <w:t>门。不论是银行客户、政府公共服务部门、工业领域的相关客户或是终端客户，数据化安全解决方案将变得越发的重要。恒</w:t>
      </w:r>
      <w:r>
        <w:rPr>
          <w:spacing w:val="-65"/>
        </w:rPr>
        <w:t> </w:t>
      </w:r>
      <w:r>
        <w:rPr>
          <w:spacing w:val="-65"/>
        </w:rPr>
      </w:r>
      <w:r>
        <w:rPr>
          <w:spacing w:val="-2"/>
        </w:rPr>
        <w:t>宝股份的物联网安全解决方案通过保护数据完整性、数据保密性和确保物联网基础设施具有抵御网络安全风险的能力来推动</w:t>
      </w:r>
      <w:r>
        <w:rPr>
          <w:spacing w:val="-64"/>
        </w:rPr>
        <w:t> </w:t>
      </w:r>
      <w:r>
        <w:rPr>
          <w:spacing w:val="-64"/>
        </w:rPr>
      </w:r>
      <w:r>
        <w:rPr/>
        <w:t>创新，利用数据化安全解决方案安全连接客户业务，保护客户数据免受恶意攻击。</w:t>
      </w:r>
    </w:p>
    <w:p>
      <w:pPr>
        <w:pStyle w:val="BodyText"/>
        <w:spacing w:line="316" w:lineRule="auto" w:before="18"/>
        <w:ind w:right="1132" w:firstLine="360"/>
        <w:jc w:val="both"/>
      </w:pPr>
      <w:r>
        <w:rPr>
          <w:spacing w:val="-2"/>
        </w:rPr>
        <w:t>物联网从来都不是一个单独的个体，它由无数互联互通的设备组成，它可以使用网络中同一IP进行信息的交互和访问而</w:t>
      </w:r>
      <w:r>
        <w:rPr/>
        <w:t> </w:t>
      </w:r>
      <w:r>
        <w:rPr>
          <w:spacing w:val="-2"/>
        </w:rPr>
        <w:t>没有额外损耗，它可以凭借其及时反馈的特点投入到各个细分领域中形成实际效用，节省大量时间和物质成本。随着物联网</w:t>
      </w:r>
      <w:r>
        <w:rPr>
          <w:spacing w:val="-65"/>
        </w:rPr>
        <w:t> </w:t>
      </w:r>
      <w:r>
        <w:rPr>
          <w:spacing w:val="-65"/>
        </w:rPr>
      </w:r>
      <w:r>
        <w:rPr>
          <w:spacing w:val="-2"/>
        </w:rPr>
        <w:t>的发展，设备和基础设施的价格将会持续降低，企业对各种物联网设备的应用就越来越普及。这也意味着，企业需要更加关</w:t>
      </w:r>
      <w:r>
        <w:rPr>
          <w:spacing w:val="-66"/>
        </w:rPr>
        <w:t> </w:t>
      </w:r>
      <w:r>
        <w:rPr>
          <w:spacing w:val="-66"/>
        </w:rPr>
      </w:r>
      <w:r>
        <w:rPr>
          <w:spacing w:val="-2"/>
        </w:rPr>
        <w:t>注物联网的安全。本公司将会深耕细分行业的物联网应用技术和解决方案，通过物联网及其相关技术成为这些细分行业的价</w:t>
      </w:r>
      <w:r>
        <w:rPr>
          <w:spacing w:val="-64"/>
        </w:rPr>
        <w:t> </w:t>
      </w:r>
      <w:r>
        <w:rPr>
          <w:spacing w:val="-64"/>
        </w:rPr>
      </w:r>
      <w:r>
        <w:rPr>
          <w:spacing w:val="-2"/>
        </w:rPr>
        <w:t>值提供者。这些行业包括健康医疗、农业、旅游、环境监测、结构部件监测、高价值资产追踪管控和特殊商品物流及仓储管</w:t>
      </w:r>
      <w:r>
        <w:rPr>
          <w:spacing w:val="-67"/>
        </w:rPr>
        <w:t> </w:t>
      </w:r>
      <w:r>
        <w:rPr>
          <w:spacing w:val="-67"/>
        </w:rPr>
      </w:r>
      <w:r>
        <w:rPr>
          <w:spacing w:val="-2"/>
        </w:rPr>
        <w:t>理。同时，本公司会把区块链技术加载到上述行业的数据服务应用中，用来保证数据的真实性和可靠性。确保电子世界里交</w:t>
      </w:r>
      <w:r>
        <w:rPr>
          <w:spacing w:val="-66"/>
        </w:rPr>
        <w:t> </w:t>
      </w:r>
      <w:r>
        <w:rPr>
          <w:spacing w:val="-66"/>
        </w:rPr>
      </w:r>
      <w:r>
        <w:rPr>
          <w:spacing w:val="-2"/>
        </w:rPr>
        <w:t>易的便捷性和人工智能性。人工智能是基于大量的数据采集、连接传输、数据的真实及可靠性和数据的安全性。本公司致力</w:t>
      </w:r>
      <w:r>
        <w:rPr>
          <w:spacing w:val="-66"/>
        </w:rPr>
        <w:t> </w:t>
      </w:r>
      <w:r>
        <w:rPr>
          <w:spacing w:val="-66"/>
        </w:rPr>
      </w:r>
      <w:r>
        <w:rPr/>
        <w:t>成为人工智能基础设施的搭建者。</w:t>
      </w:r>
    </w:p>
    <w:p>
      <w:pPr>
        <w:pStyle w:val="BodyText"/>
        <w:spacing w:line="312" w:lineRule="auto" w:before="18"/>
        <w:ind w:right="1132" w:firstLine="360"/>
        <w:jc w:val="both"/>
      </w:pPr>
      <w:r>
        <w:rPr>
          <w:spacing w:val="-2"/>
        </w:rPr>
        <w:t>除了在行业和技术上不断深耕拓展，本公司正在继续加大新兴市场的开拓。公司已经积极布局东南亚市场和启动中东非</w:t>
      </w:r>
      <w:r>
        <w:rPr/>
        <w:t> </w:t>
      </w:r>
      <w:r>
        <w:rPr>
          <w:spacing w:val="-1"/>
        </w:rPr>
        <w:t>洲市场布局。通过公司优势产品智能</w:t>
      </w:r>
      <w:r>
        <w:rPr>
          <w:rFonts w:ascii="Times New Roman" w:hAnsi="Times New Roman" w:cs="Times New Roman" w:eastAsia="Times New Roman" w:hint="default"/>
          <w:spacing w:val="-1"/>
        </w:rPr>
        <w:t>IC</w:t>
      </w:r>
      <w:r>
        <w:rPr>
          <w:spacing w:val="-1"/>
        </w:rPr>
        <w:t>卡和</w:t>
      </w:r>
      <w:r>
        <w:rPr>
          <w:rFonts w:ascii="Times New Roman" w:hAnsi="Times New Roman" w:cs="Times New Roman" w:eastAsia="Times New Roman" w:hint="default"/>
          <w:spacing w:val="-1"/>
        </w:rPr>
        <w:t>SIM</w:t>
      </w:r>
      <w:r>
        <w:rPr>
          <w:spacing w:val="-1"/>
        </w:rPr>
        <w:t>卡为切入点，逐步进入这些地区性市场的移动支付市场和物联网市场。凭借</w:t>
      </w:r>
      <w:r>
        <w:rPr>
          <w:spacing w:val="-80"/>
        </w:rPr>
        <w:t> </w:t>
      </w:r>
      <w:r>
        <w:rPr>
          <w:spacing w:val="-80"/>
        </w:rPr>
      </w:r>
      <w:r>
        <w:rPr>
          <w:spacing w:val="-2"/>
        </w:rPr>
        <w:t>本公司服务国内市场多年的移动支付经验，公司将会将这些多年的经验应用到东南亚和中东非洲市场，使得本公司可以成为</w:t>
      </w:r>
      <w:r>
        <w:rPr>
          <w:spacing w:val="-64"/>
        </w:rPr>
        <w:t> </w:t>
      </w:r>
      <w:r>
        <w:rPr>
          <w:spacing w:val="-64"/>
        </w:rPr>
      </w:r>
      <w:r>
        <w:rPr/>
        <w:t>这些地区移动支付和金融科技的领军企业。</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t>二、公司未来将采取如下战略：</w:t>
      </w:r>
      <w:r>
        <w:rPr>
          <w:b w:val="0"/>
          <w:bCs w:val="0"/>
        </w:rPr>
      </w:r>
    </w:p>
    <w:p>
      <w:pPr>
        <w:pStyle w:val="BodyText"/>
        <w:spacing w:line="300" w:lineRule="auto" w:before="76"/>
        <w:ind w:right="1132" w:firstLine="271"/>
        <w:jc w:val="both"/>
      </w:pPr>
      <w:r>
        <w:rPr>
          <w:spacing w:val="-2"/>
        </w:rPr>
        <w:t>（</w:t>
      </w:r>
      <w:r>
        <w:rPr>
          <w:rFonts w:ascii="Times New Roman" w:hAnsi="Times New Roman" w:cs="Times New Roman" w:eastAsia="Times New Roman" w:hint="default"/>
          <w:spacing w:val="-2"/>
        </w:rPr>
        <w:t>1</w:t>
      </w:r>
      <w:r>
        <w:rPr>
          <w:spacing w:val="-2"/>
        </w:rPr>
        <w:t>）公司将继续巩固和深化现有市场，并积极拓展新领域。巩固深化现有产品业务和市场地位，确保公司业绩平稳增长</w:t>
      </w:r>
      <w:r>
        <w:rPr/>
        <w:t> 且财务健康，为公司技术研发和新产品创新提供有力的财力支持。</w:t>
      </w:r>
    </w:p>
    <w:p>
      <w:pPr>
        <w:pStyle w:val="BodyText"/>
        <w:spacing w:line="309" w:lineRule="auto" w:before="31"/>
        <w:ind w:right="1033" w:firstLine="271"/>
        <w:jc w:val="left"/>
      </w:pPr>
      <w:r>
        <w:rPr/>
        <w:t>（</w:t>
      </w:r>
      <w:r>
        <w:rPr>
          <w:rFonts w:ascii="Times New Roman" w:hAnsi="Times New Roman" w:cs="Times New Roman" w:eastAsia="Times New Roman" w:hint="default"/>
        </w:rPr>
        <w:t>2</w:t>
      </w:r>
      <w:r>
        <w:rPr/>
        <w:t>）面向物联网、</w:t>
      </w:r>
      <w:r>
        <w:rPr>
          <w:rFonts w:ascii="Times New Roman" w:hAnsi="Times New Roman" w:cs="Times New Roman" w:eastAsia="Times New Roman" w:hint="default"/>
        </w:rPr>
        <w:t>5G</w:t>
      </w:r>
      <w:r>
        <w:rPr/>
        <w:t>、区块链、金融科技、数据安全、大数据等新兴领域，公司将继续加大新产品、新技术投入，实 </w:t>
      </w:r>
      <w:r>
        <w:rPr>
          <w:spacing w:val="-2"/>
        </w:rPr>
        <w:t>现进一步的技术突破，并且定期与国内外标准组织技术交流，与产业伙伴分工协作，稳步推进行业持续良性发展，保持行业</w:t>
      </w:r>
      <w:r>
        <w:rPr>
          <w:spacing w:val="-66"/>
        </w:rPr>
        <w:t> </w:t>
      </w:r>
      <w:r>
        <w:rPr>
          <w:spacing w:val="-66"/>
        </w:rPr>
      </w:r>
      <w:r>
        <w:rPr/>
        <w:t>领先。</w:t>
      </w:r>
    </w:p>
    <w:p>
      <w:pPr>
        <w:pStyle w:val="BodyText"/>
        <w:spacing w:line="309" w:lineRule="auto" w:before="24"/>
        <w:ind w:right="1132" w:firstLine="271"/>
        <w:jc w:val="both"/>
      </w:pPr>
      <w:r>
        <w:rPr>
          <w:spacing w:val="-2"/>
        </w:rPr>
        <w:t>（</w:t>
      </w:r>
      <w:r>
        <w:rPr>
          <w:rFonts w:ascii="Times New Roman" w:hAnsi="Times New Roman" w:cs="Times New Roman" w:eastAsia="Times New Roman" w:hint="default"/>
          <w:spacing w:val="-2"/>
        </w:rPr>
        <w:t>3</w:t>
      </w:r>
      <w:r>
        <w:rPr>
          <w:spacing w:val="-2"/>
        </w:rPr>
        <w:t>）公司将抓住物联网发展的战略机遇，结合公司在金融支付，移动通信、信息安全等领域的技术优势，继续深耕特种</w:t>
      </w:r>
      <w:r>
        <w:rPr/>
        <w:t> </w:t>
      </w:r>
      <w:r>
        <w:rPr>
          <w:spacing w:val="-2"/>
        </w:rPr>
        <w:t>通信物联网业务，并积极在公安、消防、国防建设、国家安全等应用领域市场布局，积极培育物联网成为公司中长期新的业</w:t>
      </w:r>
      <w:r>
        <w:rPr>
          <w:spacing w:val="-65"/>
        </w:rPr>
        <w:t> </w:t>
      </w:r>
      <w:r>
        <w:rPr>
          <w:spacing w:val="-65"/>
        </w:rPr>
      </w:r>
      <w:r>
        <w:rPr/>
        <w:t>绩增长点，并促使公司业务收入在终端应用市场构成上更加平衡合理和稳定。</w:t>
      </w:r>
    </w:p>
    <w:p>
      <w:pPr>
        <w:pStyle w:val="BodyText"/>
        <w:spacing w:line="300" w:lineRule="auto" w:before="24"/>
        <w:ind w:right="1131" w:firstLine="271"/>
        <w:jc w:val="both"/>
      </w:pPr>
      <w:r>
        <w:rPr/>
        <w:t>（</w:t>
      </w:r>
      <w:r>
        <w:rPr>
          <w:rFonts w:ascii="Times New Roman" w:hAnsi="Times New Roman" w:cs="Times New Roman" w:eastAsia="Times New Roman" w:hint="default"/>
        </w:rPr>
        <w:t>4</w:t>
      </w:r>
      <w:r>
        <w:rPr/>
        <w:t>）公司将持续并加大在通讯模组、</w:t>
      </w:r>
      <w:r>
        <w:rPr>
          <w:rFonts w:ascii="Times New Roman" w:hAnsi="Times New Roman" w:cs="Times New Roman" w:eastAsia="Times New Roman" w:hint="default"/>
        </w:rPr>
        <w:t>RFID</w:t>
      </w:r>
      <w:r>
        <w:rPr/>
        <w:t>、移动智能终端和身份识别等安全产品领域的开发和创新投入。以丰富公司 </w:t>
      </w:r>
      <w:r>
        <w:rPr>
          <w:spacing w:val="-1"/>
        </w:rPr>
        <w:t>现有产品线，并进一步平衡产品结构，打造多层次产品结构。并且公司继续开拓</w:t>
      </w:r>
      <w:r>
        <w:rPr>
          <w:rFonts w:ascii="Times New Roman" w:hAnsi="Times New Roman" w:cs="Times New Roman" w:eastAsia="Times New Roman" w:hint="default"/>
          <w:spacing w:val="-1"/>
        </w:rPr>
        <w:t>“</w:t>
      </w:r>
      <w:r>
        <w:rPr>
          <w:spacing w:val="-1"/>
        </w:rPr>
        <w:t>智能农业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智能仓储物流</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智慧医疗</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2"/>
        </w:rPr>
        <w:t> </w:t>
      </w:r>
      <w:r>
        <w:rPr/>
        <w:t>等行业应用领域，提供移动支付安全产品、应用管理和系统平台，实现市场突破。</w:t>
      </w:r>
    </w:p>
    <w:p>
      <w:pPr>
        <w:pStyle w:val="BodyText"/>
        <w:spacing w:line="309" w:lineRule="auto" w:before="31"/>
        <w:ind w:right="1132" w:firstLine="271"/>
        <w:jc w:val="both"/>
      </w:pPr>
      <w:r>
        <w:rPr>
          <w:spacing w:val="-2"/>
        </w:rPr>
        <w:t>（</w:t>
      </w:r>
      <w:r>
        <w:rPr>
          <w:rFonts w:ascii="Times New Roman" w:hAnsi="Times New Roman" w:cs="Times New Roman" w:eastAsia="Times New Roman" w:hint="default"/>
          <w:spacing w:val="-2"/>
        </w:rPr>
        <w:t>5</w:t>
      </w:r>
      <w:r>
        <w:rPr>
          <w:spacing w:val="-2"/>
        </w:rPr>
        <w:t>）公司将积极响应国家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的大战略，继续加大海外市场的开拓力度，努力推进海外市场成为公司整体市场的</w:t>
      </w:r>
      <w:r>
        <w:rPr/>
        <w:t> </w:t>
      </w:r>
      <w:r>
        <w:rPr>
          <w:spacing w:val="-2"/>
        </w:rPr>
        <w:t>重要组成部分，努力实现公司全球化的战略布局。公司目前正在积极加大在东南亚、西亚和中东西非等地区的部署，进一步</w:t>
      </w:r>
      <w:r>
        <w:rPr>
          <w:spacing w:val="-66"/>
        </w:rPr>
        <w:t> </w:t>
      </w:r>
      <w:r>
        <w:rPr>
          <w:spacing w:val="-66"/>
        </w:rPr>
      </w:r>
      <w:r>
        <w:rPr/>
        <w:t>提高海外地区的市场份额，使得公司的区域业务收入结构更加平衡、合理和稳定。</w:t>
      </w:r>
    </w:p>
    <w:p>
      <w:pPr>
        <w:pStyle w:val="BodyText"/>
        <w:spacing w:line="316" w:lineRule="auto" w:before="24"/>
        <w:ind w:right="1132" w:firstLine="271"/>
        <w:jc w:val="both"/>
      </w:pPr>
      <w:r>
        <w:rPr>
          <w:spacing w:val="-2"/>
        </w:rPr>
        <w:t>（6）公司将积极响应国家的军民融合大战略，充分利用公司在军工信息化领域的产品和应用经验，逐步将公司产品拓展</w:t>
      </w:r>
      <w:r>
        <w:rPr/>
        <w:t> 至防务军工市场，稳定提升公司在防务军工市场的业务收入。</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4"/>
        <w:spacing w:line="240" w:lineRule="auto"/>
        <w:ind w:right="0"/>
        <w:jc w:val="left"/>
        <w:rPr>
          <w:b w:val="0"/>
          <w:bCs w:val="0"/>
        </w:rPr>
      </w:pPr>
      <w:r>
        <w:rPr/>
        <w:t>三、公司可能可能面临的风险及对策</w:t>
      </w:r>
      <w:r>
        <w:rPr>
          <w:b w:val="0"/>
          <w:bCs w:val="0"/>
        </w:rPr>
      </w:r>
    </w:p>
    <w:p>
      <w:pPr>
        <w:pStyle w:val="BodyText"/>
        <w:spacing w:line="240" w:lineRule="auto" w:before="76"/>
        <w:ind w:left="472" w:right="0"/>
        <w:jc w:val="left"/>
      </w:pPr>
      <w:r>
        <w:rPr/>
        <w:t>（</w:t>
      </w:r>
      <w:r>
        <w:rPr>
          <w:rFonts w:ascii="Times New Roman" w:hAnsi="Times New Roman" w:cs="Times New Roman" w:eastAsia="Times New Roman" w:hint="default"/>
        </w:rPr>
        <w:t>1</w:t>
      </w:r>
      <w:r>
        <w:rPr/>
        <w:t>）新产品、新业务市场拓展带来的经营风险</w:t>
      </w:r>
    </w:p>
    <w:p>
      <w:pPr>
        <w:spacing w:after="0" w:line="24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0" w:firstLine="420"/>
        <w:jc w:val="left"/>
      </w:pPr>
      <w:r>
        <w:rPr/>
        <w:t>公司正在积极调整产品结构和业务模式，产业战略布局已取得初步成果。从单纯硬件产品向系统平台、解决方案与服 </w:t>
      </w:r>
      <w:r>
        <w:rPr>
          <w:spacing w:val="-4"/>
        </w:rPr>
        <w:t>务运营模式转型。由于产品结构和业务模式变革，产品初期竞争力，可能仍受限于公司在初期业务支撑能力、市场拓展能力、</w:t>
      </w:r>
      <w:r>
        <w:rPr>
          <w:spacing w:val="-46"/>
        </w:rPr>
        <w:t> </w:t>
      </w:r>
      <w:r>
        <w:rPr>
          <w:spacing w:val="-46"/>
        </w:rPr>
      </w:r>
      <w:r>
        <w:rPr/>
        <w:t>落地商业模式等因素不够完善，在打开新市场会存在一定客观难度。</w:t>
      </w:r>
    </w:p>
    <w:p>
      <w:pPr>
        <w:pStyle w:val="BodyText"/>
        <w:spacing w:line="316" w:lineRule="auto" w:before="18"/>
        <w:ind w:left="532" w:right="1153"/>
        <w:jc w:val="left"/>
      </w:pPr>
      <w:r>
        <w:rPr/>
        <w:t>对策： 根据市场发展动态及时调整市场策略和行动计划，抓住重点机会实施突破，抢占市场窗口期，形成典型示范的效果。 持续引进行业领军人物和优秀团队，提升公司人才竞争力，提高公司业务能力，加快新业务破冰能力和新产品上线速</w:t>
      </w:r>
    </w:p>
    <w:p>
      <w:pPr>
        <w:pStyle w:val="BodyText"/>
        <w:spacing w:line="319" w:lineRule="auto" w:before="18"/>
        <w:ind w:left="532" w:right="1153" w:hanging="421"/>
        <w:jc w:val="left"/>
      </w:pPr>
      <w:r>
        <w:rPr/>
        <w:t>度，降低新业务、新市场拓展带来的风险。 保持与产业链战略合作方紧密合作，采取资源共享和优势互补的方法，充分利用业务模式转型与战略布局的机会，发</w:t>
      </w:r>
    </w:p>
    <w:p>
      <w:pPr>
        <w:pStyle w:val="BodyText"/>
        <w:spacing w:line="316" w:lineRule="auto" w:before="17"/>
        <w:ind w:right="1033"/>
        <w:jc w:val="left"/>
      </w:pPr>
      <w:r>
        <w:rPr>
          <w:spacing w:val="-2"/>
        </w:rPr>
        <w:t>展多种关联新业务，提升竞争力和话语权，并通过整体业务来降低某个单一新业务的市场风险，为公司持续稳定的发展奠定</w:t>
      </w:r>
      <w:r>
        <w:rPr>
          <w:spacing w:val="-65"/>
        </w:rPr>
        <w:t> </w:t>
      </w:r>
      <w:r>
        <w:rPr>
          <w:spacing w:val="-65"/>
        </w:rPr>
      </w:r>
      <w:r>
        <w:rPr/>
        <w:t>基础。</w:t>
      </w:r>
    </w:p>
    <w:p>
      <w:pPr>
        <w:pStyle w:val="BodyText"/>
        <w:spacing w:line="300" w:lineRule="auto" w:before="19"/>
        <w:ind w:left="532" w:right="1153"/>
        <w:jc w:val="left"/>
      </w:pPr>
      <w:r>
        <w:rPr/>
        <w:t>（</w:t>
      </w:r>
      <w:r>
        <w:rPr>
          <w:rFonts w:ascii="Times New Roman" w:hAnsi="Times New Roman" w:cs="Times New Roman" w:eastAsia="Times New Roman" w:hint="default"/>
        </w:rPr>
        <w:t>2</w:t>
      </w:r>
      <w:r>
        <w:rPr/>
        <w:t>）市场竞争加剧对公司主营业务和利润带来的风险 目前，公司主营业务的竞争能力主要体现在企业资金实力、设计开发能力、产品品质水平、产品成本控制能力，整体</w:t>
      </w:r>
    </w:p>
    <w:p>
      <w:pPr>
        <w:pStyle w:val="BodyText"/>
        <w:spacing w:line="319" w:lineRule="auto" w:before="31"/>
        <w:ind w:right="1033"/>
        <w:jc w:val="left"/>
      </w:pPr>
      <w:r>
        <w:rPr/>
        <w:t>解决方案能力和售后服务能力等环节。尤其最近几年，产业链内企业相互渗透，行业内投资并购和合作发展情况越来越多， 加剧了行业市场竞争的程度，产品价格成为后进企业最直接的竞争手段，有时会导致市场恶性竞争。</w:t>
      </w:r>
    </w:p>
    <w:p>
      <w:pPr>
        <w:pStyle w:val="BodyText"/>
        <w:spacing w:line="316" w:lineRule="auto" w:before="17"/>
        <w:ind w:left="532" w:right="1153"/>
        <w:jc w:val="left"/>
      </w:pPr>
      <w:r>
        <w:rPr/>
        <w:t>对策： 通过技术创新手段，供应链优化，提高生产效率，降低产品成本，保持产品价格竞争力。通过差异化产品和解决方案</w:t>
      </w:r>
    </w:p>
    <w:p>
      <w:pPr>
        <w:pStyle w:val="BodyText"/>
        <w:spacing w:line="316" w:lineRule="auto" w:before="19"/>
        <w:ind w:right="1033"/>
        <w:jc w:val="left"/>
      </w:pPr>
      <w:r>
        <w:rPr/>
        <w:t>规避同质化竞争风险，丰富和扩大产品家族，利用上市公司平台积极、灵活地开展行业资源整合。提高公司队伍</w:t>
      </w:r>
      <w:r>
        <w:rPr>
          <w:color w:val="6D6D6D"/>
        </w:rPr>
      </w:r>
      <w:r>
        <w:rPr>
          <w:color w:val="6D6D6D"/>
          <w:u w:val="single" w:color="6D6D6D"/>
        </w:rPr>
        <w:t>管理</w:t>
      </w:r>
      <w:r>
        <w:rPr>
          <w:color w:val="6D6D6D"/>
        </w:rPr>
      </w:r>
      <w:r>
        <w:rPr/>
        <w:t>水平，</w:t>
      </w:r>
      <w:r>
        <w:rPr/>
        <w:t> 全面提升公司核心竞争力。</w:t>
      </w:r>
    </w:p>
    <w:p>
      <w:pPr>
        <w:pStyle w:val="BodyText"/>
        <w:spacing w:line="240" w:lineRule="auto" w:before="57"/>
        <w:ind w:left="472" w:right="0"/>
        <w:jc w:val="left"/>
      </w:pPr>
      <w:r>
        <w:rPr/>
        <w:t>利用公司市场营销能力优势，确保公司关键盈利产品在主流市场领先地位，保证整体盈利水平领先地位。</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613"/>
        <w:jc w:val="left"/>
      </w:pPr>
      <w:r>
        <w:rPr/>
        <w:t>□ 适用 √ 不适用 公司报告期内未发生接待调研、沟通、采访等活动。</w:t>
      </w:r>
    </w:p>
    <w:p>
      <w:pPr>
        <w:spacing w:after="0" w:line="360" w:lineRule="auto"/>
        <w:jc w:val="left"/>
        <w:sectPr>
          <w:pgSz w:w="11910" w:h="16840"/>
          <w:pgMar w:header="905" w:footer="1017"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66" w:right="4487"/>
        <w:jc w:val="center"/>
        <w:rPr>
          <w:b w:val="0"/>
          <w:bCs w:val="0"/>
        </w:rPr>
      </w:pPr>
      <w:bookmarkStart w:name="_TOC_250007" w:id="5"/>
      <w:r>
        <w:rPr/>
        <w:t>第五节</w:t>
      </w:r>
      <w:r>
        <w:rPr>
          <w:spacing w:val="-7"/>
        </w:rPr>
        <w:t> </w:t>
      </w:r>
      <w:r>
        <w:rPr/>
        <w:t>重要事项</w:t>
      </w:r>
      <w:bookmarkEnd w:id="5"/>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60" w:lineRule="auto" w:before="117"/>
        <w:ind w:right="4813"/>
        <w:jc w:val="left"/>
      </w:pPr>
      <w:r>
        <w:rPr/>
        <w:t>√ 适用 □ 不适用 报告期内，公司严格按照中国证监会及公司章程的规定执行利润分配政策。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783"/>
        <w:gridCol w:w="4783"/>
      </w:tblGrid>
      <w:tr>
        <w:trPr>
          <w:trHeight w:val="402"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00"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pStyle w:val="BodyText"/>
        <w:spacing w:line="340" w:lineRule="auto" w:before="46"/>
        <w:ind w:right="-16"/>
        <w:jc w:val="left"/>
      </w:pPr>
      <w:r>
        <w:rPr/>
        <w:t>公司近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3"/>
        </w:rPr>
        <w:t>年（包括本报告期）的普通股股利分配方案（预案）、资本公积金转增股本方案（预案）情况</w:t>
      </w:r>
      <w:r>
        <w:rPr/>
        <w:t> </w:t>
      </w:r>
      <w:r>
        <w:rPr>
          <w:rFonts w:ascii="Times New Roman" w:hAnsi="Times New Roman" w:cs="Times New Roman" w:eastAsia="Times New Roman" w:hint="default"/>
        </w:rPr>
        <w:t>201</w:t>
      </w:r>
      <w:r>
        <w:rPr/>
        <w:t>8年度权益分配方案：不进行现金分红和资本公积转增股本。</w:t>
      </w:r>
    </w:p>
    <w:p>
      <w:pPr>
        <w:pStyle w:val="BodyText"/>
        <w:spacing w:line="240" w:lineRule="auto" w:before="17"/>
        <w:ind w:right="-16"/>
        <w:jc w:val="left"/>
      </w:pPr>
      <w:r>
        <w:rPr>
          <w:rFonts w:ascii="Times New Roman" w:hAnsi="Times New Roman" w:cs="Times New Roman" w:eastAsia="Times New Roman" w:hint="default"/>
        </w:rPr>
        <w:t>201</w:t>
      </w:r>
      <w:r>
        <w:rPr/>
        <w:t>7年度权益分配方案：不进行现金分红和资本公积转增股本。</w:t>
      </w:r>
    </w:p>
    <w:p>
      <w:pPr>
        <w:pStyle w:val="BodyText"/>
        <w:spacing w:line="340" w:lineRule="auto" w:before="103"/>
        <w:ind w:right="2952"/>
        <w:jc w:val="left"/>
      </w:pPr>
      <w:r>
        <w:rPr>
          <w:rFonts w:ascii="Times New Roman" w:hAnsi="Times New Roman" w:cs="Times New Roman" w:eastAsia="Times New Roman" w:hint="default"/>
        </w:rPr>
        <w:t>2016</w:t>
      </w:r>
      <w:r>
        <w:rPr/>
        <w:t>年度权益分配方案：不进行现金分红和资本公积转增股本。 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right="0"/>
        <w:jc w:val="left"/>
      </w:pPr>
      <w:r>
        <w:rPr/>
        <w:t>单位：元</w:t>
      </w:r>
    </w:p>
    <w:p>
      <w:pPr>
        <w:spacing w:after="0" w:line="240" w:lineRule="auto"/>
        <w:jc w:val="left"/>
        <w:sectPr>
          <w:type w:val="continuous"/>
          <w:pgSz w:w="11910" w:h="16840"/>
          <w:pgMar w:top="1100" w:bottom="1200" w:left="1020" w:right="0"/>
          <w:cols w:num="2" w:equalWidth="0">
            <w:col w:w="8125" w:space="794"/>
            <w:col w:w="1971"/>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195"/>
        <w:gridCol w:w="1195"/>
        <w:gridCol w:w="1198"/>
        <w:gridCol w:w="1195"/>
        <w:gridCol w:w="1195"/>
        <w:gridCol w:w="1198"/>
        <w:gridCol w:w="1195"/>
        <w:gridCol w:w="1195"/>
      </w:tblGrid>
      <w:tr>
        <w:trPr>
          <w:trHeight w:val="2587"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41" w:right="143"/>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1" w:right="144"/>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42"/>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1"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141"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41" w:right="144"/>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41" w:right="141"/>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41" w:right="141"/>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1"/>
                <w:sz w:val="18"/>
              </w:rPr>
              <w:t>145,493,021.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2"/>
                <w:w w:val="95"/>
                <w:sz w:val="18"/>
              </w:rPr>
              <w:t>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46,010,428.7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31.62%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46,010,428.7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31.62%</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162,648,403.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6" w:right="0"/>
              <w:jc w:val="left"/>
              <w:rPr>
                <w:rFonts w:ascii="Times New Roman" w:hAnsi="Times New Roman" w:cs="Times New Roman" w:eastAsia="Times New Roman" w:hint="default"/>
                <w:sz w:val="18"/>
                <w:szCs w:val="18"/>
              </w:rPr>
            </w:pPr>
            <w:r>
              <w:rPr>
                <w:rFonts w:ascii="Times New Roman"/>
                <w:sz w:val="18"/>
              </w:rPr>
              <w:t>146,405,344.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195"/>
        <w:gridCol w:w="1195"/>
        <w:gridCol w:w="1198"/>
        <w:gridCol w:w="1195"/>
        <w:gridCol w:w="1195"/>
        <w:gridCol w:w="1198"/>
        <w:gridCol w:w="1195"/>
        <w:gridCol w:w="1195"/>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83"/>
        <w:gridCol w:w="4783"/>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45" w:right="137" w:hanging="812"/>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 提出普通股现金红利分配预案的原因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76" w:hRule="exact"/>
        </w:trPr>
        <w:tc>
          <w:tcPr>
            <w:tcW w:w="47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根据《公司章程》第一百五十八条规定</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4783" w:type="dxa"/>
            <w:tcBorders>
              <w:top w:val="single" w:sz="4" w:space="0" w:color="000000"/>
              <w:left w:val="single" w:sz="4" w:space="0" w:color="000000"/>
              <w:bottom w:val="nil" w:sz="6" w:space="0" w:color="auto"/>
              <w:right w:val="single" w:sz="4" w:space="0" w:color="000000"/>
            </w:tcBorders>
          </w:tcPr>
          <w:p>
            <w:pPr/>
          </w:p>
        </w:tc>
      </w:tr>
      <w:tr>
        <w:trPr>
          <w:trHeight w:val="35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公司的利润分配：</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公司利润分配政策的基本原则：</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、公司利润分配应有利于公司发展，并重视对投资者合理</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的投资回报，公司每年以当年合并报表实现归属母公司可</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供分配利润规定比例向股东分配股利。</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、公司的利润分配政策保持连续性和稳定性，同时兼顾公</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28"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1"/>
                <w:sz w:val="18"/>
                <w:szCs w:val="18"/>
              </w:rPr>
              <w:t>司的长远利益、全体股东的整体利益及公司的可持续发展。</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、公司优先采用现金分红的利润分配方式。</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公司利润分配具体政策如下：</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、利润分配的形式：公司采用现金、股票或者现金与股票</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相结合的方式分配股利。在有条件的情况下，公司可以进</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行中期利润分配。</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、公司现金分红的具体条件和比例：</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公司主要采取现金分红的利润分配政策，即公司在当年盈</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利且累计未分配利润为正的情况下，采取现金方式分配股</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利，如无重大投资计划或重大现金支出事项的发生，公司</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24"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必须进行现金分红，每年以现金方式分配的利润不少于当</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累计未分配利润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944,612,685.27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元继续用于补充流动资金</w:t>
            </w:r>
          </w:p>
        </w:tc>
      </w:tr>
      <w:tr>
        <w:trPr>
          <w:trHeight w:val="308"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0" w:right="0"/>
              <w:jc w:val="left"/>
              <w:rPr>
                <w:rFonts w:ascii="宋体" w:hAnsi="宋体" w:cs="宋体" w:eastAsia="宋体" w:hint="default"/>
                <w:sz w:val="18"/>
                <w:szCs w:val="18"/>
              </w:rPr>
            </w:pPr>
            <w:r>
              <w:rPr>
                <w:rFonts w:ascii="宋体" w:hAnsi="宋体" w:cs="宋体" w:eastAsia="宋体" w:hint="default"/>
                <w:sz w:val="18"/>
                <w:szCs w:val="18"/>
              </w:rPr>
              <w:t>年实现的可供分配利润的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。且最近三年以现金方式累</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并转入以后年度分配。</w:t>
            </w:r>
          </w:p>
        </w:tc>
      </w:tr>
      <w:tr>
        <w:trPr>
          <w:trHeight w:val="304"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0" w:right="0"/>
              <w:jc w:val="left"/>
              <w:rPr>
                <w:rFonts w:ascii="宋体" w:hAnsi="宋体" w:cs="宋体" w:eastAsia="宋体" w:hint="default"/>
                <w:sz w:val="18"/>
                <w:szCs w:val="18"/>
              </w:rPr>
            </w:pPr>
            <w:r>
              <w:rPr>
                <w:rFonts w:ascii="宋体" w:hAnsi="宋体" w:cs="宋体" w:eastAsia="宋体" w:hint="default"/>
                <w:sz w:val="18"/>
                <w:szCs w:val="18"/>
              </w:rPr>
              <w:t>计分配的利润不少于最近三年实现的年均可分配利润的百</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分之三十</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日召开的第六届董事会第十二次临</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时会议以及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东大会审议通过</w:t>
            </w:r>
            <w:r>
              <w:rPr>
                <w:rFonts w:ascii="宋体" w:hAnsi="宋体" w:cs="宋体" w:eastAsia="宋体" w:hint="default"/>
                <w:spacing w:val="-12"/>
                <w:sz w:val="18"/>
                <w:szCs w:val="18"/>
              </w:rPr>
              <w:t>了</w:t>
            </w:r>
            <w:r>
              <w:rPr>
                <w:rFonts w:ascii="宋体" w:hAnsi="宋体" w:cs="宋体" w:eastAsia="宋体" w:hint="default"/>
                <w:sz w:val="18"/>
                <w:szCs w:val="18"/>
              </w:rPr>
              <w:t>《关于公司回购股份的预案</w:t>
            </w:r>
            <w:r>
              <w:rPr>
                <w:rFonts w:ascii="宋体" w:hAnsi="宋体" w:cs="宋体" w:eastAsia="宋体" w:hint="default"/>
                <w:spacing w:val="-89"/>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回购股份</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的期限为自股东大会审议通过回购股份方案之日起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内，即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日，以不超过人</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股的价格回购公司股份，回购总金额不超过</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日，公司累计回购股份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7,693,602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占公司总股本的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1.081%</w:t>
            </w:r>
            <w:r>
              <w:rPr>
                <w:rFonts w:ascii="宋体" w:hAnsi="宋体" w:cs="宋体" w:eastAsia="宋体" w:hint="default"/>
                <w:sz w:val="18"/>
                <w:szCs w:val="18"/>
              </w:rPr>
              <w:t>，最高成交价为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股，最低</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成交价为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股</w:t>
            </w:r>
            <w:r>
              <w:rPr>
                <w:rFonts w:ascii="宋体" w:hAnsi="宋体" w:cs="宋体" w:eastAsia="宋体" w:hint="default"/>
                <w:spacing w:val="-82"/>
                <w:sz w:val="18"/>
                <w:szCs w:val="18"/>
              </w:rPr>
              <w:t>，</w:t>
            </w:r>
            <w:r>
              <w:rPr>
                <w:rFonts w:ascii="宋体" w:hAnsi="宋体" w:cs="宋体" w:eastAsia="宋体" w:hint="default"/>
                <w:sz w:val="18"/>
                <w:szCs w:val="18"/>
              </w:rPr>
              <w:t>支付的总金额为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82"/>
                <w:sz w:val="18"/>
                <w:szCs w:val="18"/>
              </w:rPr>
              <w:t>元</w:t>
            </w:r>
            <w:r>
              <w:rPr>
                <w:rFonts w:ascii="宋体" w:hAnsi="宋体" w:cs="宋体" w:eastAsia="宋体" w:hint="default"/>
                <w:sz w:val="18"/>
                <w:szCs w:val="18"/>
              </w:rPr>
              <w:t>（含</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28"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交易费用</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公司目前正在积极进行业务延伸，特种通信物联网业务在</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蓬勃发展，需要较大的资金支持。为顺利进行公司业务的</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战略延伸，实现公司长远稳定的发展，未来给投资者带来</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更好的投资回报，公司拟定</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年度利润分配预案为：全</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47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，送红股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4783"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1017" w:header="905" w:top="1100" w:bottom="1200" w:left="1020" w:right="0"/>
          <w:pgNumType w:start="30"/>
        </w:sectPr>
      </w:pPr>
    </w:p>
    <w:p>
      <w:pPr>
        <w:spacing w:line="240" w:lineRule="auto" w:before="3"/>
        <w:rPr>
          <w:rFonts w:ascii="宋体" w:hAnsi="宋体" w:cs="宋体" w:eastAsia="宋体" w:hint="default"/>
          <w:sz w:val="25"/>
          <w:szCs w:val="25"/>
        </w:rPr>
      </w:pPr>
    </w:p>
    <w:p>
      <w:pPr>
        <w:spacing w:line="376"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18.850pt;mso-position-horizontal-relative:char;mso-position-vertical-relative:line" coordorigin="0,0" coordsize="9586,377">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372;width:9576;height:2" coordorigin="5,372" coordsize="9576,2">
              <v:shape style="position:absolute;left:5;top:372;width:9576;height:2" coordorigin="5,372" coordsize="9576,0" path="m5,372l9581,372e" filled="false" stroked="true" strokeweight=".48pt" strokecolor="#000000">
                <v:path arrowok="t"/>
              </v:shape>
            </v:group>
            <v:group style="position:absolute;left:10;top:5;width:2;height:363" coordorigin="10,5" coordsize="2,363">
              <v:shape style="position:absolute;left:10;top:5;width:2;height:363" coordorigin="10,5" coordsize="0,363" path="m10,5l10,367e" filled="false" stroked="true" strokeweight=".48pt" strokecolor="#000000">
                <v:path arrowok="t"/>
              </v:shape>
            </v:group>
            <v:group style="position:absolute;left:4793;top:5;width:2;height:363" coordorigin="4793,5" coordsize="2,363">
              <v:shape style="position:absolute;left:4793;top:5;width:2;height:363" coordorigin="4793,5" coordsize="0,363" path="m4793,5l4793,367e" filled="false" stroked="true" strokeweight=".48pt" strokecolor="#000000">
                <v:path arrowok="t"/>
              </v:shape>
            </v:group>
            <v:group style="position:absolute;left:9576;top:5;width:2;height:363" coordorigin="9576,5" coordsize="2,363">
              <v:shape style="position:absolute;left:9576;top:5;width:2;height:363" coordorigin="9576,5" coordsize="0,363" path="m9576,5l9576,367e" filled="false" stroked="true" strokeweight=".48pt" strokecolor="#000000">
                <v:path arrowok="t"/>
              </v:shape>
              <v:shape style="position:absolute;left:10;top:10;width:4784;height:363" type="#_x0000_t202" filled="false" stroked="false">
                <v:textbox inset="0,0,0,0">
                  <w:txbxContent>
                    <w:p>
                      <w:pPr>
                        <w:spacing w:before="15"/>
                        <w:ind w:left="105" w:right="0" w:firstLine="0"/>
                        <w:jc w:val="left"/>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89"/>
                          <w:sz w:val="18"/>
                          <w:szCs w:val="18"/>
                        </w:rPr>
                        <w:t>）</w:t>
                      </w:r>
                      <w:r>
                        <w:rPr>
                          <w:rFonts w:ascii="宋体" w:hAnsi="宋体" w:cs="宋体" w:eastAsia="宋体" w:hint="default"/>
                          <w:sz w:val="18"/>
                          <w:szCs w:val="18"/>
                        </w:rPr>
                        <w:t>，不以公积金转增股本。</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794"/>
        <w:gridCol w:w="5772"/>
      </w:tblGrid>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712,028,800</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pacing w:val="-6"/>
                <w:sz w:val="18"/>
                <w:szCs w:val="18"/>
              </w:rPr>
              <w:t>以其他方式（如回购股份）现金分红金额（元）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46,010,428.76</w:t>
            </w:r>
          </w:p>
        </w:tc>
      </w:tr>
      <w:tr>
        <w:trPr>
          <w:trHeight w:val="401"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46,010,428.76</w:t>
            </w:r>
          </w:p>
        </w:tc>
      </w:tr>
      <w:tr>
        <w:trPr>
          <w:trHeight w:val="403"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944,612,685.27</w:t>
            </w:r>
          </w:p>
        </w:tc>
      </w:tr>
      <w:tr>
        <w:trPr>
          <w:trHeight w:val="713" w:hRule="exact"/>
        </w:trPr>
        <w:tc>
          <w:tcPr>
            <w:tcW w:w="3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03"/>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4.87%</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8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1"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本年度不送红股，资本公积金不转增股本。</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7"/>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9"/>
          <w:w w:val="95"/>
        </w:rPr>
        <w:t> </w:t>
      </w:r>
      <w:r>
        <w:rPr>
          <w:spacing w:val="99"/>
          <w:w w:val="95"/>
        </w:rPr>
      </w:r>
      <w:r>
        <w:rPr/>
        <w:t>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34"/>
        <w:gridCol w:w="1126"/>
        <w:gridCol w:w="1126"/>
        <w:gridCol w:w="1126"/>
        <w:gridCol w:w="1126"/>
        <w:gridCol w:w="1123"/>
        <w:gridCol w:w="1106"/>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2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544"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100" w:right="202"/>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14"/>
                <w:sz w:val="18"/>
                <w:szCs w:val="18"/>
              </w:rPr>
              <w:t>钱京、钱平、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江浩然、胡 三龙、潘梅 芳、曹志新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100" w:right="113"/>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10"/>
              <w:jc w:val="left"/>
              <w:rPr>
                <w:rFonts w:ascii="宋体" w:hAnsi="宋体" w:cs="宋体" w:eastAsia="宋体" w:hint="default"/>
                <w:sz w:val="18"/>
                <w:szCs w:val="18"/>
              </w:rPr>
            </w:pPr>
            <w:r>
              <w:rPr>
                <w:rFonts w:ascii="宋体" w:hAnsi="宋体" w:cs="宋体" w:eastAsia="宋体" w:hint="default"/>
                <w:sz w:val="18"/>
                <w:szCs w:val="18"/>
              </w:rPr>
              <w:t>（一）首次 公开发行股 票前持有公 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股份的股东 承诺：在作 为恒宝股份 有限公司股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03"/>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、首次公开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发行股票前 持有公司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份的股东在 作为恒宝股 份有限公司 股东期间；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834"/>
        <w:gridCol w:w="1126"/>
        <w:gridCol w:w="1126"/>
        <w:gridCol w:w="1126"/>
        <w:gridCol w:w="1126"/>
        <w:gridCol w:w="1123"/>
        <w:gridCol w:w="1106"/>
      </w:tblGrid>
      <w:tr>
        <w:trPr>
          <w:trHeight w:val="321" w:hRule="exact"/>
        </w:trPr>
        <w:tc>
          <w:tcPr>
            <w:tcW w:w="2834"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东期间，不</w:t>
            </w:r>
          </w:p>
        </w:tc>
        <w:tc>
          <w:tcPr>
            <w:tcW w:w="1126" w:type="dxa"/>
            <w:vMerge w:val="restart"/>
            <w:tcBorders>
              <w:top w:val="single" w:sz="4" w:space="0" w:color="000000"/>
              <w:left w:val="single" w:sz="4" w:space="0" w:color="000000"/>
              <w:right w:val="single" w:sz="4" w:space="0" w:color="000000"/>
            </w:tcBorders>
          </w:tcPr>
          <w:p>
            <w:pPr/>
          </w:p>
        </w:tc>
        <w:tc>
          <w:tcPr>
            <w:tcW w:w="11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担任公司</w:t>
            </w:r>
          </w:p>
        </w:tc>
        <w:tc>
          <w:tcPr>
            <w:tcW w:w="1106" w:type="dxa"/>
            <w:vMerge w:val="restart"/>
            <w:tcBorders>
              <w:top w:val="single" w:sz="4" w:space="0" w:color="000000"/>
              <w:left w:val="single" w:sz="4" w:space="0" w:color="000000"/>
              <w:right w:val="single" w:sz="4" w:space="0" w:color="000000"/>
            </w:tcBorders>
          </w:tcPr>
          <w:p>
            <w:pPr/>
          </w:p>
        </w:tc>
      </w:tr>
      <w:tr>
        <w:trPr>
          <w:trHeight w:val="308"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会在中国境</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5"/>
                <w:sz w:val="18"/>
                <w:szCs w:val="18"/>
              </w:rPr>
              <w:t>、</w:t>
            </w:r>
            <w:r>
              <w:rPr>
                <w:rFonts w:ascii="宋体" w:hAnsi="宋体" w:cs="宋体" w:eastAsia="宋体" w:hint="default"/>
                <w:sz w:val="18"/>
                <w:szCs w:val="18"/>
              </w:rPr>
              <w:t>监事、</w:t>
            </w: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内或境外，</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员的股东钱</w:t>
            </w: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（包括但不</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京、钱平、</w:t>
            </w: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限于单独经</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江浩然、曹</w:t>
            </w: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营、通过合</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志新在其任</w:t>
            </w: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资经营或拥</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职期间</w:t>
            </w: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有另一公司</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或企业的股</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份及其他权</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益）直接或</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间接参与任</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何与恒宝股</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任何业务或</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活动，也不</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会在与恒宝</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股份有限公</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司有竞争关</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系的企业或</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组织内任</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职。截至报</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告期末，未</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发现同业竞</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争情况。</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（二）公司</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控股股东钱</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京承诺：自</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公司股票上</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市之日起三</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十六个月</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内，不转让</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人管理其持</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股份，也不</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由发行人回</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购其持有的</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股份。截止</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该承诺已履</w:t>
            </w:r>
          </w:p>
        </w:tc>
        <w:tc>
          <w:tcPr>
            <w:tcW w:w="1126" w:type="dxa"/>
            <w:vMerge/>
            <w:tcBorders>
              <w:left w:val="single" w:sz="4" w:space="0" w:color="000000"/>
              <w:right w:val="single" w:sz="4" w:space="0" w:color="000000"/>
            </w:tcBorders>
          </w:tcPr>
          <w:p>
            <w:pPr/>
          </w:p>
        </w:tc>
        <w:tc>
          <w:tcPr>
            <w:tcW w:w="1123" w:type="dxa"/>
            <w:tcBorders>
              <w:top w:val="nil" w:sz="6" w:space="0" w:color="auto"/>
              <w:left w:val="single" w:sz="4" w:space="0" w:color="000000"/>
              <w:bottom w:val="nil" w:sz="6" w:space="0" w:color="auto"/>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4"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126" w:type="dxa"/>
            <w:vMerge/>
            <w:tcBorders>
              <w:left w:val="single" w:sz="4" w:space="0" w:color="000000"/>
              <w:bottom w:val="single" w:sz="4" w:space="0" w:color="000000"/>
              <w:right w:val="single" w:sz="4" w:space="0" w:color="000000"/>
            </w:tcBorders>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834"/>
        <w:gridCol w:w="1126"/>
        <w:gridCol w:w="1126"/>
        <w:gridCol w:w="1126"/>
        <w:gridCol w:w="1126"/>
        <w:gridCol w:w="1123"/>
        <w:gridCol w:w="1106"/>
      </w:tblGrid>
      <w:tr>
        <w:trPr>
          <w:trHeight w:val="317" w:hRule="exact"/>
        </w:trPr>
        <w:tc>
          <w:tcPr>
            <w:tcW w:w="2834"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（三）公司</w:t>
            </w:r>
          </w:p>
        </w:tc>
        <w:tc>
          <w:tcPr>
            <w:tcW w:w="1126" w:type="dxa"/>
            <w:vMerge w:val="restart"/>
            <w:tcBorders>
              <w:top w:val="single" w:sz="4" w:space="0" w:color="000000"/>
              <w:left w:val="single" w:sz="4" w:space="0" w:color="000000"/>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其他股东钱</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82"/>
                <w:sz w:val="18"/>
                <w:szCs w:val="18"/>
              </w:rPr>
              <w:t>、</w:t>
            </w:r>
            <w:r>
              <w:rPr>
                <w:rFonts w:ascii="宋体" w:hAnsi="宋体" w:cs="宋体" w:eastAsia="宋体" w:hint="default"/>
                <w:sz w:val="18"/>
                <w:szCs w:val="18"/>
              </w:rPr>
              <w:t>江浩然、</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胡三龙、潘</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梅芳和曹志</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新承诺：其</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所持有的股</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份中，因</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6"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8"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利润分配增</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加的股份</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6"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864</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8"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万股</w:t>
            </w:r>
            <w:r>
              <w:rPr>
                <w:rFonts w:ascii="宋体" w:hAnsi="宋体" w:cs="宋体" w:eastAsia="宋体" w:hint="default"/>
                <w:spacing w:val="-92"/>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自工</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商变更之日</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6"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8"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日）起三十</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六个月内不</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转让；其他</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股份（合计</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6"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8"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股）自公司</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股票上市交</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易之日起一</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年内不转</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让。截止报</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告期末，该</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承诺已履行</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2"/>
                <w:sz w:val="18"/>
                <w:szCs w:val="18"/>
              </w:rPr>
              <w:t>。</w:t>
            </w:r>
            <w:r>
              <w:rPr>
                <w:rFonts w:ascii="宋体" w:hAnsi="宋体" w:cs="宋体" w:eastAsia="宋体" w:hint="default"/>
                <w:sz w:val="18"/>
                <w:szCs w:val="18"/>
              </w:rPr>
              <w:t>（四）</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担任公司董</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员的股东钱</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京、钱平、</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江浩然、曹</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志新还承</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诺：除前述</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锁定期外，</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在其任职期</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间每年转让</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的股份不得</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超过其上年</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底所持有本</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4"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834"/>
        <w:gridCol w:w="1126"/>
        <w:gridCol w:w="1126"/>
        <w:gridCol w:w="1126"/>
        <w:gridCol w:w="1126"/>
        <w:gridCol w:w="1123"/>
        <w:gridCol w:w="1106"/>
      </w:tblGrid>
      <w:tr>
        <w:trPr>
          <w:trHeight w:val="317" w:hRule="exact"/>
        </w:trPr>
        <w:tc>
          <w:tcPr>
            <w:tcW w:w="2834"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数的百分之</w:t>
            </w:r>
          </w:p>
        </w:tc>
        <w:tc>
          <w:tcPr>
            <w:tcW w:w="1126" w:type="dxa"/>
            <w:vMerge w:val="restart"/>
            <w:tcBorders>
              <w:top w:val="single" w:sz="4" w:space="0" w:color="000000"/>
              <w:left w:val="single" w:sz="4" w:space="0" w:color="000000"/>
              <w:right w:val="single" w:sz="4" w:space="0" w:color="000000"/>
            </w:tcBorders>
          </w:tcPr>
          <w:p>
            <w:pPr/>
          </w:p>
        </w:tc>
        <w:tc>
          <w:tcPr>
            <w:tcW w:w="1123"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二十五；离</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职后半年</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内，不转让</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其所持有的</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本公司股</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份。该承诺</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4"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正在履行</w:t>
            </w:r>
          </w:p>
        </w:tc>
        <w:tc>
          <w:tcPr>
            <w:tcW w:w="1126" w:type="dxa"/>
            <w:vMerge/>
            <w:tcBorders>
              <w:left w:val="single" w:sz="4" w:space="0" w:color="000000"/>
              <w:right w:val="single" w:sz="4" w:space="0" w:color="000000"/>
            </w:tcBorders>
          </w:tcPr>
          <w:p>
            <w:pPr/>
          </w:p>
        </w:tc>
        <w:tc>
          <w:tcPr>
            <w:tcW w:w="1123"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58" w:hRule="exact"/>
        </w:trPr>
        <w:tc>
          <w:tcPr>
            <w:tcW w:w="2834"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w:t>
            </w:r>
          </w:p>
        </w:tc>
        <w:tc>
          <w:tcPr>
            <w:tcW w:w="1126"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8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如承诺超期未履行完毕的</w:t>
            </w:r>
            <w:r>
              <w:rPr>
                <w:rFonts w:ascii="宋体" w:hAnsi="宋体" w:cs="宋体" w:eastAsia="宋体" w:hint="default"/>
                <w:spacing w:val="-80"/>
                <w:sz w:val="18"/>
                <w:szCs w:val="18"/>
              </w:rPr>
              <w:t>，</w:t>
            </w:r>
            <w:r>
              <w:rPr>
                <w:rFonts w:ascii="宋体" w:hAnsi="宋体" w:cs="宋体" w:eastAsia="宋体" w:hint="default"/>
                <w:sz w:val="18"/>
                <w:szCs w:val="18"/>
              </w:rPr>
              <w:t>应当详</w:t>
            </w:r>
          </w:p>
        </w:tc>
        <w:tc>
          <w:tcPr>
            <w:tcW w:w="6732"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w:t>
            </w:r>
          </w:p>
        </w:tc>
        <w:tc>
          <w:tcPr>
            <w:tcW w:w="6732"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8" w:hRule="exact"/>
        </w:trPr>
        <w:tc>
          <w:tcPr>
            <w:tcW w:w="28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下一步的工作计划</w:t>
            </w:r>
          </w:p>
        </w:tc>
        <w:tc>
          <w:tcPr>
            <w:tcW w:w="6732"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1"/>
          <w:szCs w:val="21"/>
        </w:rPr>
      </w:pPr>
    </w:p>
    <w:p>
      <w:pPr>
        <w:pStyle w:val="Heading3"/>
        <w:spacing w:line="259" w:lineRule="auto" w:before="34"/>
        <w:ind w:right="1168"/>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8"/>
          <w:w w:val="95"/>
        </w:rPr>
        <w:t> </w:t>
      </w:r>
      <w:r>
        <w:rPr>
          <w:spacing w:val="98"/>
          <w:w w:val="9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4993"/>
        <w:jc w:val="left"/>
      </w:pPr>
      <w:r>
        <w:rPr/>
        <w:t>□ 适用 √ 不适用 公司报告期不存在控股股东及其关联方对上市公司的非经营性占用资金。</w:t>
      </w:r>
    </w:p>
    <w:p>
      <w:pPr>
        <w:spacing w:line="240" w:lineRule="auto" w:before="3"/>
        <w:rPr>
          <w:rFonts w:ascii="宋体" w:hAnsi="宋体" w:cs="宋体" w:eastAsia="宋体" w:hint="default"/>
          <w:sz w:val="18"/>
          <w:szCs w:val="18"/>
        </w:rPr>
      </w:pPr>
    </w:p>
    <w:p>
      <w:pPr>
        <w:pStyle w:val="Heading2"/>
        <w:spacing w:line="240" w:lineRule="auto"/>
        <w:ind w:right="1033"/>
        <w:jc w:val="left"/>
        <w:rPr>
          <w:b w:val="0"/>
          <w:bCs w:val="0"/>
        </w:rPr>
      </w:pPr>
      <w:r>
        <w:rPr/>
        <w:t>五、董事会、监事会、独立董事（如有）对会计师事务所本报告期“非标准审计报告”的说</w:t>
      </w:r>
      <w:r>
        <w:rPr>
          <w:spacing w:val="-95"/>
        </w:rPr>
        <w:t> </w:t>
      </w:r>
      <w:r>
        <w:rPr>
          <w:spacing w:val="-95"/>
        </w:rPr>
      </w:r>
      <w:r>
        <w:rPr/>
        <w:t>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132"/>
        <w:jc w:val="left"/>
      </w:pPr>
      <w:r>
        <w:rPr/>
        <w:t>√ 适用 □ 不适用 </w:t>
      </w:r>
      <w:r>
        <w:rPr>
          <w:spacing w:val="-3"/>
        </w:rPr>
        <w:t>财政部于2018年6月15日发布了《关于修订印发2018年度一般企业财务报表格式的通知》（财会〔2018〕15号），公司已按照</w:t>
      </w:r>
      <w:r>
        <w:rPr>
          <w:spacing w:val="-86"/>
        </w:rPr>
        <w:t> </w:t>
      </w:r>
      <w:r>
        <w:rPr>
          <w:spacing w:val="-86"/>
        </w:rPr>
      </w:r>
      <w:r>
        <w:rPr/>
        <w:t>上述通知编制2018年度财务报表。可比期间数据已相应调整，列示如下：</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42"/>
        <w:gridCol w:w="2030"/>
        <w:gridCol w:w="2342"/>
        <w:gridCol w:w="2479"/>
      </w:tblGrid>
      <w:tr>
        <w:trPr>
          <w:trHeight w:val="427" w:hRule="exact"/>
        </w:trPr>
        <w:tc>
          <w:tcPr>
            <w:tcW w:w="4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526"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8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502"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2,750,838.58</w:t>
            </w:r>
          </w:p>
        </w:tc>
        <w:tc>
          <w:tcPr>
            <w:tcW w:w="234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79"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334" w:right="0"/>
              <w:jc w:val="left"/>
              <w:rPr>
                <w:rFonts w:ascii="Times New Roman" w:hAnsi="Times New Roman" w:cs="Times New Roman" w:eastAsia="Times New Roman" w:hint="default"/>
                <w:sz w:val="18"/>
                <w:szCs w:val="18"/>
              </w:rPr>
            </w:pPr>
            <w:r>
              <w:rPr>
                <w:rFonts w:ascii="Times New Roman"/>
                <w:sz w:val="18"/>
              </w:rPr>
              <w:t>218,242,478.81</w:t>
            </w:r>
          </w:p>
        </w:tc>
      </w:tr>
      <w:tr>
        <w:trPr>
          <w:trHeight w:val="425"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215,491,640.23</w:t>
            </w:r>
          </w:p>
        </w:tc>
        <w:tc>
          <w:tcPr>
            <w:tcW w:w="2342" w:type="dxa"/>
            <w:vMerge/>
            <w:tcBorders>
              <w:left w:val="single" w:sz="6" w:space="0" w:color="000000"/>
              <w:bottom w:val="single" w:sz="6" w:space="0" w:color="000000"/>
              <w:right w:val="single" w:sz="6" w:space="0" w:color="000000"/>
            </w:tcBorders>
          </w:tcPr>
          <w:p>
            <w:pPr/>
          </w:p>
        </w:tc>
        <w:tc>
          <w:tcPr>
            <w:tcW w:w="2479" w:type="dxa"/>
            <w:vMerge/>
            <w:tcBorders>
              <w:left w:val="single" w:sz="6" w:space="0" w:color="000000"/>
              <w:bottom w:val="single" w:sz="6" w:space="0" w:color="000000"/>
              <w:right w:val="single" w:sz="6" w:space="0" w:color="000000"/>
            </w:tcBorders>
          </w:tcPr>
          <w:p>
            <w:pPr/>
          </w:p>
        </w:tc>
      </w:tr>
    </w:tbl>
    <w:p>
      <w:pPr>
        <w:spacing w:after="0"/>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2842"/>
        <w:gridCol w:w="2030"/>
        <w:gridCol w:w="2342"/>
        <w:gridCol w:w="2479"/>
      </w:tblGrid>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30" w:type="dxa"/>
            <w:tcBorders>
              <w:top w:val="single" w:sz="6" w:space="0" w:color="000000"/>
              <w:left w:val="single" w:sz="6" w:space="0" w:color="000000"/>
              <w:bottom w:val="single" w:sz="6" w:space="0" w:color="000000"/>
              <w:right w:val="single" w:sz="6" w:space="0" w:color="000000"/>
            </w:tcBorders>
          </w:tcPr>
          <w:p>
            <w:pPr/>
          </w:p>
        </w:tc>
        <w:tc>
          <w:tcPr>
            <w:tcW w:w="234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79"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425" w:right="0"/>
              <w:jc w:val="left"/>
              <w:rPr>
                <w:rFonts w:ascii="Times New Roman" w:hAnsi="Times New Roman" w:cs="Times New Roman" w:eastAsia="Times New Roman" w:hint="default"/>
                <w:sz w:val="18"/>
                <w:szCs w:val="18"/>
              </w:rPr>
            </w:pPr>
            <w:r>
              <w:rPr>
                <w:rFonts w:ascii="Times New Roman"/>
                <w:sz w:val="18"/>
              </w:rPr>
              <w:t>96,091,087.92</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96,091,087.92</w:t>
            </w:r>
          </w:p>
        </w:tc>
        <w:tc>
          <w:tcPr>
            <w:tcW w:w="2342" w:type="dxa"/>
            <w:vMerge/>
            <w:tcBorders>
              <w:left w:val="single" w:sz="6" w:space="0" w:color="000000"/>
              <w:bottom w:val="single" w:sz="6" w:space="0" w:color="000000"/>
              <w:right w:val="single" w:sz="6" w:space="0" w:color="000000"/>
            </w:tcBorders>
          </w:tcPr>
          <w:p>
            <w:pPr/>
          </w:p>
        </w:tc>
        <w:tc>
          <w:tcPr>
            <w:tcW w:w="2479" w:type="dxa"/>
            <w:vMerge/>
            <w:tcBorders>
              <w:left w:val="single" w:sz="6" w:space="0" w:color="000000"/>
              <w:bottom w:val="single" w:sz="6" w:space="0" w:color="000000"/>
              <w:right w:val="single" w:sz="6" w:space="0" w:color="000000"/>
            </w:tcBorders>
          </w:tcPr>
          <w:p>
            <w:pPr/>
          </w:p>
        </w:tc>
      </w:tr>
      <w:tr>
        <w:trPr>
          <w:trHeight w:val="427" w:hRule="exact"/>
        </w:trPr>
        <w:tc>
          <w:tcPr>
            <w:tcW w:w="284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30"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888" w:right="-2"/>
              <w:jc w:val="left"/>
              <w:rPr>
                <w:rFonts w:ascii="Times New Roman" w:hAnsi="Times New Roman" w:cs="Times New Roman" w:eastAsia="Times New Roman" w:hint="default"/>
                <w:sz w:val="18"/>
                <w:szCs w:val="18"/>
              </w:rPr>
            </w:pPr>
            <w:r>
              <w:rPr>
                <w:rFonts w:ascii="Times New Roman"/>
                <w:sz w:val="18"/>
              </w:rPr>
              <w:t>210,942,575.86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89,158,810.04</w:t>
            </w:r>
          </w:p>
        </w:tc>
      </w:tr>
      <w:tr>
        <w:trPr>
          <w:trHeight w:val="427" w:hRule="exact"/>
        </w:trPr>
        <w:tc>
          <w:tcPr>
            <w:tcW w:w="2842" w:type="dxa"/>
            <w:vMerge/>
            <w:tcBorders>
              <w:left w:val="single" w:sz="6" w:space="0" w:color="000000"/>
              <w:bottom w:val="single" w:sz="6" w:space="0" w:color="000000"/>
              <w:right w:val="single" w:sz="6" w:space="0" w:color="000000"/>
            </w:tcBorders>
          </w:tcPr>
          <w:p>
            <w:pPr/>
          </w:p>
        </w:tc>
        <w:tc>
          <w:tcPr>
            <w:tcW w:w="2030" w:type="dxa"/>
            <w:vMerge/>
            <w:tcBorders>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121,783,765.82</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54,455,331.80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54,234,533.80</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40,871,580.76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41,092,378.76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613"/>
        <w:jc w:val="left"/>
      </w:pPr>
      <w:r>
        <w:rPr/>
        <w:t>□ 适用 √ 不适用 公司报告期无重大会计差错更正需追溯重述的情况。</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3553"/>
        <w:jc w:val="left"/>
      </w:pPr>
      <w:r>
        <w:rPr/>
        <w:t>√ 适用 □ 不适用 报告期内，公司在肯尼亚设立全资子公司恒宝（中东非洲）有限责任公司，纳入合并范围。</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2"/>
        <w:spacing w:line="240" w:lineRule="auto"/>
        <w:ind w:right="0"/>
        <w:jc w:val="left"/>
        <w:rPr>
          <w:b w:val="0"/>
          <w:bCs w:val="0"/>
        </w:rPr>
      </w:pP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90"/>
        <w:gridCol w:w="4776"/>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70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耿磊</w:t>
            </w:r>
            <w:r>
              <w:rPr>
                <w:rFonts w:ascii="宋体" w:hAnsi="宋体" w:cs="宋体" w:eastAsia="宋体" w:hint="default"/>
                <w:spacing w:val="1"/>
                <w:sz w:val="18"/>
                <w:szCs w:val="18"/>
              </w:rPr>
              <w:t> </w:t>
            </w:r>
            <w:r>
              <w:rPr>
                <w:rFonts w:ascii="宋体" w:hAnsi="宋体" w:cs="宋体" w:eastAsia="宋体" w:hint="default"/>
                <w:sz w:val="18"/>
                <w:szCs w:val="18"/>
              </w:rPr>
              <w:t>赵彧非</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当期是否改聘会计师事务所</w:t>
      </w:r>
    </w:p>
    <w:p>
      <w:pPr>
        <w:pStyle w:val="BodyText"/>
        <w:spacing w:line="360" w:lineRule="auto" w:before="115"/>
        <w:ind w:right="6253"/>
        <w:jc w:val="left"/>
      </w:pPr>
      <w:r>
        <w:rPr/>
        <w:t>□ 是 √ 否 聘请内部控制审计会计师事务所、财务顾问或保荐人情况</w:t>
      </w:r>
    </w:p>
    <w:p>
      <w:pPr>
        <w:pStyle w:val="BodyText"/>
        <w:spacing w:line="240" w:lineRule="auto" w:before="27"/>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3"/>
        <w:jc w:val="left"/>
      </w:pPr>
      <w:r>
        <w:rPr/>
        <w:t>□ 适用 √ 不适用 公司报告期未发生破产重整相关事项。</w:t>
      </w:r>
    </w:p>
    <w:p>
      <w:pPr>
        <w:spacing w:after="0" w:line="360" w:lineRule="auto"/>
        <w:jc w:val="left"/>
        <w:sectPr>
          <w:pgSz w:w="11910" w:h="16840"/>
          <w:pgMar w:header="905" w:footer="1017"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3"/>
        <w:jc w:val="left"/>
      </w:pPr>
      <w:r>
        <w:rPr/>
        <w:t>□ 适用 √ 不适用 本报告期公司无重大诉讼、仲裁事项。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873"/>
        <w:jc w:val="left"/>
      </w:pPr>
      <w:r>
        <w:rPr/>
        <w:t>□ 适用 √ 不适用 公司报告期不存在处罚及整改情况。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033"/>
        <w:jc w:val="left"/>
      </w:pPr>
      <w:r>
        <w:rPr/>
        <w:t>√ 适用 □ 不适用 </w:t>
      </w:r>
      <w:r>
        <w:rPr>
          <w:spacing w:val="-2"/>
        </w:rPr>
        <w:t>报告期内，公司及控股股东、实际控制人诚信状况良好，不存在未履行法院生效判决、所负数额较大的债务到期未清偿等情</w:t>
      </w:r>
      <w:r>
        <w:rPr>
          <w:spacing w:val="-66"/>
        </w:rPr>
        <w:t> </w:t>
      </w:r>
      <w:r>
        <w:rPr>
          <w:spacing w:val="-66"/>
        </w:rPr>
      </w:r>
      <w:r>
        <w:rPr/>
        <w:t>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4453"/>
        <w:jc w:val="left"/>
      </w:pPr>
      <w:r>
        <w:rPr/>
        <w:t>□ 适用 √ 不适用 公司报告期无股权激励计划、员工持股计划或其他员工激励措施及其实施情况。</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十六、重大关联交易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93"/>
        <w:jc w:val="left"/>
      </w:pPr>
      <w:r>
        <w:rPr/>
        <w:t>□ 适用 √ 不适用 公司报告期未发生与日常经营相关的关联交易。</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433"/>
        <w:jc w:val="left"/>
      </w:pPr>
      <w:r>
        <w:rPr/>
        <w:t>□ 适用 √ 不适用 公司报告期未发生资产或股权收购、出售的关联交易。</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153"/>
        <w:jc w:val="left"/>
      </w:pPr>
      <w:r>
        <w:rPr/>
        <w:t>□ 适用 √ 不适用 公司报告期未发生共同对外投资的关联交易。</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 适用 √ 不适用 公司报告期不存在关联债权债务往来。</w:t>
      </w:r>
    </w:p>
    <w:p>
      <w:pPr>
        <w:spacing w:after="0" w:line="36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053"/>
        <w:jc w:val="left"/>
      </w:pPr>
      <w:r>
        <w:rPr/>
        <w:t>□ 适用 √ 不适用 公司报告期无其他重大关联交易。</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3"/>
        <w:jc w:val="left"/>
      </w:pPr>
      <w:r>
        <w:rPr/>
        <w:t>□ 适用 √ 不适用 公司报告期不存在托管情况。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3"/>
        <w:jc w:val="left"/>
      </w:pPr>
      <w:r>
        <w:rPr/>
        <w:t>□ 适用 √ 不适用 公司报告期不存在承包情况。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9223"/>
        <w:jc w:val="left"/>
      </w:pPr>
      <w:r>
        <w:rPr/>
        <w:t>√ 适用 □ 不适用 租赁情况说明</w:t>
      </w:r>
    </w:p>
    <w:p>
      <w:pPr>
        <w:pStyle w:val="BodyText"/>
        <w:spacing w:line="300" w:lineRule="auto" w:before="29"/>
        <w:ind w:right="0" w:firstLine="360"/>
        <w:jc w:val="left"/>
      </w:pPr>
      <w:r>
        <w:rPr>
          <w:spacing w:val="-1"/>
        </w:rPr>
        <w:t>深圳一卡易子公司</w:t>
      </w:r>
      <w:r>
        <w:rPr>
          <w:rFonts w:ascii="Times New Roman" w:hAnsi="Times New Roman" w:cs="Times New Roman" w:eastAsia="Times New Roman" w:hint="default"/>
          <w:spacing w:val="-1"/>
        </w:rPr>
        <w:t>2016</w:t>
      </w:r>
      <w:r>
        <w:rPr>
          <w:spacing w:val="-1"/>
        </w:rPr>
        <w:t>年租入深圳市龙华新区创业路汇海广场</w:t>
      </w:r>
      <w:r>
        <w:rPr>
          <w:rFonts w:ascii="Times New Roman" w:hAnsi="Times New Roman" w:cs="Times New Roman" w:eastAsia="Times New Roman" w:hint="default"/>
          <w:spacing w:val="-1"/>
        </w:rPr>
        <w:t>C</w:t>
      </w:r>
      <w:r>
        <w:rPr>
          <w:spacing w:val="-1"/>
        </w:rPr>
        <w:t>栋</w:t>
      </w:r>
      <w:r>
        <w:rPr>
          <w:rFonts w:ascii="Times New Roman" w:hAnsi="Times New Roman" w:cs="Times New Roman" w:eastAsia="Times New Roman" w:hint="default"/>
          <w:spacing w:val="-1"/>
        </w:rPr>
        <w:t>20</w:t>
      </w:r>
      <w:r>
        <w:rPr>
          <w:spacing w:val="-1"/>
        </w:rPr>
        <w:t>层，深圳市汇海宏融投资发展有限公司所属的写字</w:t>
      </w:r>
      <w:r>
        <w:rPr/>
        <w:t> 楼</w:t>
      </w:r>
      <w:r>
        <w:rPr>
          <w:rFonts w:ascii="Times New Roman" w:hAnsi="Times New Roman" w:cs="Times New Roman" w:eastAsia="Times New Roman" w:hint="default"/>
        </w:rPr>
        <w:t>1584</w:t>
      </w:r>
      <w:r>
        <w:rPr/>
        <w:t>平方米作为经营、办公场所，租赁期限为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日，年租金为</w:t>
      </w:r>
      <w:r>
        <w:rPr>
          <w:rFonts w:ascii="Times New Roman" w:hAnsi="Times New Roman" w:cs="Times New Roman" w:eastAsia="Times New Roman" w:hint="default"/>
        </w:rPr>
        <w:t>1,710,720.00</w:t>
      </w:r>
      <w:r>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left"/>
      </w:pPr>
      <w:r>
        <w:rPr/>
        <w:t>为公司带来的损益达到公司报告期利润总额</w:t>
      </w:r>
      <w:r>
        <w:rPr>
          <w:spacing w:val="-48"/>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t>□ 适用 √ 不适用</w:t>
      </w:r>
    </w:p>
    <w:p>
      <w:pPr>
        <w:pStyle w:val="BodyText"/>
        <w:spacing w:line="240" w:lineRule="auto" w:before="117"/>
        <w:ind w:right="0"/>
        <w:jc w:val="left"/>
      </w:pPr>
      <w:r>
        <w:rPr/>
        <w:t>公司报告期不存在为公司带来的损益达到公司报告期利润总额</w:t>
      </w:r>
      <w:r>
        <w:rPr>
          <w:spacing w:val="-48"/>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 适用 √ 不适用 公司报告期不存在担保情况。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8"/>
          <w:pgSz w:w="11910" w:h="16840"/>
          <w:pgMar w:header="905" w:footer="1017" w:top="1100" w:bottom="1200" w:left="1020" w:right="0"/>
        </w:sectPr>
      </w:pPr>
    </w:p>
    <w:p>
      <w:pPr>
        <w:pStyle w:val="BodyText"/>
        <w:spacing w:line="360"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00" w:left="1020" w:right="0"/>
          <w:cols w:num="2" w:equalWidth="0">
            <w:col w:w="1913" w:space="6825"/>
            <w:col w:w="2152"/>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867"/>
        <w:gridCol w:w="1961"/>
        <w:gridCol w:w="1982"/>
        <w:gridCol w:w="1908"/>
        <w:gridCol w:w="1848"/>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867"/>
        <w:gridCol w:w="1961"/>
        <w:gridCol w:w="1982"/>
        <w:gridCol w:w="1908"/>
        <w:gridCol w:w="1848"/>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105,436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23,835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105,436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23,835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both"/>
      </w:pPr>
      <w:r>
        <w:rPr/>
        <w:t>单项金额重大或安全性较低、流动性较差、不保本的高风险委托理财具体情况</w:t>
      </w:r>
    </w:p>
    <w:p>
      <w:pPr>
        <w:pStyle w:val="BodyText"/>
        <w:spacing w:line="360" w:lineRule="auto" w:before="117"/>
        <w:ind w:right="5713"/>
        <w:jc w:val="left"/>
      </w:pPr>
      <w:r>
        <w:rPr/>
        <w:t>□ 适用 √ 不适用 委托理财出现预期无法收回本金或存在其他可能导致减值的情形</w:t>
      </w:r>
    </w:p>
    <w:p>
      <w:pPr>
        <w:pStyle w:val="BodyText"/>
        <w:spacing w:line="240" w:lineRule="auto" w:before="24"/>
        <w:ind w:right="0"/>
        <w:jc w:val="both"/>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413"/>
        <w:jc w:val="left"/>
      </w:pPr>
      <w:r>
        <w:rPr/>
        <w:t>□ 适用 √ 不适用 公司报告期不存在委托贷款。</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053"/>
        <w:jc w:val="left"/>
      </w:pPr>
      <w:r>
        <w:rPr/>
        <w:t>□ 适用 √ 不适用 公司报告期不存在其他重大合同。</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spacing w:val="-2"/>
        </w:rPr>
        <w:t>（</w:t>
      </w:r>
      <w:r>
        <w:rPr>
          <w:rFonts w:ascii="Times New Roman" w:hAnsi="Times New Roman" w:cs="Times New Roman" w:eastAsia="Times New Roman" w:hint="default"/>
          <w:spacing w:val="-2"/>
        </w:rPr>
        <w:t>1</w:t>
      </w:r>
      <w:r>
        <w:rPr>
          <w:spacing w:val="-2"/>
        </w:rPr>
        <w:t>）保障股东特别是中小股东的权益的责任：规范运作公司</w:t>
      </w:r>
      <w:r>
        <w:rPr>
          <w:rFonts w:ascii="Times New Roman" w:hAnsi="Times New Roman" w:cs="Times New Roman" w:eastAsia="Times New Roman" w:hint="default"/>
          <w:spacing w:val="-2"/>
        </w:rPr>
        <w:t>“</w:t>
      </w:r>
      <w:r>
        <w:rPr>
          <w:spacing w:val="-2"/>
        </w:rPr>
        <w:t>三会</w:t>
      </w:r>
      <w:r>
        <w:rPr>
          <w:rFonts w:ascii="Times New Roman" w:hAnsi="Times New Roman" w:cs="Times New Roman" w:eastAsia="Times New Roman" w:hint="default"/>
          <w:spacing w:val="-2"/>
        </w:rPr>
        <w:t>”</w:t>
      </w:r>
      <w:r>
        <w:rPr>
          <w:spacing w:val="-2"/>
        </w:rPr>
        <w:t>，及时准确完整地披露相关信息；建立投资者关系平台，</w:t>
      </w:r>
      <w:r>
        <w:rPr>
          <w:spacing w:val="-39"/>
        </w:rPr>
        <w:t> </w:t>
      </w:r>
      <w:r>
        <w:rPr>
          <w:spacing w:val="-39"/>
        </w:rPr>
      </w:r>
      <w:r>
        <w:rPr>
          <w:spacing w:val="-2"/>
        </w:rPr>
        <w:t>及时回答投资者的提问；做好投资者调研接待，真实完整介绍公司的经营现状和发展战略，确保广大投资者能公开、公平地</w:t>
      </w:r>
      <w:r>
        <w:rPr>
          <w:spacing w:val="-66"/>
        </w:rPr>
        <w:t> </w:t>
      </w:r>
      <w:r>
        <w:rPr>
          <w:spacing w:val="-66"/>
        </w:rPr>
      </w:r>
      <w:r>
        <w:rPr/>
        <w:t>获得公司信息，了解公司经营状况。</w:t>
      </w:r>
    </w:p>
    <w:p>
      <w:pPr>
        <w:pStyle w:val="BodyText"/>
        <w:spacing w:line="307" w:lineRule="auto" w:before="24"/>
        <w:ind w:right="1127"/>
        <w:jc w:val="both"/>
      </w:pPr>
      <w:r>
        <w:rPr/>
        <w:t>（</w:t>
      </w:r>
      <w:r>
        <w:rPr>
          <w:rFonts w:ascii="Times New Roman" w:hAnsi="Times New Roman" w:cs="Times New Roman" w:eastAsia="Times New Roman" w:hint="default"/>
        </w:rPr>
        <w:t>2</w:t>
      </w:r>
      <w:r>
        <w:rPr/>
        <w:t>）保护员工合法权益的责任：严格按照国家相关法律法规建立员工用工制度和保障制度，注重员工工作环境的改造和优</w:t>
      </w:r>
      <w:r>
        <w:rPr>
          <w:spacing w:val="-85"/>
        </w:rPr>
        <w:t> </w:t>
      </w:r>
      <w:r>
        <w:rPr>
          <w:spacing w:val="-85"/>
        </w:rPr>
      </w:r>
      <w:r>
        <w:rPr>
          <w:spacing w:val="-1"/>
        </w:rPr>
        <w:t>化，特殊工种享有特种补贴，公司通过了</w:t>
      </w:r>
      <w:r>
        <w:rPr>
          <w:rFonts w:ascii="Times New Roman" w:hAnsi="Times New Roman" w:cs="Times New Roman" w:eastAsia="Times New Roman" w:hint="default"/>
          <w:spacing w:val="-1"/>
        </w:rPr>
        <w:t>OHSAS18001</w:t>
      </w:r>
      <w:r>
        <w:rPr>
          <w:spacing w:val="-1"/>
        </w:rPr>
        <w:t>：</w:t>
      </w:r>
      <w:r>
        <w:rPr>
          <w:rFonts w:ascii="Times New Roman" w:hAnsi="Times New Roman" w:cs="Times New Roman" w:eastAsia="Times New Roman" w:hint="default"/>
          <w:spacing w:val="-1"/>
        </w:rPr>
        <w:t>2007</w:t>
      </w:r>
      <w:r>
        <w:rPr>
          <w:spacing w:val="-1"/>
        </w:rPr>
        <w:t>职业健康安全管理体系；积极发挥工会的作用，维护员工个人</w:t>
      </w:r>
      <w:r>
        <w:rPr>
          <w:spacing w:val="-79"/>
        </w:rPr>
        <w:t> </w:t>
      </w:r>
      <w:r>
        <w:rPr>
          <w:spacing w:val="-79"/>
        </w:rPr>
      </w:r>
      <w:r>
        <w:rPr>
          <w:spacing w:val="-2"/>
        </w:rPr>
        <w:t>合法权益；建立员工培训和持续教育制度，注重员工素质的培养和提高，建立人才成长通道；重视企业文化建设，构建企业</w:t>
      </w:r>
      <w:r>
        <w:rPr>
          <w:spacing w:val="-63"/>
        </w:rPr>
        <w:t> </w:t>
      </w:r>
      <w:r>
        <w:rPr>
          <w:spacing w:val="-63"/>
        </w:rPr>
      </w:r>
      <w:r>
        <w:rPr/>
        <w:t>与员工共同发展的环境。</w:t>
      </w:r>
    </w:p>
    <w:p>
      <w:pPr>
        <w:pStyle w:val="BodyText"/>
        <w:spacing w:line="300" w:lineRule="auto" w:before="26"/>
        <w:ind w:right="1122"/>
        <w:jc w:val="both"/>
      </w:pPr>
      <w:r>
        <w:rPr/>
        <w:t>（</w:t>
      </w:r>
      <w:r>
        <w:rPr>
          <w:rFonts w:ascii="Times New Roman" w:hAnsi="Times New Roman" w:cs="Times New Roman" w:eastAsia="Times New Roman" w:hint="default"/>
        </w:rPr>
        <w:t>3</w:t>
      </w:r>
      <w:r>
        <w:rPr/>
        <w:t>）保护债权人、消费者合法权益的责任：公司是江苏省</w:t>
      </w:r>
      <w:r>
        <w:rPr>
          <w:rFonts w:ascii="Times New Roman" w:hAnsi="Times New Roman" w:cs="Times New Roman" w:eastAsia="Times New Roman" w:hint="default"/>
        </w:rPr>
        <w:t>“</w:t>
      </w:r>
      <w:r>
        <w:rPr/>
        <w:t>重合同守信用</w:t>
      </w:r>
      <w:r>
        <w:rPr>
          <w:rFonts w:ascii="Times New Roman" w:hAnsi="Times New Roman" w:cs="Times New Roman" w:eastAsia="Times New Roman" w:hint="default"/>
        </w:rPr>
        <w:t>”</w:t>
      </w:r>
      <w:r>
        <w:rPr/>
        <w:t>单位，镇江市</w:t>
      </w:r>
      <w:r>
        <w:rPr>
          <w:rFonts w:ascii="Times New Roman" w:hAnsi="Times New Roman" w:cs="Times New Roman" w:eastAsia="Times New Roman" w:hint="default"/>
        </w:rPr>
        <w:t>“A</w:t>
      </w:r>
      <w:r>
        <w:rPr/>
        <w:t>纳税信用等级</w:t>
      </w:r>
      <w:r>
        <w:rPr>
          <w:rFonts w:ascii="Times New Roman" w:hAnsi="Times New Roman" w:cs="Times New Roman" w:eastAsia="Times New Roman" w:hint="default"/>
        </w:rPr>
        <w:t>”</w:t>
      </w:r>
      <w:r>
        <w:rPr/>
        <w:t>单位，</w:t>
      </w:r>
      <w:r>
        <w:rPr>
          <w:rFonts w:ascii="Times New Roman" w:hAnsi="Times New Roman" w:cs="Times New Roman" w:eastAsia="Times New Roman" w:hint="default"/>
        </w:rPr>
        <w:t>“AAA</w:t>
      </w:r>
      <w:r>
        <w:rPr/>
        <w:t>资信 等级</w:t>
      </w:r>
      <w:r>
        <w:rPr>
          <w:rFonts w:ascii="Times New Roman" w:hAnsi="Times New Roman" w:cs="Times New Roman" w:eastAsia="Times New Roman" w:hint="default"/>
        </w:rPr>
        <w:t>”</w:t>
      </w:r>
      <w:r>
        <w:rPr/>
        <w:t>单位，通过了</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w:t>
      </w:r>
      <w:r>
        <w:rPr/>
        <w:t>质量管理体系、</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2004</w:t>
      </w:r>
      <w:r>
        <w:rPr/>
        <w:t>环境管理体系，注重与供应商的交流和沟通，以互惠互</w:t>
      </w:r>
      <w:r>
        <w:rPr>
          <w:spacing w:val="-45"/>
        </w:rPr>
        <w:t> </w:t>
      </w:r>
      <w:r>
        <w:rPr>
          <w:spacing w:val="-45"/>
        </w:rPr>
      </w:r>
      <w:r>
        <w:rPr/>
        <w:t>利、质量优先为前提，共同发展；重视产品质量的提高和服务的优化，保护消费者的合法权益。</w:t>
      </w:r>
    </w:p>
    <w:p>
      <w:pPr>
        <w:pStyle w:val="BodyText"/>
        <w:spacing w:line="300" w:lineRule="auto" w:before="31"/>
        <w:ind w:right="1033"/>
        <w:jc w:val="left"/>
      </w:pPr>
      <w:r>
        <w:rPr/>
        <w:t>（4）保护环境的社会责任：公司是高新企业，提供高端智能卡及解决方案，无</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污染；厂区实施园林式建设和规划，</w:t>
      </w:r>
      <w:r>
        <w:rPr>
          <w:spacing w:val="-68"/>
        </w:rPr>
        <w:t> </w:t>
      </w:r>
      <w:r>
        <w:rPr>
          <w:spacing w:val="-68"/>
        </w:rPr>
      </w:r>
      <w:r>
        <w:rPr/>
        <w:t>环境优美。</w:t>
      </w:r>
    </w:p>
    <w:p>
      <w:pPr>
        <w:pStyle w:val="BodyText"/>
        <w:spacing w:line="240" w:lineRule="auto" w:before="31"/>
        <w:ind w:right="0"/>
        <w:jc w:val="both"/>
      </w:pPr>
      <w:r>
        <w:rPr/>
        <w:t>（</w:t>
      </w:r>
      <w:r>
        <w:rPr>
          <w:rFonts w:ascii="Times New Roman" w:hAnsi="Times New Roman" w:cs="Times New Roman" w:eastAsia="Times New Roman" w:hint="default"/>
        </w:rPr>
        <w:t>5</w:t>
      </w:r>
      <w:r>
        <w:rPr/>
        <w:t>）其他社会责任：注重社区社会责任，每年为社区内的学校、敬老院等提供资助和服务，构建和谐的社区文化。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报告期对富平县扶贫</w:t>
      </w:r>
      <w:r>
        <w:rPr>
          <w:rFonts w:ascii="Times New Roman" w:hAnsi="Times New Roman" w:cs="Times New Roman" w:eastAsia="Times New Roman" w:hint="default"/>
        </w:rPr>
        <w:t>3</w:t>
      </w:r>
      <w:r>
        <w:rPr/>
        <w:t>万元。</w:t>
      </w:r>
    </w:p>
    <w:p>
      <w:pPr>
        <w:spacing w:after="0" w:line="240" w:lineRule="auto"/>
        <w:jc w:val="both"/>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593"/>
        <w:gridCol w:w="1462"/>
        <w:gridCol w:w="4512"/>
      </w:tblGrid>
      <w:tr>
        <w:trPr>
          <w:trHeight w:val="401"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5713"/>
        <w:jc w:val="left"/>
      </w:pPr>
      <w:r>
        <w:rPr/>
        <w:t>上市公司及其子公司是否属于环境保护部门公布的重点排污单位 不适用</w:t>
      </w:r>
    </w:p>
    <w:p>
      <w:pPr>
        <w:pStyle w:val="BodyText"/>
        <w:spacing w:line="300" w:lineRule="auto" w:before="25"/>
        <w:ind w:right="1193"/>
        <w:jc w:val="left"/>
      </w:pPr>
      <w:r>
        <w:rPr/>
        <w:t>本公司严格按照有关环保法规及相应标准对废水、固废进行有效综合治理，积极践行企业环保责任。公司建立了</w:t>
      </w:r>
      <w:r>
        <w:rPr>
          <w:rFonts w:ascii="Times New Roman" w:hAnsi="Times New Roman" w:cs="Times New Roman" w:eastAsia="Times New Roman" w:hint="default"/>
        </w:rPr>
        <w:t>ISO14001 </w:t>
      </w:r>
      <w:r>
        <w:rPr/>
        <w:t>环境管理体系，将环境保护、节能减排工作纳入重要工作管理。</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153"/>
        <w:jc w:val="left"/>
      </w:pPr>
      <w:r>
        <w:rPr/>
        <w:t>□ 适用 √ 不适用 公司报告期不存在需要说明的其他重大事项。</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5" w:footer="1017"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0"/>
        <w:jc w:val="left"/>
        <w:rPr>
          <w:b w:val="0"/>
          <w:bCs w:val="0"/>
        </w:rPr>
      </w:pPr>
      <w:bookmarkStart w:name="_TOC_250006" w:id="6"/>
      <w:r>
        <w:rPr/>
        <w:t>第六节</w:t>
      </w:r>
      <w:r>
        <w:rPr>
          <w:spacing w:val="-8"/>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225"/>
        <w:gridCol w:w="823"/>
        <w:gridCol w:w="823"/>
        <w:gridCol w:w="823"/>
        <w:gridCol w:w="823"/>
        <w:gridCol w:w="821"/>
        <w:gridCol w:w="823"/>
        <w:gridCol w:w="821"/>
        <w:gridCol w:w="794"/>
        <w:gridCol w:w="794"/>
      </w:tblGrid>
      <w:tr>
        <w:trPr>
          <w:trHeight w:val="401" w:hRule="exact"/>
        </w:trPr>
        <w:tc>
          <w:tcPr>
            <w:tcW w:w="2225" w:type="dxa"/>
            <w:vMerge w:val="restart"/>
            <w:tcBorders>
              <w:top w:val="single" w:sz="4" w:space="0" w:color="000000"/>
              <w:left w:val="single" w:sz="4" w:space="0" w:color="000000"/>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225"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6"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3" w:right="134"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3" w:hRule="exact"/>
        </w:trPr>
        <w:tc>
          <w:tcPr>
            <w:tcW w:w="2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4" w:right="0"/>
              <w:jc w:val="left"/>
              <w:rPr>
                <w:rFonts w:ascii="Times New Roman" w:hAnsi="Times New Roman" w:cs="Times New Roman" w:eastAsia="Times New Roman" w:hint="default"/>
                <w:sz w:val="18"/>
                <w:szCs w:val="18"/>
              </w:rPr>
            </w:pPr>
            <w:r>
              <w:rPr>
                <w:rFonts w:ascii="Times New Roman"/>
                <w:sz w:val="18"/>
              </w:rPr>
              <w:t>109,807</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,869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15.42%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-884,44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-884,44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4" w:right="0"/>
              <w:jc w:val="left"/>
              <w:rPr>
                <w:rFonts w:ascii="Times New Roman" w:hAnsi="Times New Roman" w:cs="Times New Roman" w:eastAsia="Times New Roman" w:hint="default"/>
                <w:sz w:val="18"/>
                <w:szCs w:val="18"/>
              </w:rPr>
            </w:pPr>
            <w:r>
              <w:rPr>
                <w:rFonts w:ascii="Times New Roman"/>
                <w:sz w:val="18"/>
              </w:rPr>
              <w:t>108,92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3,425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15.30%</w:t>
            </w:r>
          </w:p>
        </w:tc>
      </w:tr>
      <w:tr>
        <w:trPr>
          <w:trHeight w:val="715" w:hRule="exact"/>
        </w:trPr>
        <w:tc>
          <w:tcPr>
            <w:tcW w:w="2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109,807</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,869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15.42%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-884,44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-884,44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108,92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3,425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15.30%</w:t>
            </w:r>
          </w:p>
        </w:tc>
      </w:tr>
      <w:tr>
        <w:trPr>
          <w:trHeight w:val="713" w:hRule="exact"/>
        </w:trPr>
        <w:tc>
          <w:tcPr>
            <w:tcW w:w="2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4" w:right="0"/>
              <w:jc w:val="left"/>
              <w:rPr>
                <w:rFonts w:ascii="Times New Roman" w:hAnsi="Times New Roman" w:cs="Times New Roman" w:eastAsia="Times New Roman" w:hint="default"/>
                <w:sz w:val="18"/>
                <w:szCs w:val="18"/>
              </w:rPr>
            </w:pPr>
            <w:r>
              <w:rPr>
                <w:rFonts w:ascii="Times New Roman"/>
                <w:sz w:val="18"/>
              </w:rPr>
              <w:t>109,807</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,869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15.42%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-884,44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-884,44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4" w:right="0"/>
              <w:jc w:val="left"/>
              <w:rPr>
                <w:rFonts w:ascii="Times New Roman" w:hAnsi="Times New Roman" w:cs="Times New Roman" w:eastAsia="Times New Roman" w:hint="default"/>
                <w:sz w:val="18"/>
                <w:szCs w:val="18"/>
              </w:rPr>
            </w:pPr>
            <w:r>
              <w:rPr>
                <w:rFonts w:ascii="Times New Roman"/>
                <w:sz w:val="18"/>
              </w:rPr>
              <w:t>108,92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3,425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15.30%</w:t>
            </w:r>
          </w:p>
        </w:tc>
      </w:tr>
      <w:tr>
        <w:trPr>
          <w:trHeight w:val="715" w:hRule="exact"/>
        </w:trPr>
        <w:tc>
          <w:tcPr>
            <w:tcW w:w="2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602,220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,931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84.58%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884,444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884,444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603,10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5,375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84.70%</w:t>
            </w:r>
          </w:p>
        </w:tc>
      </w:tr>
      <w:tr>
        <w:trPr>
          <w:trHeight w:val="713" w:hRule="exact"/>
        </w:trPr>
        <w:tc>
          <w:tcPr>
            <w:tcW w:w="2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4" w:right="0"/>
              <w:jc w:val="left"/>
              <w:rPr>
                <w:rFonts w:ascii="Times New Roman" w:hAnsi="Times New Roman" w:cs="Times New Roman" w:eastAsia="Times New Roman" w:hint="default"/>
                <w:sz w:val="18"/>
                <w:szCs w:val="18"/>
              </w:rPr>
            </w:pPr>
            <w:r>
              <w:rPr>
                <w:rFonts w:ascii="Times New Roman"/>
                <w:sz w:val="18"/>
              </w:rPr>
              <w:t>602,220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,931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84.58%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884,444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884,444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4" w:right="0"/>
              <w:jc w:val="left"/>
              <w:rPr>
                <w:rFonts w:ascii="Times New Roman" w:hAnsi="Times New Roman" w:cs="Times New Roman" w:eastAsia="Times New Roman" w:hint="default"/>
                <w:sz w:val="18"/>
                <w:szCs w:val="18"/>
              </w:rPr>
            </w:pPr>
            <w:r>
              <w:rPr>
                <w:rFonts w:ascii="Times New Roman"/>
                <w:sz w:val="18"/>
              </w:rPr>
              <w:t>603,10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5,375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84.70%</w:t>
            </w:r>
          </w:p>
        </w:tc>
      </w:tr>
      <w:tr>
        <w:trPr>
          <w:trHeight w:val="715" w:hRule="exact"/>
        </w:trPr>
        <w:tc>
          <w:tcPr>
            <w:tcW w:w="2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712,028</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712,02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8,800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0"/>
        <w:jc w:val="left"/>
      </w:pPr>
      <w:r>
        <w:rPr/>
        <w:t>股份变动的原因</w:t>
      </w:r>
    </w:p>
    <w:p>
      <w:pPr>
        <w:pStyle w:val="BodyText"/>
        <w:spacing w:line="240" w:lineRule="auto" w:before="115"/>
        <w:ind w:right="0"/>
        <w:jc w:val="left"/>
      </w:pPr>
      <w:r>
        <w:rPr/>
        <w:t>√ 适用 □ 不适用</w:t>
      </w:r>
    </w:p>
    <w:p>
      <w:pPr>
        <w:pStyle w:val="BodyText"/>
        <w:spacing w:line="240" w:lineRule="auto" w:before="117"/>
        <w:ind w:right="0"/>
        <w:jc w:val="left"/>
      </w:pPr>
      <w:r>
        <w:rPr>
          <w:rFonts w:ascii="Times New Roman" w:hAnsi="Times New Roman" w:cs="Times New Roman" w:eastAsia="Times New Roman" w:hint="default"/>
        </w:rPr>
        <w:t>1.</w:t>
      </w:r>
      <w:r>
        <w:rPr/>
        <w:t>报告期内公司董监高限售股解禁变动；</w:t>
      </w:r>
    </w:p>
    <w:p>
      <w:pPr>
        <w:pStyle w:val="BodyText"/>
        <w:spacing w:line="340" w:lineRule="auto" w:before="62"/>
        <w:ind w:right="8278"/>
        <w:jc w:val="left"/>
      </w:pPr>
      <w:r>
        <w:rPr>
          <w:rFonts w:ascii="Times New Roman" w:hAnsi="Times New Roman" w:cs="Times New Roman" w:eastAsia="Times New Roman" w:hint="default"/>
        </w:rPr>
        <w:t>2.</w:t>
      </w:r>
      <w:r>
        <w:rPr/>
        <w:t>报告期内公司高管股份锁定。 股份变动的批准情况</w:t>
      </w:r>
    </w:p>
    <w:p>
      <w:pPr>
        <w:pStyle w:val="BodyText"/>
        <w:spacing w:line="360" w:lineRule="auto" w:before="39"/>
        <w:ind w:right="9133"/>
        <w:jc w:val="left"/>
      </w:pPr>
      <w:r>
        <w:rPr/>
        <w:t>□ 适用 √ 不适用 股份变动的过户情况</w:t>
      </w:r>
    </w:p>
    <w:p>
      <w:pPr>
        <w:pStyle w:val="BodyText"/>
        <w:spacing w:line="357" w:lineRule="auto" w:before="27"/>
        <w:ind w:right="8773"/>
        <w:jc w:val="left"/>
      </w:pPr>
      <w:r>
        <w:rPr/>
        <w:t>□ 适用 √ 不适用 股份回购的实施进展情况</w:t>
      </w:r>
    </w:p>
    <w:p>
      <w:pPr>
        <w:pStyle w:val="BodyText"/>
        <w:spacing w:line="240" w:lineRule="auto" w:before="29"/>
        <w:ind w:right="0"/>
        <w:jc w:val="left"/>
      </w:pPr>
      <w:r>
        <w:rPr/>
        <w:t>√ 适用 □ 不适用</w:t>
      </w:r>
    </w:p>
    <w:p>
      <w:pPr>
        <w:pStyle w:val="BodyText"/>
        <w:spacing w:line="300" w:lineRule="auto" w:before="117"/>
        <w:ind w:right="1123"/>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日召开的第六届董事会第十二次临时会议以及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日召开的</w:t>
      </w:r>
      <w:r>
        <w:rPr>
          <w:rFonts w:ascii="Times New Roman" w:hAnsi="Times New Roman" w:cs="Times New Roman" w:eastAsia="Times New Roman" w:hint="default"/>
        </w:rPr>
        <w:t>2018</w:t>
      </w:r>
      <w:r>
        <w:rPr/>
        <w:t>年第一次临时股东大会审议通过 </w:t>
      </w:r>
      <w:r>
        <w:rPr>
          <w:spacing w:val="-2"/>
        </w:rPr>
        <w:t>了《关于公司回购股份的预案》，回购股份的期限为自股东大会审议通过回购股份方案之日起</w:t>
      </w:r>
      <w:r>
        <w:rPr>
          <w:rFonts w:ascii="Times New Roman" w:hAnsi="Times New Roman" w:cs="Times New Roman" w:eastAsia="Times New Roman" w:hint="default"/>
          <w:spacing w:val="-2"/>
        </w:rPr>
        <w:t>12</w:t>
      </w:r>
      <w:r>
        <w:rPr>
          <w:spacing w:val="-2"/>
        </w:rPr>
        <w:t>个月内，即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日至</w:t>
      </w:r>
      <w:r>
        <w:rPr>
          <w:spacing w:val="-67"/>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日，以不超过人民币</w:t>
      </w:r>
      <w:r>
        <w:rPr>
          <w:rFonts w:ascii="Times New Roman" w:hAnsi="Times New Roman" w:cs="Times New Roman" w:eastAsia="Times New Roman" w:hint="default"/>
        </w:rPr>
        <w:t>7.20</w:t>
      </w:r>
      <w:r>
        <w:rPr/>
        <w:t>元</w:t>
      </w:r>
      <w:r>
        <w:rPr>
          <w:rFonts w:ascii="Times New Roman" w:hAnsi="Times New Roman" w:cs="Times New Roman" w:eastAsia="Times New Roman" w:hint="default"/>
        </w:rPr>
        <w:t>/</w:t>
      </w:r>
      <w:r>
        <w:rPr/>
        <w:t>股的价格回购公司股份，回购总金额不超过</w:t>
      </w:r>
      <w:r>
        <w:rPr>
          <w:rFonts w:ascii="Times New Roman" w:hAnsi="Times New Roman" w:cs="Times New Roman" w:eastAsia="Times New Roman" w:hint="default"/>
        </w:rPr>
        <w:t>20,000.00</w:t>
      </w:r>
      <w:r>
        <w:rPr/>
        <w:t>万元，不低于</w:t>
      </w:r>
      <w:r>
        <w:rPr>
          <w:rFonts w:ascii="Times New Roman" w:hAnsi="Times New Roman" w:cs="Times New Roman" w:eastAsia="Times New Roman" w:hint="default"/>
        </w:rPr>
        <w:t>10,000.00</w:t>
      </w:r>
      <w:r>
        <w:rPr/>
        <w:t>万元。 </w:t>
      </w:r>
      <w:r>
        <w:rPr>
          <w:spacing w:val="-4"/>
        </w:rPr>
        <w:t>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日，公司累计回购股份</w:t>
      </w:r>
      <w:r>
        <w:rPr>
          <w:rFonts w:ascii="Times New Roman" w:hAnsi="Times New Roman" w:cs="Times New Roman" w:eastAsia="Times New Roman" w:hint="default"/>
          <w:spacing w:val="-4"/>
        </w:rPr>
        <w:t>7,693,602</w:t>
      </w:r>
      <w:r>
        <w:rPr>
          <w:spacing w:val="-4"/>
        </w:rPr>
        <w:t>股，占公司总股本的</w:t>
      </w:r>
      <w:r>
        <w:rPr>
          <w:rFonts w:ascii="Times New Roman" w:hAnsi="Times New Roman" w:cs="Times New Roman" w:eastAsia="Times New Roman" w:hint="default"/>
          <w:spacing w:val="-4"/>
        </w:rPr>
        <w:t>1.081%</w:t>
      </w:r>
      <w:r>
        <w:rPr>
          <w:spacing w:val="-4"/>
        </w:rPr>
        <w:t>，最高成交价为</w:t>
      </w:r>
      <w:r>
        <w:rPr>
          <w:rFonts w:ascii="Times New Roman" w:hAnsi="Times New Roman" w:cs="Times New Roman" w:eastAsia="Times New Roman" w:hint="default"/>
          <w:spacing w:val="-4"/>
        </w:rPr>
        <w:t>6.352</w:t>
      </w:r>
      <w:r>
        <w:rPr>
          <w:spacing w:val="-4"/>
        </w:rPr>
        <w:t>元</w:t>
      </w:r>
      <w:r>
        <w:rPr>
          <w:rFonts w:ascii="Times New Roman" w:hAnsi="Times New Roman" w:cs="Times New Roman" w:eastAsia="Times New Roman" w:hint="default"/>
          <w:spacing w:val="-4"/>
        </w:rPr>
        <w:t>/</w:t>
      </w:r>
      <w:r>
        <w:rPr>
          <w:spacing w:val="-4"/>
        </w:rPr>
        <w:t>股，最低成交价为</w:t>
      </w:r>
      <w:r>
        <w:rPr>
          <w:rFonts w:ascii="Times New Roman" w:hAnsi="Times New Roman" w:cs="Times New Roman" w:eastAsia="Times New Roman" w:hint="default"/>
          <w:spacing w:val="-4"/>
        </w:rPr>
        <w:t>5.350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spacing w:val="-3"/>
          <w:w w:val="100"/>
        </w:rPr>
        <w:t>元</w:t>
      </w:r>
      <w:r>
        <w:rPr>
          <w:rFonts w:ascii="Times New Roman" w:hAnsi="Times New Roman" w:cs="Times New Roman" w:eastAsia="Times New Roman" w:hint="default"/>
          <w:spacing w:val="-3"/>
          <w:w w:val="100"/>
        </w:rPr>
        <w:t>/</w:t>
      </w:r>
      <w:r>
        <w:rPr>
          <w:spacing w:val="-3"/>
          <w:w w:val="100"/>
        </w:rPr>
        <w:t>股，支付的总金额为</w:t>
      </w:r>
      <w:r>
        <w:rPr>
          <w:rFonts w:ascii="Times New Roman" w:hAnsi="Times New Roman" w:cs="Times New Roman" w:eastAsia="Times New Roman" w:hint="default"/>
          <w:spacing w:val="-3"/>
          <w:w w:val="100"/>
        </w:rPr>
        <w:t>46,010,428.76</w:t>
      </w:r>
      <w:r>
        <w:rPr>
          <w:spacing w:val="-3"/>
          <w:w w:val="100"/>
        </w:rPr>
        <w:t>元（含交易费用）。</w:t>
      </w:r>
    </w:p>
    <w:p>
      <w:pPr>
        <w:pStyle w:val="BodyText"/>
        <w:spacing w:line="240" w:lineRule="auto" w:before="51"/>
        <w:ind w:right="0"/>
        <w:jc w:val="left"/>
      </w:pPr>
      <w:r>
        <w:rPr/>
        <w:t>采用集中竞价方式减持回购股份的实施进展情况</w:t>
      </w:r>
    </w:p>
    <w:p>
      <w:pPr>
        <w:spacing w:after="0" w:line="240" w:lineRule="auto"/>
        <w:jc w:val="left"/>
        <w:sectPr>
          <w:footerReference w:type="default" r:id="rId19"/>
          <w:pgSz w:w="11910" w:h="16840"/>
          <w:pgMar w:footer="1017" w:header="905" w:top="1100" w:bottom="1200" w:left="1020" w:right="0"/>
          <w:pgNumType w:start="40"/>
        </w:sectPr>
      </w:pPr>
    </w:p>
    <w:p>
      <w:pPr>
        <w:spacing w:line="240" w:lineRule="auto" w:before="13"/>
        <w:rPr>
          <w:rFonts w:ascii="宋体" w:hAnsi="宋体" w:cs="宋体" w:eastAsia="宋体" w:hint="default"/>
          <w:sz w:val="22"/>
          <w:szCs w:val="22"/>
        </w:rPr>
      </w:pPr>
    </w:p>
    <w:p>
      <w:pPr>
        <w:pStyle w:val="BodyText"/>
        <w:spacing w:line="357" w:lineRule="auto" w:before="44"/>
        <w:ind w:right="1393"/>
        <w:jc w:val="left"/>
      </w:pPr>
      <w:r>
        <w:rPr/>
        <w:t>□ 适用 √ 不适用 股份变动对最近一年和最近一期基本每股收益和稀释每股收益、归属于公司普通股股东的每股净资产等财务指标的影响</w:t>
      </w:r>
    </w:p>
    <w:p>
      <w:pPr>
        <w:pStyle w:val="BodyText"/>
        <w:spacing w:line="360" w:lineRule="auto" w:before="29"/>
        <w:ind w:right="6793"/>
        <w:jc w:val="left"/>
      </w:pPr>
      <w:r>
        <w:rPr/>
        <w:t>□ 适用 √ 不适用 公司认为必要或证券监管机构要求披露的其他内容</w:t>
      </w:r>
    </w:p>
    <w:p>
      <w:pPr>
        <w:pStyle w:val="BodyText"/>
        <w:spacing w:line="240" w:lineRule="auto" w:before="25"/>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5"/>
        <w:ind w:left="0" w:right="1132"/>
        <w:jc w:val="right"/>
      </w:pPr>
      <w:r>
        <w:rPr/>
        <w:t>单位：股</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96"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96" w:right="139"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9"/>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440,000</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年年初按上年 末持股数的</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年年初按上年 末持股数的</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920,922</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920,922</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年年初按上年 末持股数的</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1,687</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1,265</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年年初按上年 末持股数的</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158,400</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118,800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年年初按上年 末持股数的</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203,000</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231,000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年年初按上年 末持股数的</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55"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107,943,860</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107,943,860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年年初按上年 末持股数的</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67" w:right="0"/>
              <w:jc w:val="left"/>
              <w:rPr>
                <w:rFonts w:ascii="Times New Roman" w:hAnsi="Times New Roman" w:cs="Times New Roman" w:eastAsia="Times New Roman" w:hint="default"/>
                <w:sz w:val="18"/>
                <w:szCs w:val="18"/>
              </w:rPr>
            </w:pPr>
            <w:r>
              <w:rPr>
                <w:rFonts w:ascii="Times New Roman"/>
                <w:sz w:val="18"/>
              </w:rPr>
              <w:t>148,500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148,500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高管锁定股每</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986"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年年初按上年 末持股数的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109,807,869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1,060,922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148,500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108,923,425</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193"/>
        <w:gridCol w:w="276"/>
        <w:gridCol w:w="922"/>
        <w:gridCol w:w="490"/>
        <w:gridCol w:w="748"/>
        <w:gridCol w:w="827"/>
        <w:gridCol w:w="326"/>
        <w:gridCol w:w="463"/>
        <w:gridCol w:w="760"/>
        <w:gridCol w:w="865"/>
        <w:gridCol w:w="307"/>
        <w:gridCol w:w="1044"/>
        <w:gridCol w:w="151"/>
        <w:gridCol w:w="1195"/>
      </w:tblGrid>
      <w:tr>
        <w:trPr>
          <w:trHeight w:val="2273" w:hRule="exact"/>
        </w:trPr>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0"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72,550</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0" w:right="224"/>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53" w:right="0"/>
              <w:jc w:val="left"/>
              <w:rPr>
                <w:rFonts w:ascii="Times New Roman" w:hAnsi="Times New Roman" w:cs="Times New Roman" w:eastAsia="Times New Roman" w:hint="default"/>
                <w:sz w:val="18"/>
                <w:szCs w:val="18"/>
              </w:rPr>
            </w:pPr>
            <w:r>
              <w:rPr>
                <w:rFonts w:ascii="Times New Roman"/>
                <w:sz w:val="18"/>
              </w:rPr>
              <w:t>70,115</w:t>
            </w:r>
          </w:p>
        </w:tc>
        <w:tc>
          <w:tcPr>
            <w:tcW w:w="12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37"/>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82"/>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6" w:lineRule="auto" w:before="19"/>
              <w:ind w:left="100" w:right="103"/>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5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1"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97"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7" w:right="119"/>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7" w:right="120"/>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5" w:right="92"/>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69" w:right="144"/>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1" w:type="dxa"/>
            <w:gridSpan w:val="2"/>
            <w:vMerge/>
            <w:tcBorders>
              <w:left w:val="single" w:sz="4" w:space="0" w:color="000000"/>
              <w:bottom w:val="single" w:sz="4" w:space="0" w:color="000000"/>
              <w:right w:val="single" w:sz="4" w:space="0" w:color="000000"/>
            </w:tcBorders>
            <w:shd w:val="clear" w:color="auto" w:fill="D3D3D3"/>
          </w:tcPr>
          <w:p>
            <w:pPr/>
          </w:p>
        </w:tc>
        <w:tc>
          <w:tcPr>
            <w:tcW w:w="748" w:type="dxa"/>
            <w:vMerge/>
            <w:tcBorders>
              <w:left w:val="single" w:sz="4" w:space="0" w:color="000000"/>
              <w:bottom w:val="single" w:sz="4" w:space="0" w:color="000000"/>
              <w:right w:val="single" w:sz="4" w:space="0" w:color="000000"/>
            </w:tcBorders>
            <w:shd w:val="clear" w:color="auto" w:fill="D3D3D3"/>
          </w:tcPr>
          <w:p>
            <w:pPr/>
          </w:p>
        </w:tc>
        <w:tc>
          <w:tcPr>
            <w:tcW w:w="827" w:type="dxa"/>
            <w:vMerge/>
            <w:tcBorders>
              <w:left w:val="single" w:sz="4" w:space="0" w:color="000000"/>
              <w:bottom w:val="single" w:sz="4" w:space="0" w:color="000000"/>
              <w:right w:val="single" w:sz="4" w:space="0" w:color="000000"/>
            </w:tcBorders>
            <w:shd w:val="clear" w:color="auto" w:fill="D3D3D3"/>
          </w:tcPr>
          <w:p>
            <w:pPr/>
          </w:p>
        </w:tc>
        <w:tc>
          <w:tcPr>
            <w:tcW w:w="790" w:type="dxa"/>
            <w:gridSpan w:val="2"/>
            <w:vMerge/>
            <w:tcBorders>
              <w:left w:val="single" w:sz="4" w:space="0" w:color="000000"/>
              <w:bottom w:val="single" w:sz="4" w:space="0" w:color="000000"/>
              <w:right w:val="single" w:sz="4" w:space="0" w:color="000000"/>
            </w:tcBorders>
            <w:shd w:val="clear" w:color="auto" w:fill="D3D3D3"/>
          </w:tcPr>
          <w:p>
            <w:pPr/>
          </w:p>
        </w:tc>
        <w:tc>
          <w:tcPr>
            <w:tcW w:w="760" w:type="dxa"/>
            <w:vMerge/>
            <w:tcBorders>
              <w:left w:val="single" w:sz="4" w:space="0" w:color="000000"/>
              <w:bottom w:val="single" w:sz="4" w:space="0" w:color="000000"/>
              <w:right w:val="single" w:sz="4" w:space="0" w:color="000000"/>
            </w:tcBorders>
            <w:shd w:val="clear" w:color="auto" w:fill="D3D3D3"/>
          </w:tcPr>
          <w:p>
            <w:pPr/>
          </w:p>
        </w:tc>
        <w:tc>
          <w:tcPr>
            <w:tcW w:w="865" w:type="dxa"/>
            <w:vMerge/>
            <w:tcBorders>
              <w:left w:val="single" w:sz="4" w:space="0" w:color="000000"/>
              <w:bottom w:val="single" w:sz="4" w:space="0" w:color="000000"/>
              <w:right w:val="single" w:sz="4" w:space="0" w:color="000000"/>
            </w:tcBorders>
            <w:shd w:val="clear" w:color="auto" w:fill="D3D3D3"/>
          </w:tcPr>
          <w:p>
            <w:pPr/>
          </w:p>
        </w:tc>
        <w:tc>
          <w:tcPr>
            <w:tcW w:w="13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pacing w:val="-1"/>
                <w:sz w:val="18"/>
              </w:rPr>
              <w:t>20.21%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143,92</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5,147</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107,94</w:t>
            </w:r>
          </w:p>
          <w:p>
            <w:pPr>
              <w:pStyle w:val="TableParagraph"/>
              <w:spacing w:line="240" w:lineRule="auto" w:before="105"/>
              <w:ind w:left="266" w:right="0"/>
              <w:jc w:val="left"/>
              <w:rPr>
                <w:rFonts w:ascii="Times New Roman" w:hAnsi="Times New Roman" w:cs="Times New Roman" w:eastAsia="Times New Roman" w:hint="default"/>
                <w:sz w:val="18"/>
                <w:szCs w:val="18"/>
              </w:rPr>
            </w:pPr>
            <w:r>
              <w:rPr>
                <w:rFonts w:ascii="Times New Roman"/>
                <w:sz w:val="18"/>
              </w:rPr>
              <w:t>3,860</w:t>
            </w:r>
          </w:p>
        </w:tc>
        <w:tc>
          <w:tcPr>
            <w:tcW w:w="865" w:type="dxa"/>
            <w:tcBorders>
              <w:top w:val="single" w:sz="4" w:space="0" w:color="000000"/>
              <w:left w:val="single" w:sz="4" w:space="0" w:color="000000"/>
              <w:bottom w:val="single" w:sz="4" w:space="0" w:color="000000"/>
              <w:right w:val="single" w:sz="4" w:space="0" w:color="000000"/>
            </w:tcBorders>
          </w:tcPr>
          <w:p>
            <w:pPr/>
          </w:p>
        </w:tc>
        <w:tc>
          <w:tcPr>
            <w:tcW w:w="1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143,752,899</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276"/>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0"/>
              <w:jc w:val="right"/>
              <w:rPr>
                <w:rFonts w:ascii="Times New Roman" w:hAnsi="Times New Roman" w:cs="Times New Roman" w:eastAsia="Times New Roman" w:hint="default"/>
                <w:sz w:val="18"/>
                <w:szCs w:val="18"/>
              </w:rPr>
            </w:pPr>
            <w:r>
              <w:rPr>
                <w:rFonts w:ascii="Times New Roman"/>
                <w:sz w:val="18"/>
              </w:rPr>
              <w:t>1.97%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14,048,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600</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14,048,</w:t>
            </w:r>
          </w:p>
          <w:p>
            <w:pPr>
              <w:pStyle w:val="TableParagraph"/>
              <w:spacing w:line="240" w:lineRule="auto" w:before="105"/>
              <w:ind w:left="481" w:right="0"/>
              <w:jc w:val="left"/>
              <w:rPr>
                <w:rFonts w:ascii="Times New Roman" w:hAnsi="Times New Roman" w:cs="Times New Roman" w:eastAsia="Times New Roman" w:hint="default"/>
                <w:sz w:val="18"/>
                <w:szCs w:val="18"/>
              </w:rPr>
            </w:pPr>
            <w:r>
              <w:rPr>
                <w:rFonts w:ascii="Times New Roman"/>
                <w:sz w:val="18"/>
              </w:rPr>
              <w:t>600</w:t>
            </w:r>
          </w:p>
        </w:tc>
        <w:tc>
          <w:tcPr>
            <w:tcW w:w="1351" w:type="dxa"/>
            <w:gridSpan w:val="2"/>
            <w:tcBorders>
              <w:top w:val="single" w:sz="4" w:space="0" w:color="000000"/>
              <w:left w:val="single" w:sz="4" w:space="0" w:color="000000"/>
              <w:bottom w:val="single" w:sz="4" w:space="0" w:color="000000"/>
              <w:right w:val="single" w:sz="4" w:space="0" w:color="000000"/>
            </w:tcBorders>
          </w:tcPr>
          <w:p>
            <w:pPr/>
          </w:p>
        </w:tc>
        <w:tc>
          <w:tcPr>
            <w:tcW w:w="1346"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恒宝股份有限</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境内非国有法</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Times New Roman" w:hAnsi="Times New Roman" w:cs="Times New Roman" w:eastAsia="Times New Roman" w:hint="default"/>
                <w:sz w:val="18"/>
                <w:szCs w:val="18"/>
              </w:rPr>
            </w:pPr>
            <w:r>
              <w:rPr>
                <w:rFonts w:ascii="Times New Roman"/>
                <w:sz w:val="18"/>
              </w:rPr>
              <w:t>1.08%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71" w:right="0"/>
              <w:jc w:val="left"/>
              <w:rPr>
                <w:rFonts w:ascii="Times New Roman" w:hAnsi="Times New Roman" w:cs="Times New Roman" w:eastAsia="Times New Roman" w:hint="default"/>
                <w:sz w:val="18"/>
                <w:szCs w:val="18"/>
              </w:rPr>
            </w:pPr>
            <w:r>
              <w:rPr>
                <w:rFonts w:ascii="Times New Roman"/>
                <w:sz w:val="18"/>
              </w:rPr>
              <w:t>7,693,6</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2" w:right="0"/>
              <w:jc w:val="left"/>
              <w:rPr>
                <w:rFonts w:ascii="Times New Roman" w:hAnsi="Times New Roman" w:cs="Times New Roman" w:eastAsia="Times New Roman" w:hint="default"/>
                <w:sz w:val="18"/>
                <w:szCs w:val="18"/>
              </w:rPr>
            </w:pPr>
            <w:r>
              <w:rPr>
                <w:rFonts w:ascii="Times New Roman"/>
                <w:sz w:val="18"/>
              </w:rPr>
              <w:t>7,693,6</w:t>
            </w:r>
          </w:p>
        </w:tc>
        <w:tc>
          <w:tcPr>
            <w:tcW w:w="1351" w:type="dxa"/>
            <w:gridSpan w:val="2"/>
            <w:tcBorders>
              <w:top w:val="single" w:sz="4" w:space="0" w:color="000000"/>
              <w:left w:val="single" w:sz="4" w:space="0" w:color="000000"/>
              <w:bottom w:val="single" w:sz="4" w:space="0" w:color="000000"/>
              <w:right w:val="single" w:sz="4" w:space="0" w:color="000000"/>
            </w:tcBorders>
          </w:tcPr>
          <w:p>
            <w:pPr/>
          </w:p>
        </w:tc>
        <w:tc>
          <w:tcPr>
            <w:tcW w:w="1346"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469"/>
        <w:gridCol w:w="1411"/>
        <w:gridCol w:w="787"/>
        <w:gridCol w:w="787"/>
        <w:gridCol w:w="790"/>
        <w:gridCol w:w="785"/>
        <w:gridCol w:w="840"/>
        <w:gridCol w:w="1351"/>
        <w:gridCol w:w="1346"/>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276"/>
              <w:jc w:val="left"/>
              <w:rPr>
                <w:rFonts w:ascii="宋体" w:hAnsi="宋体" w:cs="宋体" w:eastAsia="宋体" w:hint="default"/>
                <w:sz w:val="18"/>
                <w:szCs w:val="18"/>
              </w:rPr>
            </w:pPr>
            <w:r>
              <w:rPr>
                <w:rFonts w:ascii="宋体" w:hAnsi="宋体" w:cs="宋体" w:eastAsia="宋体" w:hint="default"/>
                <w:sz w:val="18"/>
                <w:szCs w:val="18"/>
              </w:rPr>
              <w:t>公司回购专用 证券账户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人</w:t>
            </w: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2" w:right="0"/>
              <w:jc w:val="left"/>
              <w:rPr>
                <w:rFonts w:ascii="Times New Roman" w:hAnsi="Times New Roman" w:cs="Times New Roman" w:eastAsia="Times New Roman" w:hint="default"/>
                <w:sz w:val="18"/>
                <w:szCs w:val="18"/>
              </w:rPr>
            </w:pPr>
            <w:r>
              <w:rPr>
                <w:rFonts w:ascii="Times New Roman"/>
                <w:sz w:val="18"/>
              </w:rPr>
              <w:t>02</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7" w:right="0"/>
              <w:jc w:val="left"/>
              <w:rPr>
                <w:rFonts w:ascii="Times New Roman" w:hAnsi="Times New Roman" w:cs="Times New Roman" w:eastAsia="Times New Roman" w:hint="default"/>
                <w:sz w:val="18"/>
                <w:szCs w:val="18"/>
              </w:rPr>
            </w:pPr>
            <w:r>
              <w:rPr>
                <w:rFonts w:ascii="Times New Roman"/>
                <w:sz w:val="18"/>
              </w:rPr>
              <w:t>02</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马晓兰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7,530,4</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7,530,4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276"/>
              <w:jc w:val="left"/>
              <w:rPr>
                <w:rFonts w:ascii="宋体" w:hAnsi="宋体" w:cs="宋体" w:eastAsia="宋体" w:hint="default"/>
                <w:sz w:val="18"/>
                <w:szCs w:val="18"/>
              </w:rPr>
            </w:pPr>
            <w:r>
              <w:rPr>
                <w:rFonts w:ascii="宋体" w:hAnsi="宋体" w:cs="宋体" w:eastAsia="宋体" w:hint="default"/>
                <w:sz w:val="18"/>
                <w:szCs w:val="18"/>
              </w:rPr>
              <w:t>浙江锦鑫建设 工程有限公司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218"/>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2" w:right="0"/>
              <w:jc w:val="left"/>
              <w:rPr>
                <w:rFonts w:ascii="Times New Roman" w:hAnsi="Times New Roman" w:cs="Times New Roman" w:eastAsia="Times New Roman" w:hint="default"/>
                <w:sz w:val="18"/>
                <w:szCs w:val="18"/>
              </w:rPr>
            </w:pPr>
            <w:r>
              <w:rPr>
                <w:rFonts w:ascii="Times New Roman"/>
                <w:sz w:val="18"/>
              </w:rPr>
              <w:t>7,057,5</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7" w:right="0"/>
              <w:jc w:val="left"/>
              <w:rPr>
                <w:rFonts w:ascii="Times New Roman" w:hAnsi="Times New Roman" w:cs="Times New Roman" w:eastAsia="Times New Roman" w:hint="default"/>
                <w:sz w:val="18"/>
                <w:szCs w:val="18"/>
              </w:rPr>
            </w:pPr>
            <w:r>
              <w:rPr>
                <w:rFonts w:ascii="Times New Roman"/>
                <w:sz w:val="18"/>
              </w:rPr>
              <w:t>7,057,5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蓝歆旻</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5,860,0</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5,860,0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蒋国梁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2" w:right="0"/>
              <w:jc w:val="left"/>
              <w:rPr>
                <w:rFonts w:ascii="Times New Roman" w:hAnsi="Times New Roman" w:cs="Times New Roman" w:eastAsia="Times New Roman" w:hint="default"/>
                <w:sz w:val="18"/>
                <w:szCs w:val="18"/>
              </w:rPr>
            </w:pPr>
            <w:r>
              <w:rPr>
                <w:rFonts w:ascii="Times New Roman"/>
                <w:sz w:val="18"/>
              </w:rPr>
              <w:t>5,740,0</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7" w:right="0"/>
              <w:jc w:val="left"/>
              <w:rPr>
                <w:rFonts w:ascii="Times New Roman" w:hAnsi="Times New Roman" w:cs="Times New Roman" w:eastAsia="Times New Roman" w:hint="default"/>
                <w:sz w:val="18"/>
                <w:szCs w:val="18"/>
              </w:rPr>
            </w:pPr>
            <w:r>
              <w:rPr>
                <w:rFonts w:ascii="Times New Roman"/>
                <w:sz w:val="18"/>
              </w:rPr>
              <w:t>5,740,0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蒋丽娜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4,550,0</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4,550,0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蔡晓</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2" w:right="0"/>
              <w:jc w:val="left"/>
              <w:rPr>
                <w:rFonts w:ascii="Times New Roman" w:hAnsi="Times New Roman" w:cs="Times New Roman" w:eastAsia="Times New Roman" w:hint="default"/>
                <w:sz w:val="18"/>
                <w:szCs w:val="18"/>
              </w:rPr>
            </w:pPr>
            <w:r>
              <w:rPr>
                <w:rFonts w:ascii="Times New Roman"/>
                <w:sz w:val="18"/>
              </w:rPr>
              <w:t>4,090,7</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7" w:right="0"/>
              <w:jc w:val="left"/>
              <w:rPr>
                <w:rFonts w:ascii="Times New Roman" w:hAnsi="Times New Roman" w:cs="Times New Roman" w:eastAsia="Times New Roman" w:hint="default"/>
                <w:sz w:val="18"/>
                <w:szCs w:val="18"/>
              </w:rPr>
            </w:pPr>
            <w:r>
              <w:rPr>
                <w:rFonts w:ascii="Times New Roman"/>
                <w:sz w:val="18"/>
              </w:rPr>
              <w:t>4,090,7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1,953,8</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44</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1,953,8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44</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0" w:right="2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6"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01"/>
              <w:jc w:val="both"/>
              <w:rPr>
                <w:rFonts w:ascii="宋体" w:hAnsi="宋体" w:cs="宋体" w:eastAsia="宋体" w:hint="default"/>
                <w:sz w:val="18"/>
                <w:szCs w:val="18"/>
              </w:rPr>
            </w:pPr>
            <w:r>
              <w:rPr>
                <w:rFonts w:ascii="宋体" w:hAnsi="宋体" w:cs="宋体" w:eastAsia="宋体" w:hint="default"/>
                <w:sz w:val="18"/>
                <w:szCs w:val="18"/>
              </w:rPr>
              <w:t>公司第一大股东钱京与其他股东不存在关联关系或《上市公司股东持股变动信息披 露管理办法》中规定的一致行动人的情况；公司未知其他股东之间是否存在关联关 系或《上市公司股东持股变动信息披露管理办法》中规定的一致行动人的情况。</w:t>
            </w:r>
          </w:p>
        </w:tc>
      </w:tr>
      <w:tr>
        <w:trPr>
          <w:trHeight w:val="401" w:hRule="exact"/>
        </w:trPr>
        <w:tc>
          <w:tcPr>
            <w:tcW w:w="956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3" w:hRule="exact"/>
        </w:trPr>
        <w:tc>
          <w:tcPr>
            <w:tcW w:w="28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880" w:type="dxa"/>
            <w:gridSpan w:val="2"/>
            <w:vMerge/>
            <w:tcBorders>
              <w:left w:val="single" w:sz="4" w:space="0" w:color="000000"/>
              <w:bottom w:val="single" w:sz="4" w:space="0" w:color="000000"/>
              <w:right w:val="single" w:sz="4" w:space="0" w:color="000000"/>
            </w:tcBorders>
            <w:shd w:val="clear" w:color="auto" w:fill="D3D3D3"/>
          </w:tcPr>
          <w:p>
            <w:pPr/>
          </w:p>
        </w:tc>
        <w:tc>
          <w:tcPr>
            <w:tcW w:w="3989" w:type="dxa"/>
            <w:gridSpan w:val="5"/>
            <w:vMerge/>
            <w:tcBorders>
              <w:left w:val="single" w:sz="4" w:space="0" w:color="000000"/>
              <w:bottom w:val="single" w:sz="4" w:space="0" w:color="000000"/>
              <w:right w:val="single" w:sz="4" w:space="0" w:color="000000"/>
            </w:tcBorders>
            <w:shd w:val="clear" w:color="auto" w:fill="D3D3D3"/>
          </w:tcPr>
          <w:p>
            <w:pP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35,981,287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35,981,287</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14,048,600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14,048,600</w:t>
            </w:r>
          </w:p>
        </w:tc>
      </w:tr>
      <w:tr>
        <w:trPr>
          <w:trHeight w:val="715"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247"/>
              <w:jc w:val="left"/>
              <w:rPr>
                <w:rFonts w:ascii="宋体" w:hAnsi="宋体" w:cs="宋体" w:eastAsia="宋体" w:hint="default"/>
                <w:sz w:val="18"/>
                <w:szCs w:val="18"/>
              </w:rPr>
            </w:pPr>
            <w:r>
              <w:rPr>
                <w:rFonts w:ascii="宋体" w:hAnsi="宋体" w:cs="宋体" w:eastAsia="宋体" w:hint="default"/>
                <w:sz w:val="18"/>
                <w:szCs w:val="18"/>
              </w:rPr>
              <w:t>恒宝股份有限公司回购专用证券 账户</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7,693,602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7,693,602</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马晓兰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7,530,400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7,530,400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浙江锦鑫建设工程有限公司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7,057,500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7,057,500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蓝歆旻</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5,860,000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5,860,000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蒋国梁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5,740,000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5,740,000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蒋丽娜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4,550,000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4,550,000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蔡晓</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4,090,700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4,090,700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1,953,844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1,953,844</w:t>
            </w:r>
          </w:p>
        </w:tc>
      </w:tr>
      <w:tr>
        <w:trPr>
          <w:trHeight w:val="672"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tc>
        <w:tc>
          <w:tcPr>
            <w:tcW w:w="6686"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01"/>
              <w:jc w:val="left"/>
              <w:rPr>
                <w:rFonts w:ascii="宋体" w:hAnsi="宋体" w:cs="宋体" w:eastAsia="宋体" w:hint="default"/>
                <w:sz w:val="18"/>
                <w:szCs w:val="18"/>
              </w:rPr>
            </w:pPr>
            <w:r>
              <w:rPr>
                <w:rFonts w:ascii="宋体" w:hAnsi="宋体" w:cs="宋体" w:eastAsia="宋体" w:hint="default"/>
                <w:sz w:val="18"/>
                <w:szCs w:val="18"/>
              </w:rPr>
              <w:t>公司第一大股东钱京与其他股东不存在关联关系或《上市公司股东持股变动信息披 露管理办法》中规定的一致行动人的情况；公司未知其他股东之间是否存在关联关</w:t>
            </w:r>
          </w:p>
        </w:tc>
      </w:tr>
    </w:tbl>
    <w:p>
      <w:pPr>
        <w:spacing w:after="0" w:line="316"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880"/>
        <w:gridCol w:w="6686"/>
      </w:tblGrid>
      <w:tr>
        <w:trPr>
          <w:trHeight w:val="674"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100"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系或《上市公司股东持股变动信息披露管理办法》中规定的一致行动人的情况。</w:t>
            </w:r>
          </w:p>
        </w:tc>
      </w:tr>
      <w:tr>
        <w:trPr>
          <w:trHeight w:val="355" w:hRule="exact"/>
        </w:trPr>
        <w:tc>
          <w:tcPr>
            <w:tcW w:w="288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前十大股东马晓兰通过平安证券股份有限公司客户信用交易担保证券账户持有公</w:t>
            </w:r>
          </w:p>
        </w:tc>
      </w:tr>
      <w:tr>
        <w:trPr>
          <w:trHeight w:val="317" w:hRule="exact"/>
        </w:trPr>
        <w:tc>
          <w:tcPr>
            <w:tcW w:w="2880" w:type="dxa"/>
            <w:tcBorders>
              <w:top w:val="nil" w:sz="6" w:space="0" w:color="auto"/>
              <w:left w:val="single" w:sz="4" w:space="0" w:color="000000"/>
              <w:bottom w:val="nil" w:sz="6" w:space="0" w:color="auto"/>
              <w:right w:val="single" w:sz="4" w:space="0" w:color="000000"/>
            </w:tcBorders>
            <w:shd w:val="clear" w:color="auto" w:fill="D3D3D3"/>
          </w:tcPr>
          <w:p>
            <w:pPr/>
          </w:p>
        </w:tc>
        <w:tc>
          <w:tcPr>
            <w:tcW w:w="6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司股票</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1,160,400 </w:t>
            </w:r>
            <w:r>
              <w:rPr>
                <w:rFonts w:ascii="宋体" w:hAnsi="宋体" w:cs="宋体" w:eastAsia="宋体" w:hint="default"/>
                <w:spacing w:val="-3"/>
                <w:sz w:val="18"/>
                <w:szCs w:val="18"/>
              </w:rPr>
              <w:t>股，通过普通账户持有公司股票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6,370,000 </w:t>
            </w:r>
            <w:r>
              <w:rPr>
                <w:rFonts w:ascii="宋体" w:hAnsi="宋体" w:cs="宋体" w:eastAsia="宋体" w:hint="default"/>
                <w:spacing w:val="-3"/>
                <w:sz w:val="18"/>
                <w:szCs w:val="18"/>
              </w:rPr>
              <w:t>股；浙江锦鑫建设工程</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w:t>
            </w:r>
          </w:p>
        </w:tc>
        <w:tc>
          <w:tcPr>
            <w:tcW w:w="6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有限公司通过东吴证券股份有限公司客户信用交易担保证券账户持有公司股票</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业务情况说明（如有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6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7,057,500</w:t>
            </w:r>
            <w:r>
              <w:rPr>
                <w:rFonts w:ascii="Times New Roman" w:hAnsi="Times New Roman" w:cs="Times New Roman" w:eastAsia="Times New Roman" w:hint="default"/>
                <w:spacing w:val="16"/>
                <w:sz w:val="18"/>
                <w:szCs w:val="18"/>
              </w:rPr>
              <w:t> </w:t>
            </w:r>
            <w:r>
              <w:rPr>
                <w:rFonts w:ascii="宋体" w:hAnsi="宋体" w:cs="宋体" w:eastAsia="宋体" w:hint="default"/>
                <w:spacing w:val="-2"/>
                <w:sz w:val="18"/>
                <w:szCs w:val="18"/>
              </w:rPr>
              <w:t>股；蓝歆旻通过招商证券股份有限公司客户信用交易担保证券账户持有公</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3D3D3"/>
          </w:tcPr>
          <w:p>
            <w:pPr/>
          </w:p>
        </w:tc>
        <w:tc>
          <w:tcPr>
            <w:tcW w:w="6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5,860,000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股；蔡晓通过国泰君安证券股份有限公司客户信用交易担保证券</w:t>
            </w:r>
          </w:p>
        </w:tc>
      </w:tr>
      <w:tr>
        <w:trPr>
          <w:trHeight w:val="355" w:hRule="exact"/>
        </w:trPr>
        <w:tc>
          <w:tcPr>
            <w:tcW w:w="288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4,090,700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pStyle w:val="BodyText"/>
        <w:spacing w:line="240" w:lineRule="auto" w:before="101"/>
        <w:ind w:right="0"/>
        <w:jc w:val="left"/>
      </w:pPr>
      <w:r>
        <w:rPr/>
        <w:t>□ 是 √ 否</w:t>
      </w:r>
    </w:p>
    <w:p>
      <w:pPr>
        <w:pStyle w:val="BodyText"/>
        <w:spacing w:line="240" w:lineRule="auto" w:before="117"/>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10" w:type="dxa"/>
        <w:tblLayout w:type="fixed"/>
        <w:tblCellMar>
          <w:top w:w="0" w:type="dxa"/>
          <w:left w:w="0" w:type="dxa"/>
          <w:bottom w:w="0" w:type="dxa"/>
          <w:right w:w="0" w:type="dxa"/>
        </w:tblCellMar>
        <w:tblLook w:val="01E0"/>
      </w:tblPr>
      <w:tblGrid>
        <w:gridCol w:w="3418"/>
        <w:gridCol w:w="2302"/>
        <w:gridCol w:w="3847"/>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0"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月起进入公司，先后担任公司企业管理部总经理、副总裁及董事会 秘书。报告期间担任公司董事长、总裁。</w:t>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245"/>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0"/>
        <w:jc w:val="left"/>
      </w:pPr>
      <w:r>
        <w:rPr/>
        <w:t>控股股东报告期内变更</w:t>
      </w:r>
    </w:p>
    <w:p>
      <w:pPr>
        <w:pStyle w:val="BodyText"/>
        <w:spacing w:line="360" w:lineRule="auto" w:before="115"/>
        <w:ind w:right="6793"/>
        <w:jc w:val="left"/>
      </w:pPr>
      <w:r>
        <w:rPr/>
        <w:t>□ 适用 √ 不适用 公司报告期控股股东未发生变更。</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8" w:right="110"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月起进入公司，先后担任公司企业管理部总经理、副总裁及董事会秘书。报告 期间担任公司董事长、总裁。</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6"/>
              <w:ind w:left="100" w:right="2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60" w:lineRule="auto" w:before="115"/>
        <w:ind w:right="7873"/>
        <w:jc w:val="left"/>
      </w:pPr>
      <w:r>
        <w:rPr/>
        <w:t>□ 适用 √ 不适用 公司报告期实际控制人未发生变更。</w:t>
      </w:r>
    </w:p>
    <w:p>
      <w:pPr>
        <w:spacing w:after="0" w:line="36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公司与实际控制人之间的产权及控制关系的方框图</w:t>
      </w:r>
    </w:p>
    <w:p>
      <w:pPr>
        <w:spacing w:line="240" w:lineRule="auto" w:before="4"/>
        <w:rPr>
          <w:rFonts w:ascii="宋体" w:hAnsi="宋体" w:cs="宋体" w:eastAsia="宋体" w:hint="default"/>
          <w:sz w:val="26"/>
          <w:szCs w:val="26"/>
        </w:rPr>
      </w:pPr>
    </w:p>
    <w:p>
      <w:pPr>
        <w:spacing w:line="2664" w:lineRule="exact"/>
        <w:ind w:left="1327"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4590288" cy="169164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0" cstate="print"/>
                    <a:stretch>
                      <a:fillRect/>
                    </a:stretch>
                  </pic:blipFill>
                  <pic:spPr>
                    <a:xfrm>
                      <a:off x="0" y="0"/>
                      <a:ext cx="4590288" cy="1691640"/>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4"/>
        <w:rPr>
          <w:rFonts w:ascii="宋体" w:hAnsi="宋体" w:cs="宋体" w:eastAsia="宋体" w:hint="default"/>
          <w:sz w:val="17"/>
          <w:szCs w:val="17"/>
        </w:rPr>
      </w:pPr>
    </w:p>
    <w:p>
      <w:pPr>
        <w:spacing w:before="0"/>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61"/>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5" w:footer="1017"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247" w:right="0"/>
        <w:jc w:val="left"/>
        <w:rPr>
          <w:b w:val="0"/>
          <w:bCs w:val="0"/>
        </w:rPr>
      </w:pPr>
      <w:bookmarkStart w:name="_TOC_250005" w:id="7"/>
      <w:r>
        <w:rPr/>
        <w:t>第七节</w:t>
      </w:r>
      <w:r>
        <w:rPr>
          <w:spacing w:val="-7"/>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60" w:lineRule="auto" w:before="44"/>
        <w:ind w:right="8593"/>
        <w:jc w:val="left"/>
      </w:pPr>
      <w:r>
        <w:rPr/>
        <w:t>□ 适用 √ 不适用 报告期公司不存在优先股。</w:t>
      </w:r>
    </w:p>
    <w:p>
      <w:pPr>
        <w:spacing w:after="0" w:line="360" w:lineRule="auto"/>
        <w:jc w:val="left"/>
        <w:sectPr>
          <w:pgSz w:w="11910" w:h="16840"/>
          <w:pgMar w:header="905" w:footer="1017"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641" w:right="0"/>
        <w:jc w:val="left"/>
        <w:rPr>
          <w:b w:val="0"/>
          <w:bCs w:val="0"/>
        </w:rPr>
      </w:pPr>
      <w:bookmarkStart w:name="_TOC_250004" w:id="8"/>
      <w:r>
        <w:rPr/>
        <w:t>第八节</w:t>
      </w:r>
      <w:r>
        <w:rPr>
          <w:spacing w:val="-42"/>
        </w:rPr>
        <w:t> </w:t>
      </w:r>
      <w:r>
        <w:rPr>
          <w:spacing w:val="2"/>
        </w:rPr>
        <w:t>董事、监事、高级管理人员和员工情况</w:t>
      </w:r>
      <w:bookmarkEnd w:id="8"/>
      <w:r>
        <w:rPr>
          <w:b w:val="0"/>
          <w:bCs w:val="0"/>
          <w:spacing w:val="2"/>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0"/>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797"/>
        <w:gridCol w:w="797"/>
        <w:gridCol w:w="797"/>
        <w:gridCol w:w="797"/>
        <w:gridCol w:w="799"/>
        <w:gridCol w:w="797"/>
        <w:gridCol w:w="797"/>
        <w:gridCol w:w="799"/>
        <w:gridCol w:w="797"/>
        <w:gridCol w:w="799"/>
        <w:gridCol w:w="797"/>
        <w:gridCol w:w="799"/>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3"/>
              <w:ind w:left="302" w:right="122"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3"/>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3"/>
              <w:ind w:left="122"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8"/>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22" w:right="122"/>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8"/>
              <w:ind w:left="1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24"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8"/>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22"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8"/>
              <w:ind w:left="1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8"/>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left"/>
              <w:rPr>
                <w:rFonts w:ascii="宋体" w:hAnsi="宋体" w:cs="宋体" w:eastAsia="宋体" w:hint="default"/>
                <w:sz w:val="18"/>
                <w:szCs w:val="18"/>
              </w:rPr>
            </w:pPr>
            <w:r>
              <w:rPr>
                <w:rFonts w:ascii="宋体" w:hAnsi="宋体" w:cs="宋体" w:eastAsia="宋体" w:hint="default"/>
                <w:sz w:val="18"/>
                <w:szCs w:val="18"/>
              </w:rPr>
              <w:t>董事 长，总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143,92</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5,147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143,92</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5,147</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308,00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308,00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358"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陈妹妹</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秘书，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198,00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198,00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358"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陆道如</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胡兆凤</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0</w:t>
            </w:r>
          </w:p>
        </w:tc>
      </w:tr>
      <w:tr>
        <w:trPr>
          <w:trHeight w:val="356" w:hRule="exact"/>
        </w:trPr>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蔡正华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797"/>
        <w:gridCol w:w="797"/>
        <w:gridCol w:w="797"/>
        <w:gridCol w:w="797"/>
        <w:gridCol w:w="799"/>
        <w:gridCol w:w="797"/>
        <w:gridCol w:w="797"/>
        <w:gridCol w:w="799"/>
        <w:gridCol w:w="797"/>
        <w:gridCol w:w="799"/>
        <w:gridCol w:w="797"/>
        <w:gridCol w:w="799"/>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1,687</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145,07</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2,834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145,07</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2,834</w:t>
            </w:r>
          </w:p>
        </w:tc>
      </w:tr>
    </w:tbl>
    <w:p>
      <w:pPr>
        <w:spacing w:line="240" w:lineRule="auto" w:before="11"/>
        <w:rPr>
          <w:rFonts w:ascii="宋体" w:hAnsi="宋体" w:cs="宋体" w:eastAsia="宋体" w:hint="default"/>
          <w:b/>
          <w:bCs/>
          <w:sz w:val="17"/>
          <w:szCs w:val="17"/>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因个人工作原因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公司股东大会选举产生</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蔡正华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公司股东大会选举产生</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陈妹妹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3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公司董事会聘任产生</w:t>
            </w:r>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7"/>
        <w:ind w:right="1124" w:firstLine="360"/>
        <w:jc w:val="left"/>
      </w:pPr>
      <w:r>
        <w:rPr/>
        <w:t>钱京先生：</w:t>
      </w:r>
      <w:r>
        <w:rPr>
          <w:rFonts w:ascii="Times New Roman" w:hAnsi="Times New Roman" w:cs="Times New Roman" w:eastAsia="Times New Roman" w:hint="default"/>
        </w:rPr>
        <w:t>1983</w:t>
      </w:r>
      <w:r>
        <w:rPr>
          <w:rFonts w:ascii="Times New Roman" w:hAnsi="Times New Roman" w:cs="Times New Roman" w:eastAsia="Times New Roman" w:hint="default"/>
          <w:spacing w:val="-17"/>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17"/>
        </w:rPr>
        <w:t> </w:t>
      </w:r>
      <w:r>
        <w:rPr/>
        <w:t>月出生，拥有英国利物浦大学（</w:t>
      </w:r>
      <w:r>
        <w:rPr>
          <w:rFonts w:ascii="Times New Roman" w:hAnsi="Times New Roman" w:cs="Times New Roman" w:eastAsia="Times New Roman" w:hint="default"/>
        </w:rPr>
        <w:t>University</w:t>
      </w:r>
      <w:r>
        <w:rPr>
          <w:rFonts w:ascii="Times New Roman" w:hAnsi="Times New Roman" w:cs="Times New Roman" w:eastAsia="Times New Roman" w:hint="default"/>
          <w:spacing w:val="-17"/>
        </w:rPr>
        <w:t> </w:t>
      </w:r>
      <w:r>
        <w:rPr>
          <w:rFonts w:ascii="Times New Roman" w:hAnsi="Times New Roman" w:cs="Times New Roman" w:eastAsia="Times New Roman" w:hint="default"/>
        </w:rPr>
        <w:t>of</w:t>
      </w:r>
      <w:r>
        <w:rPr>
          <w:rFonts w:ascii="Times New Roman" w:hAnsi="Times New Roman" w:cs="Times New Roman" w:eastAsia="Times New Roman" w:hint="default"/>
          <w:spacing w:val="-18"/>
        </w:rPr>
        <w:t> </w:t>
      </w:r>
      <w:r>
        <w:rPr>
          <w:rFonts w:ascii="Times New Roman" w:hAnsi="Times New Roman" w:cs="Times New Roman" w:eastAsia="Times New Roman" w:hint="default"/>
        </w:rPr>
        <w:t>Liverpool</w:t>
      </w:r>
      <w:r>
        <w:rPr/>
        <w:t>）法律硕士学位和英国华威大学（</w:t>
      </w:r>
      <w:r>
        <w:rPr>
          <w:rFonts w:ascii="Times New Roman" w:hAnsi="Times New Roman" w:cs="Times New Roman" w:eastAsia="Times New Roman" w:hint="default"/>
        </w:rPr>
        <w:t>University of</w:t>
      </w:r>
      <w:r>
        <w:rPr>
          <w:rFonts w:ascii="Times New Roman" w:hAnsi="Times New Roman" w:cs="Times New Roman" w:eastAsia="Times New Roman" w:hint="default"/>
          <w:spacing w:val="-7"/>
        </w:rPr>
        <w:t> </w:t>
      </w:r>
      <w:r>
        <w:rPr>
          <w:rFonts w:ascii="Times New Roman" w:hAnsi="Times New Roman" w:cs="Times New Roman" w:eastAsia="Times New Roman" w:hint="default"/>
        </w:rPr>
        <w:t>Warwick</w:t>
      </w:r>
      <w:r>
        <w:rPr/>
        <w:t>）会计与金融荣誉学士学位。</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月至</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月在普华永道会计师事务所任税务顾问；</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月至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4"/>
        </w:rPr>
        <w:t>月在上海亚洲商务咨询有限公司任高级经理；</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4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5"/>
        </w:rPr>
        <w:t>月在江苏恒神股份有限公司任董事长；</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月起进入公司，先后担任公司企业管理部总经理、副总裁。现任公司董事长、总裁及董事会秘书。</w:t>
      </w:r>
    </w:p>
    <w:p>
      <w:pPr>
        <w:pStyle w:val="BodyText"/>
        <w:spacing w:line="300" w:lineRule="auto" w:before="53"/>
        <w:ind w:right="1123" w:firstLine="360"/>
        <w:jc w:val="left"/>
      </w:pPr>
      <w:r>
        <w:rPr/>
        <w:t>高强先生：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月出生，大专学历，历任江苏赛博电子有限公司营销公司副总经理、市场部副部长；</w:t>
      </w:r>
      <w:r>
        <w:rPr>
          <w:rFonts w:ascii="Times New Roman" w:hAnsi="Times New Roman" w:cs="Times New Roman" w:eastAsia="Times New Roman" w:hint="default"/>
        </w:rPr>
        <w:t>2003</w:t>
      </w:r>
      <w:r>
        <w:rPr/>
        <w:t>年进入恒 宝股份，先后担任公司营销中心总经理、通信事业部总经理、金融事业部总经理、销售总监。现任公司董事、副总裁。</w:t>
      </w:r>
    </w:p>
    <w:p>
      <w:pPr>
        <w:pStyle w:val="BodyText"/>
        <w:spacing w:line="300" w:lineRule="auto" w:before="31"/>
        <w:ind w:right="1123" w:firstLine="360"/>
        <w:jc w:val="left"/>
      </w:pPr>
      <w:r>
        <w:rPr/>
        <w:t>赵长健先生：</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5</w:t>
      </w:r>
      <w:r>
        <w:rPr/>
        <w:t>月出生，大专学历，经济师。</w:t>
      </w:r>
      <w:r>
        <w:rPr>
          <w:rFonts w:ascii="Times New Roman" w:hAnsi="Times New Roman" w:cs="Times New Roman" w:eastAsia="Times New Roman" w:hint="default"/>
        </w:rPr>
        <w:t>2000</w:t>
      </w:r>
      <w:r>
        <w:rPr/>
        <w:t>年进入本公司，任公司副经理，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月兼任董 事会秘书。现任公司董事、副总裁、财务总监。</w:t>
      </w:r>
    </w:p>
    <w:p>
      <w:pPr>
        <w:pStyle w:val="BodyText"/>
        <w:spacing w:line="319" w:lineRule="auto" w:before="31"/>
        <w:ind w:right="0" w:firstLine="360"/>
        <w:jc w:val="left"/>
      </w:pPr>
      <w:r>
        <w:rPr>
          <w:spacing w:val="-2"/>
        </w:rPr>
        <w:t>陈妹妹女士：1986年2月出生，硕士研究生。2014年4月起就职本公司，先后担任公司证券事务并购部证券事务代表、流</w:t>
      </w:r>
      <w:r>
        <w:rPr/>
        <w:t> 程和持续改进部高级经理。现任公司董事会秘书、副总裁。</w:t>
      </w:r>
    </w:p>
    <w:p>
      <w:pPr>
        <w:spacing w:after="0" w:line="319"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00" w:lineRule="auto" w:before="44"/>
        <w:ind w:right="1033" w:firstLine="360"/>
        <w:jc w:val="left"/>
      </w:pPr>
      <w:r>
        <w:rPr/>
        <w:t>陆道如先生：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12</w:t>
      </w:r>
      <w:r>
        <w:rPr/>
        <w:t>月出生，毕业于北京大学，本科学历，</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月任中国原子能科学院助理研究员； </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10</w:t>
      </w:r>
      <w:r>
        <w:rPr>
          <w:spacing w:val="-2"/>
        </w:rPr>
        <w:t>月，任北京华海科技有限责任公司工程师；</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3</w:t>
      </w:r>
      <w:r>
        <w:rPr>
          <w:spacing w:val="-2"/>
        </w:rPr>
        <w:t>月，任安徽慧宁有限责任公司研发经</w:t>
      </w:r>
      <w:r>
        <w:rPr>
          <w:spacing w:val="-53"/>
        </w:rPr>
        <w:t> </w:t>
      </w:r>
      <w:r>
        <w:rPr>
          <w:spacing w:val="-53"/>
        </w:rPr>
      </w:r>
      <w:r>
        <w:rPr/>
        <w:t>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月，任华旭金卡有限公司高级工程师；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月，任法国金普斯</w:t>
      </w:r>
      <w:r>
        <w:rPr>
          <w:rFonts w:ascii="Times New Roman" w:hAnsi="Times New Roman" w:cs="Times New Roman" w:eastAsia="Times New Roman" w:hint="default"/>
        </w:rPr>
        <w:t>/</w:t>
      </w:r>
      <w:r>
        <w:rPr/>
        <w:t>金雅拓有限责任公 司技术专家、团队经理；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月就职本公司，担任公司研发部部长，现任公司董事。</w:t>
      </w:r>
    </w:p>
    <w:p>
      <w:pPr>
        <w:pStyle w:val="BodyText"/>
        <w:spacing w:line="300" w:lineRule="auto" w:before="13"/>
        <w:ind w:right="1132" w:firstLine="360"/>
        <w:jc w:val="both"/>
      </w:pPr>
      <w:r>
        <w:rPr/>
        <w:t>胡兆凤女士：</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8</w:t>
      </w:r>
      <w:r>
        <w:rPr/>
        <w:t>月出生，毕业于江苏省镇江市第一中学，</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2</w:t>
      </w:r>
      <w:r>
        <w:rPr/>
        <w:t>月为镇江汝山长江大队第四生产队 下放知识青年；</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5</w:t>
      </w:r>
      <w:r>
        <w:rPr/>
        <w:t>月为镇江前进印刷厂员工；</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月为镇江新世纪商场员工；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 退休。现任公司董事。</w:t>
      </w:r>
    </w:p>
    <w:p>
      <w:pPr>
        <w:pStyle w:val="BodyText"/>
        <w:spacing w:line="316" w:lineRule="auto" w:before="31"/>
        <w:ind w:right="1128" w:firstLine="360"/>
        <w:jc w:val="both"/>
      </w:pPr>
      <w:r>
        <w:rPr>
          <w:spacing w:val="-2"/>
        </w:rPr>
        <w:t>钟迎九先生：1969年3月出生，毕业于东南大学，本科学历，高级工程师。1991年08月至1992年9月任丹阳棉纺织厂动力</w:t>
      </w:r>
      <w:r>
        <w:rPr/>
        <w:t> </w:t>
      </w:r>
      <w:r>
        <w:rPr>
          <w:spacing w:val="-2"/>
        </w:rPr>
        <w:t>车间电气维修员；1992年9月至1998年12月，任丹棉濠江纺织有限公司机电技术员、轮班长、团总支书记；1999年1月至2004</w:t>
      </w:r>
      <w:r>
        <w:rPr>
          <w:spacing w:val="-50"/>
        </w:rPr>
        <w:t> </w:t>
      </w:r>
      <w:r>
        <w:rPr>
          <w:spacing w:val="-50"/>
        </w:rPr>
      </w:r>
      <w:r>
        <w:rPr>
          <w:spacing w:val="-2"/>
        </w:rPr>
        <w:t>年7月，任江苏丹棉集团有限公司企管办主任助理、运转厂长、党政办公室副主任。2004年7月进入本公司，先后担任公司综</w:t>
      </w:r>
      <w:r>
        <w:rPr>
          <w:spacing w:val="-61"/>
        </w:rPr>
        <w:t> </w:t>
      </w:r>
      <w:r>
        <w:rPr>
          <w:spacing w:val="-61"/>
        </w:rPr>
      </w:r>
      <w:r>
        <w:rPr/>
        <w:t>合事务部经理、生产中心副总经理、生产中心总经理、董事、副总裁、生产中心总监职务。现任公司董事。</w:t>
      </w:r>
    </w:p>
    <w:p>
      <w:pPr>
        <w:pStyle w:val="BodyText"/>
        <w:spacing w:line="300" w:lineRule="auto" w:before="18"/>
        <w:ind w:right="0" w:firstLine="360"/>
        <w:jc w:val="left"/>
      </w:pPr>
      <w:r>
        <w:rPr>
          <w:spacing w:val="-4"/>
        </w:rPr>
        <w:t>蒋小平先生：</w:t>
      </w:r>
      <w:r>
        <w:rPr>
          <w:rFonts w:ascii="Times New Roman" w:hAnsi="Times New Roman" w:cs="Times New Roman" w:eastAsia="Times New Roman" w:hint="default"/>
          <w:spacing w:val="-4"/>
        </w:rPr>
        <w:t>1973</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29</w:t>
      </w:r>
      <w:r>
        <w:rPr>
          <w:spacing w:val="-4"/>
        </w:rPr>
        <w:t>日出生，大专学历，助理工程师职称。曾任江苏丹棉集团有限公司党政办副主任兼纪委干事。</w:t>
      </w:r>
      <w:r>
        <w:rPr/>
        <w:t> 历任公司综合事务部经理兼人力资源丹阳分部经理，现任监事会主席。</w:t>
      </w:r>
    </w:p>
    <w:p>
      <w:pPr>
        <w:pStyle w:val="BodyText"/>
        <w:spacing w:line="300" w:lineRule="auto" w:before="31"/>
        <w:ind w:right="0" w:firstLine="360"/>
        <w:jc w:val="left"/>
      </w:pPr>
      <w:r>
        <w:rPr>
          <w:spacing w:val="-2"/>
        </w:rPr>
        <w:t>朱锦善先生：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日出生，大专学历，中共党员，助理政工师职称。</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月就职于镇江金河纸</w:t>
      </w:r>
      <w:r>
        <w:rPr/>
        <w:t> 业有限公司，曾任党委办公室副主任。现任公司监事。</w:t>
      </w:r>
    </w:p>
    <w:p>
      <w:pPr>
        <w:pStyle w:val="BodyText"/>
        <w:spacing w:line="300" w:lineRule="auto" w:before="31"/>
        <w:ind w:left="472" w:right="0"/>
        <w:jc w:val="left"/>
      </w:pPr>
      <w:r>
        <w:rPr/>
        <w:t>干玲女士：</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8</w:t>
      </w:r>
      <w:r>
        <w:rPr/>
        <w:t>月出生，中专学历。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月起就职本公司，担任公司接待主管一职。现任公司职工代表监事。 </w:t>
      </w:r>
      <w:r>
        <w:rPr>
          <w:spacing w:val="-2"/>
        </w:rPr>
        <w:t>岳修峰先生：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11</w:t>
      </w:r>
      <w:r>
        <w:rPr>
          <w:spacing w:val="-2"/>
        </w:rPr>
        <w:t>月出生，本科学历，中共党员，高级会计师、注册会计师、注册资产评估师、注册税务师。历任</w:t>
      </w:r>
    </w:p>
    <w:p>
      <w:pPr>
        <w:pStyle w:val="BodyText"/>
        <w:spacing w:line="316" w:lineRule="auto" w:before="13"/>
        <w:ind w:right="0"/>
        <w:jc w:val="left"/>
      </w:pPr>
      <w:r>
        <w:rPr>
          <w:spacing w:val="-2"/>
        </w:rPr>
        <w:t>镇江大东造纸厂财务科员、镇江大东纸业有限公司财务部主任、镇江市审计事务所审计部主任、江苏立信会计师事务所有限</w:t>
      </w:r>
      <w:r>
        <w:rPr>
          <w:spacing w:val="-65"/>
        </w:rPr>
        <w:t> </w:t>
      </w:r>
      <w:r>
        <w:rPr>
          <w:spacing w:val="-65"/>
        </w:rPr>
      </w:r>
      <w:r>
        <w:rPr/>
        <w:t>公司评估部主任和审计部主任，现任公司独立董事。</w:t>
      </w:r>
    </w:p>
    <w:p>
      <w:pPr>
        <w:pStyle w:val="BodyText"/>
        <w:spacing w:line="300" w:lineRule="auto" w:before="19"/>
        <w:ind w:right="0" w:firstLine="360"/>
        <w:jc w:val="left"/>
      </w:pPr>
      <w:r>
        <w:rPr>
          <w:spacing w:val="-2"/>
        </w:rPr>
        <w:t>王晓瑞女士：</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11</w:t>
      </w:r>
      <w:r>
        <w:rPr>
          <w:spacing w:val="-2"/>
        </w:rPr>
        <w:t>月出生，本科学历，律师。历任镇江市法律顾问处律师、镇江市第一律师事务所律师、江苏王江</w:t>
      </w:r>
      <w:r>
        <w:rPr/>
        <w:t> 南律师事务所副主任律师。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日起担任江苏大港股份有限公司独立董事，现任公司独立董事。</w:t>
      </w:r>
    </w:p>
    <w:p>
      <w:pPr>
        <w:pStyle w:val="BodyText"/>
        <w:spacing w:line="300" w:lineRule="auto" w:before="51"/>
        <w:ind w:right="0" w:firstLine="360"/>
        <w:jc w:val="left"/>
      </w:pPr>
      <w:r>
        <w:rPr>
          <w:spacing w:val="-2"/>
        </w:rPr>
        <w:t>蔡正华先生：</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3</w:t>
      </w:r>
      <w:r>
        <w:rPr>
          <w:spacing w:val="-2"/>
        </w:rPr>
        <w:t>月出生，华东政法大学法学学士和硕士学位，律师。历任上海博和律师事务所、北京大成（上海）</w:t>
      </w:r>
      <w:r>
        <w:rPr/>
        <w:t> </w:t>
      </w:r>
      <w:r>
        <w:rPr>
          <w:spacing w:val="-5"/>
        </w:rPr>
        <w:t>律师事务所、上海市太平洋律师事务所等上海知名律师事务所，</w:t>
      </w:r>
      <w:r>
        <w:rPr>
          <w:rFonts w:ascii="Times New Roman" w:hAnsi="Times New Roman" w:cs="Times New Roman" w:eastAsia="Times New Roman" w:hint="default"/>
          <w:spacing w:val="-5"/>
        </w:rPr>
        <w:t>2017</w:t>
      </w:r>
      <w:r>
        <w:rPr>
          <w:spacing w:val="-5"/>
        </w:rPr>
        <w:t>年加盟北京盈科（上海）律师事务所，现为北京盈科（上</w:t>
      </w:r>
      <w:r>
        <w:rPr>
          <w:spacing w:val="-68"/>
        </w:rPr>
        <w:t> </w:t>
      </w:r>
      <w:r>
        <w:rPr>
          <w:spacing w:val="-68"/>
        </w:rPr>
      </w:r>
      <w:r>
        <w:rPr/>
        <w:t>海）律师事务所高级合伙人，刑民交叉部主任。现任公司独立董事。</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在股东单位任职情况</w:t>
      </w:r>
    </w:p>
    <w:p>
      <w:pPr>
        <w:pStyle w:val="BodyText"/>
        <w:spacing w:line="360" w:lineRule="auto" w:before="115"/>
        <w:ind w:right="9133"/>
        <w:jc w:val="left"/>
      </w:pPr>
      <w:r>
        <w:rPr/>
        <w:t>□ 适用 √ 不适用 在其他单位任职情况</w:t>
      </w:r>
    </w:p>
    <w:p>
      <w:pPr>
        <w:pStyle w:val="BodyText"/>
        <w:spacing w:line="357" w:lineRule="auto" w:before="27"/>
        <w:ind w:right="4093"/>
        <w:jc w:val="left"/>
      </w:pPr>
      <w:r>
        <w:rPr/>
        <w:t>□ 适用 √ 不适用 公司现任及报告期内离任董事、监事和高级管理人员近三年证券监管机构处罚的情况</w:t>
      </w:r>
    </w:p>
    <w:p>
      <w:pPr>
        <w:pStyle w:val="BodyText"/>
        <w:spacing w:line="240" w:lineRule="auto" w:before="29"/>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7" w:lineRule="auto" w:before="117"/>
        <w:ind w:right="0" w:firstLine="91"/>
        <w:jc w:val="left"/>
      </w:pPr>
      <w:r>
        <w:rPr>
          <w:rFonts w:ascii="Times New Roman" w:hAnsi="Times New Roman" w:cs="Times New Roman" w:eastAsia="Times New Roman" w:hint="default"/>
          <w:spacing w:val="-2"/>
        </w:rPr>
        <w:t>1</w:t>
      </w:r>
      <w:r>
        <w:rPr>
          <w:spacing w:val="-2"/>
        </w:rPr>
        <w:t>、董事、监事、高级管理人员报酬的决策程序：公司独立董事津贴发放标准由董事会提出，股东大会审议通过后实施；高</w:t>
      </w:r>
      <w:r>
        <w:rPr/>
        <w:t> 级管理人员薪酬方案由董事会薪酬与考核委员会提出，董事会审议通过后实施。 </w:t>
      </w:r>
      <w:r>
        <w:rPr>
          <w:rFonts w:ascii="Times New Roman" w:hAnsi="Times New Roman" w:cs="Times New Roman" w:eastAsia="Times New Roman" w:hint="default"/>
          <w:spacing w:val="-2"/>
        </w:rPr>
        <w:t>2</w:t>
      </w:r>
      <w:r>
        <w:rPr>
          <w:spacing w:val="-2"/>
        </w:rPr>
        <w:t>、董事、监事、高级管理人员报酬确定依据：董事会按照工作绩效、职责履行、业务能力以及公司经营业绩确定总裁、副</w:t>
      </w:r>
      <w:r>
        <w:rPr>
          <w:spacing w:val="-70"/>
        </w:rPr>
        <w:t> </w:t>
      </w:r>
      <w:r>
        <w:rPr>
          <w:spacing w:val="-70"/>
        </w:rPr>
      </w:r>
      <w:r>
        <w:rPr/>
        <w:t>总裁、财务总监和董事会秘书的薪酬标准。</w:t>
      </w:r>
    </w:p>
    <w:p>
      <w:pPr>
        <w:pStyle w:val="BodyText"/>
        <w:spacing w:line="240" w:lineRule="auto" w:before="67"/>
        <w:ind w:right="0"/>
        <w:jc w:val="left"/>
      </w:pPr>
      <w:r>
        <w:rPr/>
        <w:t>公司报告期内董事、监事和高级管理人员报酬情况</w:t>
      </w:r>
    </w:p>
    <w:p>
      <w:pPr>
        <w:pStyle w:val="BodyText"/>
        <w:spacing w:line="240" w:lineRule="auto" w:before="114"/>
        <w:ind w:left="0" w:right="1132"/>
        <w:jc w:val="right"/>
      </w:pPr>
      <w:r>
        <w:rPr/>
        <w:t>单位：万元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36" w:right="0"/>
              <w:jc w:val="left"/>
              <w:rPr>
                <w:rFonts w:ascii="宋体" w:hAnsi="宋体" w:cs="宋体" w:eastAsia="宋体" w:hint="default"/>
                <w:sz w:val="18"/>
                <w:szCs w:val="18"/>
              </w:rPr>
            </w:pPr>
            <w:r>
              <w:rPr>
                <w:rFonts w:ascii="宋体" w:hAnsi="宋体" w:cs="宋体" w:eastAsia="宋体" w:hint="default"/>
                <w:sz w:val="18"/>
                <w:szCs w:val="18"/>
              </w:rPr>
              <w:t>从公司获得的</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36" w:right="0"/>
              <w:jc w:val="left"/>
              <w:rPr>
                <w:rFonts w:ascii="宋体" w:hAnsi="宋体" w:cs="宋体" w:eastAsia="宋体" w:hint="default"/>
                <w:sz w:val="18"/>
                <w:szCs w:val="18"/>
              </w:rPr>
            </w:pPr>
            <w:r>
              <w:rPr>
                <w:rFonts w:ascii="宋体" w:hAnsi="宋体" w:cs="宋体" w:eastAsia="宋体" w:hint="default"/>
                <w:sz w:val="18"/>
                <w:szCs w:val="18"/>
              </w:rPr>
              <w:t>是否在公司关</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39"/>
              <w:jc w:val="right"/>
              <w:rPr>
                <w:rFonts w:ascii="宋体" w:hAnsi="宋体" w:cs="宋体" w:eastAsia="宋体" w:hint="default"/>
                <w:sz w:val="18"/>
                <w:szCs w:val="18"/>
              </w:rPr>
            </w:pPr>
            <w:r>
              <w:rPr>
                <w:rFonts w:ascii="宋体" w:hAnsi="宋体" w:cs="宋体" w:eastAsia="宋体" w:hint="default"/>
                <w:sz w:val="18"/>
                <w:szCs w:val="18"/>
              </w:rPr>
              <w:t>税前报酬总额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联方获取报酬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陈妹妹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75"/>
              <w:jc w:val="left"/>
              <w:rPr>
                <w:rFonts w:ascii="宋体" w:hAnsi="宋体" w:cs="宋体" w:eastAsia="宋体" w:hint="default"/>
                <w:sz w:val="18"/>
                <w:szCs w:val="18"/>
              </w:rPr>
            </w:pPr>
            <w:r>
              <w:rPr>
                <w:rFonts w:ascii="宋体" w:hAnsi="宋体" w:cs="宋体" w:eastAsia="宋体" w:hint="default"/>
                <w:sz w:val="18"/>
                <w:szCs w:val="18"/>
              </w:rPr>
              <w:t>董事会秘书， 副总裁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陆道如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106.92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胡兆凤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蔡正华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7.14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孙丽娟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378.65</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5"/>
        <w:ind w:right="0"/>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五、公司员工情况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4783"/>
        <w:gridCol w:w="4783"/>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1,098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155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1,253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1,253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507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2"/>
                <w:sz w:val="18"/>
              </w:rPr>
              <w:t>110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495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122</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1017" w:header="905" w:top="1100" w:bottom="1200" w:left="1020" w:right="0"/>
          <w:pgNumType w:start="50"/>
        </w:sectPr>
      </w:pPr>
    </w:p>
    <w:p>
      <w:pPr>
        <w:spacing w:line="240" w:lineRule="auto" w:before="7"/>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783"/>
        <w:gridCol w:w="4783"/>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1,253</w:t>
            </w:r>
          </w:p>
        </w:tc>
      </w:tr>
      <w:tr>
        <w:trPr>
          <w:trHeight w:val="401"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1,253</w:t>
            </w:r>
          </w:p>
        </w:tc>
      </w:tr>
    </w:tbl>
    <w:p>
      <w:pPr>
        <w:spacing w:line="240" w:lineRule="auto" w:before="2"/>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jc w:val="left"/>
      </w:pPr>
      <w:r>
        <w:rPr>
          <w:spacing w:val="-1"/>
        </w:rPr>
        <w:t>公司持续履行了</w:t>
      </w:r>
      <w:r>
        <w:rPr>
          <w:rFonts w:ascii="Times New Roman" w:hAnsi="Times New Roman" w:cs="Times New Roman" w:eastAsia="Times New Roman" w:hint="default"/>
          <w:spacing w:val="-1"/>
        </w:rPr>
        <w:t>“</w:t>
      </w:r>
      <w:r>
        <w:rPr>
          <w:spacing w:val="-1"/>
        </w:rPr>
        <w:t>对内具有公平性，对外具有竞争力</w:t>
      </w:r>
      <w:r>
        <w:rPr>
          <w:rFonts w:ascii="Times New Roman" w:hAnsi="Times New Roman" w:cs="Times New Roman" w:eastAsia="Times New Roman" w:hint="default"/>
          <w:spacing w:val="-1"/>
        </w:rPr>
        <w:t>”</w:t>
      </w:r>
      <w:r>
        <w:rPr>
          <w:spacing w:val="-1"/>
        </w:rPr>
        <w:t>的薪酬体系，遵循</w:t>
      </w:r>
      <w:r>
        <w:rPr>
          <w:rFonts w:ascii="Times New Roman" w:hAnsi="Times New Roman" w:cs="Times New Roman" w:eastAsia="Times New Roman" w:hint="default"/>
          <w:spacing w:val="-1"/>
        </w:rPr>
        <w:t>“</w:t>
      </w:r>
      <w:r>
        <w:rPr>
          <w:spacing w:val="-1"/>
        </w:rPr>
        <w:t>按劳分配、效率优先、兼顾公平及可持续发展</w:t>
      </w:r>
      <w:r>
        <w:rPr>
          <w:rFonts w:ascii="Times New Roman" w:hAnsi="Times New Roman" w:cs="Times New Roman" w:eastAsia="Times New Roman" w:hint="default"/>
          <w:spacing w:val="-1"/>
        </w:rPr>
        <w:t>”</w:t>
      </w:r>
      <w:r>
        <w:rPr>
          <w:spacing w:val="-1"/>
        </w:rPr>
        <w:t>的分</w:t>
      </w:r>
      <w:r>
        <w:rPr>
          <w:spacing w:val="-78"/>
        </w:rPr>
        <w:t> </w:t>
      </w:r>
      <w:r>
        <w:rPr/>
        <w:t>配原则，采取</w:t>
      </w:r>
      <w:r>
        <w:rPr>
          <w:rFonts w:ascii="Times New Roman" w:hAnsi="Times New Roman" w:cs="Times New Roman" w:eastAsia="Times New Roman" w:hint="default"/>
        </w:rPr>
        <w:t>“</w:t>
      </w:r>
      <w:r>
        <w:rPr/>
        <w:t>以能定级、以岗定薪、以绩定奖</w:t>
      </w:r>
      <w:r>
        <w:rPr>
          <w:rFonts w:ascii="Times New Roman" w:hAnsi="Times New Roman" w:cs="Times New Roman" w:eastAsia="Times New Roman" w:hint="default"/>
        </w:rPr>
        <w:t>”</w:t>
      </w:r>
      <w:r>
        <w:rPr/>
        <w:t>的分配形式，合理拉开收入差距。</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2018</w:t>
      </w:r>
      <w:r>
        <w:rPr/>
        <w:t>年公司重点针对对各类岗位开展技能提升类培训及思维创新类培训。</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5" w:footer="1017"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66" w:right="4487"/>
        <w:jc w:val="center"/>
        <w:rPr>
          <w:b w:val="0"/>
          <w:bCs w:val="0"/>
        </w:rPr>
      </w:pPr>
      <w:bookmarkStart w:name="_TOC_250003" w:id="9"/>
      <w:r>
        <w:rPr/>
        <w:t>第九节</w:t>
      </w:r>
      <w:r>
        <w:rPr>
          <w:spacing w:val="-7"/>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480"/>
        <w:jc w:val="both"/>
      </w:pPr>
      <w:r>
        <w:rPr>
          <w:spacing w:val="-11"/>
        </w:rPr>
        <w:t>报告期内，公司严格按照《公司法》、《证券法》、《上市公司治理准则》、《深圳证券交易所股票上市规则》和中国证监</w:t>
      </w:r>
      <w:r>
        <w:rPr/>
        <w:t> </w:t>
      </w:r>
      <w:r>
        <w:rPr>
          <w:spacing w:val="-2"/>
        </w:rPr>
        <w:t>会有关法律法规的要求，不断完善公司法人治理结构，建立健全公司内部控制制度，积极开展投资者关系管理活动，规范公</w:t>
      </w:r>
      <w:r>
        <w:rPr>
          <w:spacing w:val="-66"/>
        </w:rPr>
        <w:t> </w:t>
      </w:r>
      <w:r>
        <w:rPr>
          <w:spacing w:val="-66"/>
        </w:rPr>
      </w:r>
      <w:r>
        <w:rPr/>
        <w:t>司运作，进一步提高了公司治理水平。</w:t>
      </w:r>
    </w:p>
    <w:p>
      <w:pPr>
        <w:pStyle w:val="BodyText"/>
        <w:spacing w:line="316" w:lineRule="auto" w:before="18"/>
        <w:ind w:right="1132" w:firstLine="480"/>
        <w:jc w:val="both"/>
      </w:pPr>
      <w:r>
        <w:rPr>
          <w:spacing w:val="-1"/>
        </w:rPr>
        <w:t>截至报告期末，公司整体运行规范，公司治理实际情况基本符合中国证监会发布的有关上市公司治理的规范性文件的</w:t>
      </w:r>
      <w:r>
        <w:rPr/>
        <w:t> 要求。</w:t>
      </w:r>
    </w:p>
    <w:p>
      <w:pPr>
        <w:pStyle w:val="BodyText"/>
        <w:spacing w:line="316" w:lineRule="auto" w:before="19"/>
        <w:ind w:left="592" w:right="0"/>
        <w:jc w:val="left"/>
      </w:pPr>
      <w:r>
        <w:rPr/>
        <w:t>（一）关于股东与股东大会 </w:t>
      </w:r>
      <w:r>
        <w:rPr>
          <w:spacing w:val="-1"/>
        </w:rPr>
        <w:t>公司严格按照《上市公司股东大会规则》和《公司章程》的规定和要求，规范股东大会的召集、召开及议事程序，能</w:t>
      </w:r>
    </w:p>
    <w:p>
      <w:pPr>
        <w:pStyle w:val="BodyText"/>
        <w:spacing w:line="240" w:lineRule="auto" w:before="18"/>
        <w:ind w:right="0"/>
        <w:jc w:val="both"/>
      </w:pPr>
      <w:r>
        <w:rPr/>
        <w:t>够确保全体股东特别是中小股东享有平等地位，充分行使自己的权力。</w:t>
      </w:r>
    </w:p>
    <w:p>
      <w:pPr>
        <w:pStyle w:val="BodyText"/>
        <w:spacing w:line="316" w:lineRule="auto" w:before="76"/>
        <w:ind w:left="592" w:right="1633"/>
        <w:jc w:val="left"/>
      </w:pPr>
      <w:r>
        <w:rPr/>
        <w:t>（二）关于公司与控股股东 公司控股股东能严格规范自己的行为，没有超越公司股东大会直接或间接干预公司的决策和经营活动的行为。</w:t>
      </w:r>
    </w:p>
    <w:p>
      <w:pPr>
        <w:pStyle w:val="BodyText"/>
        <w:spacing w:line="319" w:lineRule="auto" w:before="18"/>
        <w:ind w:left="592" w:right="0"/>
        <w:jc w:val="left"/>
      </w:pPr>
      <w:r>
        <w:rPr/>
        <w:t>（三）关于董事与董事会 </w:t>
      </w:r>
      <w:r>
        <w:rPr>
          <w:spacing w:val="-1"/>
        </w:rPr>
        <w:t>公司严格按照《公司章程》规定的选聘程序选举董事，公司目前有独立董事三名，占全体董事的三分之一，董事会人</w:t>
      </w:r>
    </w:p>
    <w:p>
      <w:pPr>
        <w:pStyle w:val="BodyText"/>
        <w:spacing w:line="316" w:lineRule="auto" w:before="17"/>
        <w:ind w:right="1128"/>
        <w:jc w:val="left"/>
      </w:pPr>
      <w:r>
        <w:rPr>
          <w:spacing w:val="-5"/>
        </w:rPr>
        <w:t>数和人员构成符合法律、法规和《公司章程》的要求。全体董事能够依据《董事会议事规则》、《深圳证券交易所中小企业板</w:t>
      </w:r>
      <w:r>
        <w:rPr>
          <w:spacing w:val="-81"/>
        </w:rPr>
        <w:t> </w:t>
      </w:r>
      <w:r>
        <w:rPr>
          <w:spacing w:val="-81"/>
        </w:rPr>
      </w:r>
      <w:r>
        <w:rPr/>
        <w:t>块上市公司董事行为指引》等制度开展工作，勤勉尽责履行义务。</w:t>
      </w:r>
    </w:p>
    <w:p>
      <w:pPr>
        <w:pStyle w:val="BodyText"/>
        <w:spacing w:line="316" w:lineRule="auto" w:before="19"/>
        <w:ind w:left="592" w:right="1121"/>
        <w:jc w:val="left"/>
      </w:pPr>
      <w:r>
        <w:rPr/>
        <w:t>（四）关于监事与监事会 </w:t>
      </w:r>
      <w:r>
        <w:rPr>
          <w:spacing w:val="-4"/>
        </w:rPr>
        <w:t>公司严格按照《公司法》、《公司章程》的有关规定选聘监事，监事会的人数及构成符合法律、法规的要求。公司目前</w:t>
      </w:r>
    </w:p>
    <w:p>
      <w:pPr>
        <w:pStyle w:val="BodyText"/>
        <w:spacing w:line="316" w:lineRule="auto" w:before="18"/>
        <w:ind w:right="1129"/>
        <w:jc w:val="both"/>
      </w:pPr>
      <w:r>
        <w:rPr>
          <w:spacing w:val="-2"/>
        </w:rPr>
        <w:t>有职工代表监事一名，占全体监事的三分之一，监事人数和人员构成符合法律、法规的要求。公司监事能够按照《监事会议</w:t>
      </w:r>
      <w:r>
        <w:rPr>
          <w:spacing w:val="-63"/>
        </w:rPr>
        <w:t> </w:t>
      </w:r>
      <w:r>
        <w:rPr>
          <w:spacing w:val="-63"/>
        </w:rPr>
      </w:r>
      <w:r>
        <w:rPr>
          <w:spacing w:val="-2"/>
        </w:rPr>
        <w:t>事规则》等的要求，认真履行职责，对公司重大事项、财务状况、公司董事、经理和其他高级管理人员履行职责的合法合规</w:t>
      </w:r>
      <w:r>
        <w:rPr>
          <w:spacing w:val="-67"/>
        </w:rPr>
        <w:t> </w:t>
      </w:r>
      <w:r>
        <w:rPr>
          <w:spacing w:val="-67"/>
        </w:rPr>
      </w:r>
      <w:r>
        <w:rPr/>
        <w:t>性等进行监督，切实维护公司及股东的权益。</w:t>
      </w:r>
    </w:p>
    <w:p>
      <w:pPr>
        <w:pStyle w:val="BodyText"/>
        <w:spacing w:line="319" w:lineRule="auto" w:before="18"/>
        <w:ind w:left="592" w:right="1121"/>
        <w:jc w:val="left"/>
      </w:pPr>
      <w:r>
        <w:rPr/>
        <w:t>（五）关于绩效评价和激励约束机制 </w:t>
      </w:r>
      <w:r>
        <w:rPr>
          <w:spacing w:val="-4"/>
        </w:rPr>
        <w:t>公司逐步完善董事、监事和经理人员的绩效评价标准和激励约束机制，公司经理人员的聘任严格按照《公司法》和《公</w:t>
      </w:r>
    </w:p>
    <w:p>
      <w:pPr>
        <w:pStyle w:val="BodyText"/>
        <w:spacing w:line="240" w:lineRule="auto" w:before="17"/>
        <w:ind w:right="0"/>
        <w:jc w:val="both"/>
      </w:pPr>
      <w:r>
        <w:rPr/>
        <w:t>司章程》的规定进行，公开、透明，符合法律法规的规定。</w:t>
      </w:r>
    </w:p>
    <w:p>
      <w:pPr>
        <w:pStyle w:val="BodyText"/>
        <w:spacing w:line="319" w:lineRule="auto" w:before="76"/>
        <w:ind w:left="592" w:right="0"/>
        <w:jc w:val="left"/>
      </w:pPr>
      <w:r>
        <w:rPr/>
        <w:t>（六）关于相关利益者 </w:t>
      </w:r>
      <w:r>
        <w:rPr>
          <w:spacing w:val="-1"/>
        </w:rPr>
        <w:t>公司充分尊重和维护相关利益者的合法权益，实现社会、股东、公司、员工等各方利益的协调平衡，共同推动公司持</w:t>
      </w:r>
    </w:p>
    <w:p>
      <w:pPr>
        <w:pStyle w:val="BodyText"/>
        <w:spacing w:line="240" w:lineRule="auto" w:before="17"/>
        <w:ind w:right="0"/>
        <w:jc w:val="both"/>
      </w:pPr>
      <w:r>
        <w:rPr/>
        <w:t>续、稳健发展。</w:t>
      </w:r>
    </w:p>
    <w:p>
      <w:pPr>
        <w:pStyle w:val="BodyText"/>
        <w:spacing w:line="319" w:lineRule="auto" w:before="76"/>
        <w:ind w:left="592" w:right="0"/>
        <w:jc w:val="left"/>
      </w:pPr>
      <w:r>
        <w:rPr/>
        <w:t>（七）关于信息披露与透明度 </w:t>
      </w:r>
      <w:r>
        <w:rPr>
          <w:spacing w:val="-1"/>
        </w:rPr>
        <w:t>公司已指定董事会秘书为公司的投资者关系管理负责人，负责公司信息披露和投资者关系管理，接待股东的来访和咨</w:t>
      </w:r>
    </w:p>
    <w:p>
      <w:pPr>
        <w:pStyle w:val="BodyText"/>
        <w:spacing w:line="316" w:lineRule="auto" w:before="17"/>
        <w:ind w:right="0"/>
        <w:jc w:val="left"/>
      </w:pPr>
      <w:r>
        <w:rPr>
          <w:spacing w:val="-8"/>
        </w:rPr>
        <w:t>询。公司指定《证券时报》、《中国证券报》、《上海证券报》和巨潮网为公司信息披露的报纸和网站，严格按照有关法律法规</w:t>
      </w:r>
      <w:r>
        <w:rPr/>
        <w:t> </w:t>
      </w:r>
      <w:r>
        <w:rPr>
          <w:spacing w:val="-4"/>
        </w:rPr>
        <w:t>的规定和公司制定的《信息披露事务管理制度》真实、准确、完整、及时地披露信息，确保所有股东有公平的机会获得信息。</w:t>
      </w:r>
    </w:p>
    <w:p>
      <w:pPr>
        <w:pStyle w:val="BodyText"/>
        <w:spacing w:line="240" w:lineRule="auto" w:before="19"/>
        <w:ind w:left="592" w:right="0"/>
        <w:jc w:val="left"/>
      </w:pPr>
      <w:r>
        <w:rPr/>
        <w:t>（八）报告期内，公司建立和修订的制度文件</w:t>
      </w:r>
    </w:p>
    <w:p>
      <w:pPr>
        <w:spacing w:line="240" w:lineRule="auto" w:before="5"/>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008"/>
        <w:gridCol w:w="1529"/>
        <w:gridCol w:w="2774"/>
        <w:gridCol w:w="1771"/>
        <w:gridCol w:w="1774"/>
      </w:tblGrid>
      <w:tr>
        <w:trPr>
          <w:trHeight w:val="34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序号</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4"/>
              <w:jc w:val="center"/>
              <w:rPr>
                <w:rFonts w:ascii="宋体" w:hAnsi="宋体" w:cs="宋体" w:eastAsia="宋体" w:hint="default"/>
                <w:sz w:val="21"/>
                <w:szCs w:val="21"/>
              </w:rPr>
            </w:pPr>
            <w:r>
              <w:rPr>
                <w:rFonts w:ascii="宋体" w:hAnsi="宋体" w:cs="宋体" w:eastAsia="宋体" w:hint="default"/>
                <w:sz w:val="21"/>
                <w:szCs w:val="21"/>
              </w:rPr>
              <w:t>名称</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4"/>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信息披露载体</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2"/>
              <w:jc w:val="center"/>
              <w:rPr>
                <w:rFonts w:ascii="宋体" w:hAnsi="宋体" w:cs="宋体" w:eastAsia="宋体" w:hint="default"/>
                <w:sz w:val="21"/>
                <w:szCs w:val="21"/>
              </w:rPr>
            </w:pPr>
            <w:r>
              <w:rPr>
                <w:rFonts w:ascii="宋体" w:hAnsi="宋体" w:cs="宋体" w:eastAsia="宋体" w:hint="default"/>
                <w:sz w:val="21"/>
                <w:szCs w:val="21"/>
              </w:rPr>
              <w:t>新建</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p>
        </w:tc>
      </w:tr>
      <w:tr>
        <w:trPr>
          <w:trHeight w:val="34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公司章程</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宋体" w:hAnsi="宋体" w:cs="宋体" w:eastAsia="宋体" w:hint="default"/>
                <w:sz w:val="21"/>
                <w:szCs w:val="21"/>
              </w:rPr>
              <w:t>8年4月27日</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修订</w:t>
            </w:r>
          </w:p>
        </w:tc>
      </w:tr>
      <w:tr>
        <w:trPr>
          <w:trHeight w:val="34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3"/>
              <w:jc w:val="center"/>
              <w:rPr>
                <w:rFonts w:ascii="宋体" w:hAnsi="宋体" w:cs="宋体" w:eastAsia="宋体" w:hint="default"/>
                <w:sz w:val="21"/>
                <w:szCs w:val="21"/>
              </w:rPr>
            </w:pPr>
            <w:r>
              <w:rPr>
                <w:rFonts w:ascii="宋体"/>
                <w:w w:val="99"/>
                <w:sz w:val="21"/>
              </w:rPr>
              <w:t>2</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公司章程</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w:t>
            </w:r>
            <w:r>
              <w:rPr>
                <w:rFonts w:ascii="宋体" w:hAnsi="宋体" w:cs="宋体" w:eastAsia="宋体" w:hint="default"/>
                <w:sz w:val="21"/>
                <w:szCs w:val="21"/>
              </w:rPr>
              <w:t>8年4月28日</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5"/>
              <w:jc w:val="center"/>
              <w:rPr>
                <w:rFonts w:ascii="宋体" w:hAnsi="宋体" w:cs="宋体" w:eastAsia="宋体" w:hint="default"/>
                <w:sz w:val="21"/>
                <w:szCs w:val="21"/>
              </w:rPr>
            </w:pPr>
            <w:r>
              <w:rPr>
                <w:rFonts w:ascii="宋体" w:hAnsi="宋体" w:cs="宋体" w:eastAsia="宋体" w:hint="default"/>
                <w:sz w:val="21"/>
                <w:szCs w:val="21"/>
              </w:rPr>
              <w:t>修订</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pPr>
      <w:r>
        <w:rPr/>
        <w:t>公司治理的实际状况与中国证监会发布的有关上市公司治理的规范性文件是否存在重大差异</w:t>
      </w:r>
    </w:p>
    <w:p>
      <w:pPr>
        <w:spacing w:after="0" w:line="24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right="3553"/>
        <w:jc w:val="left"/>
      </w:pPr>
      <w:r>
        <w:rPr/>
        <w:t>□ 是 √ 否 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公司在业务、人员、资产、机构、财务等方面与控股股东相互独立，公司具有独立完整的业务及自主经营能力。</w:t>
      </w:r>
    </w:p>
    <w:p>
      <w:pPr>
        <w:pStyle w:val="BodyText"/>
        <w:spacing w:line="316" w:lineRule="auto" w:before="76"/>
        <w:ind w:right="1033"/>
        <w:jc w:val="left"/>
      </w:pPr>
      <w:r>
        <w:rPr/>
        <w:t>（一）业务 </w:t>
      </w:r>
      <w:r>
        <w:rPr>
          <w:spacing w:val="-2"/>
        </w:rPr>
        <w:t>公司拥有独立完整的供应、生产和销售系统，独立开展业务，不依赖于股东或其它任何关联方。公司控股股东为自然人，在</w:t>
      </w:r>
      <w:r>
        <w:rPr>
          <w:spacing w:val="-63"/>
        </w:rPr>
        <w:t> </w:t>
      </w:r>
      <w:r>
        <w:rPr>
          <w:spacing w:val="-63"/>
        </w:rPr>
      </w:r>
      <w:r>
        <w:rPr/>
        <w:t>业务上与公司之间不存在竞争关系。</w:t>
      </w:r>
    </w:p>
    <w:p>
      <w:pPr>
        <w:pStyle w:val="BodyText"/>
        <w:spacing w:line="240" w:lineRule="auto" w:before="19"/>
        <w:ind w:right="0"/>
        <w:jc w:val="left"/>
      </w:pPr>
      <w:r>
        <w:rPr/>
        <w:t>（二）人员</w:t>
      </w:r>
    </w:p>
    <w:p>
      <w:pPr>
        <w:pStyle w:val="BodyText"/>
        <w:spacing w:line="316" w:lineRule="auto" w:before="76"/>
        <w:ind w:right="1117"/>
        <w:jc w:val="left"/>
      </w:pPr>
      <w:r>
        <w:rPr/>
        <w:t>公司劳动、人事及工资管理完全独立。公司总裁、副总裁、董事会秘书、财务</w:t>
      </w:r>
      <w:r>
        <w:rPr>
          <w:spacing w:val="6"/>
        </w:rPr>
        <w:t> </w:t>
      </w:r>
      <w:r>
        <w:rPr/>
        <w:t>负责人等高级管理人员均在公司工作并领取</w:t>
      </w:r>
      <w:r>
        <w:rPr/>
        <w:t> 薪酬。</w:t>
      </w:r>
    </w:p>
    <w:p>
      <w:pPr>
        <w:pStyle w:val="BodyText"/>
        <w:spacing w:line="316" w:lineRule="auto" w:before="19"/>
        <w:ind w:right="1033"/>
        <w:jc w:val="left"/>
      </w:pPr>
      <w:r>
        <w:rPr/>
        <w:t>（三）资产 </w:t>
      </w:r>
      <w:r>
        <w:rPr>
          <w:spacing w:val="-2"/>
        </w:rPr>
        <w:t>公司拥有独立于控股股东的生产经营场所，拥有独立完整的资产结构，拥有独立的生产系统、辅助生产系统和配套设施，拥</w:t>
      </w:r>
      <w:r>
        <w:rPr>
          <w:spacing w:val="-64"/>
        </w:rPr>
        <w:t> </w:t>
      </w:r>
      <w:r>
        <w:rPr>
          <w:spacing w:val="-64"/>
        </w:rPr>
      </w:r>
      <w:r>
        <w:rPr>
          <w:spacing w:val="-4"/>
        </w:rPr>
        <w:t>有独立的土地使用权、房屋产权，拥有独立的采购和销售系统。公司没有以资产、权益或信誉为控股股东的债务提供过担保，</w:t>
      </w:r>
      <w:r>
        <w:rPr>
          <w:spacing w:val="-46"/>
        </w:rPr>
        <w:t> </w:t>
      </w:r>
      <w:r>
        <w:rPr>
          <w:spacing w:val="-46"/>
        </w:rPr>
      </w:r>
      <w:r>
        <w:rPr/>
        <w:t>不存在资产、资金被控股股东占用而损害公司其他股东利益的情况。</w:t>
      </w:r>
    </w:p>
    <w:p>
      <w:pPr>
        <w:pStyle w:val="BodyText"/>
        <w:spacing w:line="316" w:lineRule="auto" w:before="18"/>
        <w:ind w:right="1033"/>
        <w:jc w:val="left"/>
      </w:pPr>
      <w:r>
        <w:rPr/>
        <w:t>（四）机构 </w:t>
      </w:r>
      <w:r>
        <w:rPr>
          <w:spacing w:val="-2"/>
        </w:rPr>
        <w:t>公司设立了健全的组织机构体系，股东大会、董事会、监事会及生产经营管理部门独立运作，并制定了相应的内部管理和控</w:t>
      </w:r>
      <w:r>
        <w:rPr>
          <w:spacing w:val="-66"/>
        </w:rPr>
        <w:t> </w:t>
      </w:r>
      <w:r>
        <w:rPr>
          <w:spacing w:val="-66"/>
        </w:rPr>
      </w:r>
      <w:r>
        <w:rPr/>
        <w:t>制制度，与控股股东或其职能部门之间不存在从属关系。</w:t>
      </w:r>
    </w:p>
    <w:p>
      <w:pPr>
        <w:pStyle w:val="BodyText"/>
        <w:spacing w:line="316" w:lineRule="auto" w:before="18"/>
        <w:ind w:right="1033"/>
        <w:jc w:val="left"/>
      </w:pPr>
      <w:r>
        <w:rPr/>
        <w:t>（五）财务 </w:t>
      </w:r>
      <w:r>
        <w:rPr>
          <w:spacing w:val="-2"/>
        </w:rPr>
        <w:t>公司设立有独立的财务部门，配备了充足的专职财务会计人员，建立了独立的会计核算体系和财务管理制度，开设了独立的</w:t>
      </w:r>
      <w:r>
        <w:rPr>
          <w:spacing w:val="-65"/>
        </w:rPr>
        <w:t> </w:t>
      </w:r>
      <w:r>
        <w:rPr>
          <w:spacing w:val="-65"/>
        </w:rPr>
      </w:r>
      <w:r>
        <w:rPr/>
        <w:t>银行账户，独立纳税，独立进行财务决策，不存在控股股东干预本公司资金使用的情况。</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32"/>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0"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0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年度股东大 会决议公告</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2018-027</w:t>
            </w:r>
            <w:r>
              <w:rPr>
                <w:rFonts w:ascii="宋体" w:hAnsi="宋体" w:cs="宋体" w:eastAsia="宋体" w:hint="default"/>
                <w:sz w:val="18"/>
                <w:szCs w:val="18"/>
              </w:rPr>
              <w:t>）</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0"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0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 时股东大会决议 公告（</w:t>
            </w:r>
            <w:r>
              <w:rPr>
                <w:rFonts w:ascii="Times New Roman" w:hAnsi="Times New Roman" w:cs="Times New Roman" w:eastAsia="Times New Roman" w:hint="default"/>
                <w:sz w:val="18"/>
                <w:szCs w:val="18"/>
              </w:rPr>
              <w:t>2018-040</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5" w:footer="1017"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1426"/>
        <w:gridCol w:w="1164"/>
        <w:gridCol w:w="1164"/>
        <w:gridCol w:w="1164"/>
        <w:gridCol w:w="1162"/>
        <w:gridCol w:w="1164"/>
        <w:gridCol w:w="1162"/>
        <w:gridCol w:w="1164"/>
      </w:tblGrid>
      <w:tr>
        <w:trPr>
          <w:trHeight w:val="401" w:hRule="exact"/>
        </w:trPr>
        <w:tc>
          <w:tcPr>
            <w:tcW w:w="956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6" w:right="125" w:hanging="89"/>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4" w:right="127"/>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3" w:right="125"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96" w:right="127" w:hanging="272"/>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4"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7"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王晓瑞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岳修峰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蔡正华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60" w:lineRule="auto" w:before="117"/>
        <w:ind w:right="6973"/>
        <w:jc w:val="left"/>
      </w:pPr>
      <w:r>
        <w:rPr/>
        <w:t>□ 是 √ 否 报告期内独立董事对公司有关事项未提出异议。</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57" w:lineRule="auto" w:before="117"/>
        <w:ind w:right="6793"/>
        <w:jc w:val="left"/>
      </w:pPr>
      <w:r>
        <w:rPr/>
        <w:t>□ 是 √ 否 独立董事对公司有关建议被采纳或未被采纳的说明 无</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（一）审计委员会</w:t>
      </w:r>
    </w:p>
    <w:p>
      <w:pPr>
        <w:pStyle w:val="BodyText"/>
        <w:spacing w:line="300" w:lineRule="auto" w:before="76"/>
        <w:ind w:left="472" w:right="4183"/>
        <w:jc w:val="left"/>
      </w:pPr>
      <w:r>
        <w:rPr/>
        <w:t>（</w:t>
      </w:r>
      <w:r>
        <w:rPr>
          <w:rFonts w:ascii="Times New Roman" w:hAnsi="Times New Roman" w:cs="Times New Roman" w:eastAsia="Times New Roman" w:hint="default"/>
        </w:rPr>
        <w:t>1</w:t>
      </w:r>
      <w:r>
        <w:rPr/>
        <w:t>）会议情况 报告期内，公司董事会审计委员会共召开了3次会议，全体委员均出席了会议。</w:t>
      </w:r>
    </w:p>
    <w:p>
      <w:pPr>
        <w:pStyle w:val="BodyText"/>
        <w:spacing w:line="240" w:lineRule="auto" w:before="31"/>
        <w:ind w:left="472" w:right="0"/>
        <w:jc w:val="left"/>
      </w:pPr>
      <w:r>
        <w:rPr/>
        <w:t>（</w:t>
      </w:r>
      <w:r>
        <w:rPr>
          <w:rFonts w:ascii="Times New Roman" w:hAnsi="Times New Roman" w:cs="Times New Roman" w:eastAsia="Times New Roman" w:hint="default"/>
        </w:rPr>
        <w:t>2</w:t>
      </w:r>
      <w:r>
        <w:rPr/>
        <w:t>）履职情况</w:t>
      </w:r>
    </w:p>
    <w:p>
      <w:pPr>
        <w:pStyle w:val="BodyText"/>
        <w:spacing w:line="300" w:lineRule="auto" w:before="62"/>
        <w:ind w:left="504" w:right="0" w:hanging="32"/>
        <w:jc w:val="left"/>
      </w:pPr>
      <w:r>
        <w:rPr/>
        <w:t>①对</w:t>
      </w:r>
      <w:r>
        <w:rPr>
          <w:rFonts w:ascii="Times New Roman" w:hAnsi="Times New Roman" w:cs="Times New Roman" w:eastAsia="Times New Roman" w:hint="default"/>
        </w:rPr>
        <w:t>2017</w:t>
      </w:r>
      <w:r>
        <w:rPr/>
        <w:t>年财务报告的稽核 </w:t>
      </w:r>
      <w:r>
        <w:rPr>
          <w:spacing w:val="-1"/>
        </w:rPr>
        <w:t>审计委员会对公司</w:t>
      </w:r>
      <w:r>
        <w:rPr>
          <w:rFonts w:ascii="Times New Roman" w:hAnsi="Times New Roman" w:cs="Times New Roman" w:eastAsia="Times New Roman" w:hint="default"/>
          <w:spacing w:val="-1"/>
        </w:rPr>
        <w:t>2017</w:t>
      </w:r>
      <w:r>
        <w:rPr>
          <w:spacing w:val="-1"/>
        </w:rPr>
        <w:t>年度财务报表进行了审计，出具了审计意见。审计委员会对公司</w:t>
      </w:r>
      <w:r>
        <w:rPr>
          <w:rFonts w:ascii="Times New Roman" w:hAnsi="Times New Roman" w:cs="Times New Roman" w:eastAsia="Times New Roman" w:hint="default"/>
          <w:spacing w:val="-1"/>
        </w:rPr>
        <w:t>2017</w:t>
      </w:r>
      <w:r>
        <w:rPr>
          <w:spacing w:val="-1"/>
        </w:rPr>
        <w:t>年财务报表的审计意见为：</w:t>
      </w:r>
    </w:p>
    <w:p>
      <w:pPr>
        <w:pStyle w:val="BodyText"/>
        <w:spacing w:line="300" w:lineRule="auto" w:before="13"/>
        <w:ind w:right="0"/>
        <w:jc w:val="left"/>
      </w:pPr>
      <w:r>
        <w:rPr>
          <w:spacing w:val="-2"/>
        </w:rPr>
        <w:t>公司财务报表已经按照企业会计准则和《企业会计制度》的规定编制，在所有重大方面公允反映了公司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w:t>
      </w:r>
      <w:r>
        <w:rPr>
          <w:spacing w:val="-61"/>
        </w:rPr>
        <w:t> </w:t>
      </w:r>
      <w:r>
        <w:rPr/>
        <w:t>务状况以及</w:t>
      </w:r>
      <w:r>
        <w:rPr>
          <w:rFonts w:ascii="Times New Roman" w:hAnsi="Times New Roman" w:cs="Times New Roman" w:eastAsia="Times New Roman" w:hint="default"/>
        </w:rPr>
        <w:t>2017</w:t>
      </w:r>
      <w:r>
        <w:rPr/>
        <w:t>年度的经营成果和现金流量。</w:t>
      </w:r>
    </w:p>
    <w:p>
      <w:pPr>
        <w:pStyle w:val="BodyText"/>
        <w:spacing w:line="240" w:lineRule="auto" w:before="13"/>
        <w:ind w:left="504" w:right="0"/>
        <w:jc w:val="left"/>
      </w:pPr>
      <w:r>
        <w:rPr/>
        <w:t>②对续聘会计师事务所提出建议，建议继续聘任上会会计师事务所作为公司</w:t>
      </w:r>
      <w:r>
        <w:rPr>
          <w:rFonts w:ascii="Times New Roman" w:hAnsi="Times New Roman" w:cs="Times New Roman" w:eastAsia="Times New Roman" w:hint="default"/>
        </w:rPr>
        <w:t>2018</w:t>
      </w:r>
      <w:r>
        <w:rPr/>
        <w:t>年度财务审计机构。</w:t>
      </w:r>
    </w:p>
    <w:p>
      <w:pPr>
        <w:pStyle w:val="BodyText"/>
        <w:spacing w:line="316" w:lineRule="auto" w:before="63"/>
        <w:ind w:left="504" w:right="0"/>
        <w:jc w:val="left"/>
      </w:pPr>
      <w:r>
        <w:rPr/>
        <w:t>③对内部控制的核查 </w:t>
      </w:r>
      <w:r>
        <w:rPr>
          <w:spacing w:val="-3"/>
        </w:rPr>
        <w:t>公司董事会审计委员会对公司</w:t>
      </w:r>
      <w:r>
        <w:rPr>
          <w:rFonts w:ascii="Times New Roman" w:hAnsi="Times New Roman" w:cs="Times New Roman" w:eastAsia="Times New Roman" w:hint="default"/>
          <w:spacing w:val="-3"/>
        </w:rPr>
        <w:t>2017</w:t>
      </w:r>
      <w:r>
        <w:rPr>
          <w:spacing w:val="-3"/>
        </w:rPr>
        <w:t>年度内部控制情况进行了全面检查并出具了《</w:t>
      </w:r>
      <w:r>
        <w:rPr>
          <w:rFonts w:ascii="Times New Roman" w:hAnsi="Times New Roman" w:cs="Times New Roman" w:eastAsia="Times New Roman" w:hint="default"/>
          <w:spacing w:val="-3"/>
        </w:rPr>
        <w:t>2017</w:t>
      </w:r>
      <w:r>
        <w:rPr>
          <w:spacing w:val="-3"/>
        </w:rPr>
        <w:t>年度内部控制自我评价报告》，认</w:t>
      </w:r>
    </w:p>
    <w:p>
      <w:pPr>
        <w:pStyle w:val="BodyText"/>
        <w:spacing w:line="319" w:lineRule="auto"/>
        <w:ind w:right="0"/>
        <w:jc w:val="left"/>
      </w:pPr>
      <w:r>
        <w:rPr>
          <w:spacing w:val="-2"/>
        </w:rPr>
        <w:t>为：公司建立了较为完善的法人治理结构，内部控制体系较为健全，符合相关法律法规和监管部门的要求。公司内部控制制</w:t>
      </w:r>
      <w:r>
        <w:rPr>
          <w:spacing w:val="-66"/>
        </w:rPr>
        <w:t> </w:t>
      </w:r>
      <w:r>
        <w:rPr>
          <w:spacing w:val="-66"/>
        </w:rPr>
      </w:r>
      <w:r>
        <w:rPr>
          <w:spacing w:val="-2"/>
        </w:rPr>
        <w:t>度能够得到贯彻执行，并在公司经营管理的各个环节和对外投资、关联交易、信息披露等方面发挥较好的管理控制作用，没</w:t>
      </w:r>
    </w:p>
    <w:p>
      <w:pPr>
        <w:spacing w:after="0" w:line="319"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19" w:lineRule="auto" w:before="44"/>
        <w:ind w:right="0"/>
        <w:jc w:val="left"/>
      </w:pPr>
      <w:r>
        <w:rPr>
          <w:spacing w:val="-2"/>
        </w:rPr>
        <w:t>有发现公司内部控制存在重大缺陷或重大风险。公司内部控制制度为公司控制和防范经营管理风险、保护投资者合法权益提</w:t>
      </w:r>
      <w:r>
        <w:rPr>
          <w:spacing w:val="-64"/>
        </w:rPr>
        <w:t> </w:t>
      </w:r>
      <w:r>
        <w:rPr>
          <w:spacing w:val="-64"/>
        </w:rPr>
      </w:r>
      <w:r>
        <w:rPr/>
        <w:t>供了保障，促进了公司规范运作和健康持续发展，公司内部控制是有效的。</w:t>
      </w:r>
    </w:p>
    <w:p>
      <w:pPr>
        <w:pStyle w:val="BodyText"/>
        <w:spacing w:line="316" w:lineRule="auto" w:before="17"/>
        <w:ind w:left="472" w:right="0" w:hanging="360"/>
        <w:jc w:val="left"/>
      </w:pPr>
      <w:r>
        <w:rPr/>
        <w:t>（二）薪酬与考核委员会 </w:t>
      </w:r>
      <w:r>
        <w:rPr>
          <w:spacing w:val="-2"/>
        </w:rPr>
        <w:t>报告期内公司薪酬与考核委员召开了一次会议，全体委员均出席了会议，会议审议通过了公司董事、监事和高级管理人</w:t>
      </w:r>
    </w:p>
    <w:p>
      <w:pPr>
        <w:pStyle w:val="BodyText"/>
        <w:spacing w:line="240" w:lineRule="auto" w:before="19"/>
        <w:ind w:right="0"/>
        <w:jc w:val="left"/>
      </w:pPr>
      <w:r>
        <w:rPr/>
        <w:t>员</w:t>
      </w:r>
      <w:r>
        <w:rPr>
          <w:rFonts w:ascii="Times New Roman" w:hAnsi="Times New Roman" w:cs="Times New Roman" w:eastAsia="Times New Roman" w:hint="default"/>
        </w:rPr>
        <w:t>2017</w:t>
      </w:r>
      <w:r>
        <w:rPr/>
        <w:t>年度的薪酬，绩效考核数据真实。</w:t>
      </w:r>
    </w:p>
    <w:p>
      <w:pPr>
        <w:pStyle w:val="BodyText"/>
        <w:spacing w:line="316" w:lineRule="auto" w:before="62"/>
        <w:ind w:left="472" w:right="0" w:hanging="360"/>
        <w:jc w:val="left"/>
      </w:pPr>
      <w:r>
        <w:rPr/>
        <w:t>（三）战略发展委员会 </w:t>
      </w:r>
      <w:r>
        <w:rPr>
          <w:spacing w:val="-2"/>
        </w:rPr>
        <w:t>报告期内公司战略发展委员会召开了一次会议，全体委员均能出席了会议，会议通过了公司组织机构调整的方案。公司</w:t>
      </w:r>
    </w:p>
    <w:p>
      <w:pPr>
        <w:pStyle w:val="BodyText"/>
        <w:spacing w:line="240" w:lineRule="auto" w:before="19"/>
        <w:ind w:right="0"/>
        <w:jc w:val="left"/>
      </w:pPr>
      <w:r>
        <w:rPr/>
        <w:t>战略发展委员会认为：公司组织机构的调整是适合公司的发展，符合公司的发展战略的。</w:t>
      </w:r>
    </w:p>
    <w:p>
      <w:pPr>
        <w:pStyle w:val="BodyText"/>
        <w:spacing w:line="316" w:lineRule="auto" w:before="76"/>
        <w:ind w:left="472" w:right="1033" w:hanging="360"/>
        <w:jc w:val="left"/>
      </w:pPr>
      <w:r>
        <w:rPr/>
        <w:t>（四）提名委员会 </w:t>
      </w:r>
      <w:r>
        <w:rPr>
          <w:spacing w:val="-2"/>
        </w:rPr>
        <w:t>报告期内提名委员会共召开了两次会议，全体成员均出席了会议，会议通过口头表决的方式，第一次会议通过了提名钟</w:t>
      </w:r>
    </w:p>
    <w:p>
      <w:pPr>
        <w:pStyle w:val="BodyText"/>
        <w:spacing w:line="316" w:lineRule="auto" w:before="19"/>
        <w:ind w:right="0"/>
        <w:jc w:val="left"/>
      </w:pPr>
      <w:r>
        <w:rPr>
          <w:spacing w:val="-2"/>
        </w:rPr>
        <w:t>迎九先生为公司第六届董事会非独立董事候选人、提名蔡正华先生为公司第六届董事会独立董事候选人，提名委员会认为以</w:t>
      </w:r>
      <w:r>
        <w:rPr>
          <w:spacing w:val="-64"/>
        </w:rPr>
        <w:t> </w:t>
      </w:r>
      <w:r>
        <w:rPr>
          <w:spacing w:val="-64"/>
        </w:rPr>
      </w:r>
      <w:r>
        <w:rPr/>
        <w:t>上董事候选人符合董事的任职资格。第二次会议通过了提名陈妹妹女士为副总裁兼董事会秘书。</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57" w:lineRule="auto" w:before="117"/>
        <w:ind w:right="7693"/>
        <w:jc w:val="left"/>
      </w:pPr>
      <w:r>
        <w:rPr/>
        <w:t>□ 是 √ 否 监事会对报告期内的监督事项无异议。</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60"/>
        <w:jc w:val="left"/>
      </w:pPr>
      <w:r>
        <w:rPr>
          <w:spacing w:val="-2"/>
        </w:rPr>
        <w:t>公司建立和完善了高级管理人员的绩效考评体系。公司高级管理人员实行薪酬与工作绩效直接挂钩的考评机制，通过对</w:t>
      </w:r>
      <w:r>
        <w:rPr/>
        <w:t> 公司高级管理人员签订的目标责任状的完成情况进行年终工作绩效考评，根据考评结果决定其报酬和奖励。</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Heading2"/>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192"/>
        <w:gridCol w:w="3324"/>
        <w:gridCol w:w="305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《上海证券报》和网站巨潮网</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98"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3192"/>
        <w:gridCol w:w="3324"/>
        <w:gridCol w:w="3050"/>
      </w:tblGrid>
      <w:tr>
        <w:trPr>
          <w:trHeight w:val="355" w:hRule="exact"/>
        </w:trPr>
        <w:tc>
          <w:tcPr>
            <w:tcW w:w="3192"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4" w:type="dxa"/>
            <w:tcBorders>
              <w:top w:val="single" w:sz="4" w:space="0" w:color="000000"/>
              <w:left w:val="single" w:sz="4" w:space="0" w:color="000000"/>
              <w:bottom w:val="nil" w:sz="6" w:space="0" w:color="auto"/>
              <w:right w:val="single" w:sz="4" w:space="0" w:color="000000"/>
            </w:tcBorders>
          </w:tcPr>
          <w:p>
            <w:pP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业务流程有效性的影响程度、发生的</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可能性作判定。如果缺陷发生的可能</w:t>
            </w:r>
          </w:p>
        </w:tc>
      </w:tr>
      <w:tr>
        <w:trPr>
          <w:trHeight w:val="5309"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103" w:right="103"/>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）财务报告重大缺陷的迹象包括：</w:t>
            </w:r>
            <w:r>
              <w:rPr>
                <w:rFonts w:ascii="宋体" w:hAnsi="宋体" w:cs="宋体" w:eastAsia="宋体" w:hint="default"/>
                <w:spacing w:val="-58"/>
                <w:sz w:val="18"/>
                <w:szCs w:val="18"/>
              </w:rPr>
              <w:t> </w:t>
            </w:r>
            <w:r>
              <w:rPr>
                <w:rFonts w:ascii="宋体" w:hAnsi="宋体" w:cs="宋体" w:eastAsia="宋体" w:hint="default"/>
                <w:sz w:val="18"/>
                <w:szCs w:val="18"/>
              </w:rPr>
              <w:t>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公司高级管理人员舞弊；②公司更正已 公布的财务报告；③注册会计师发现当 期财务报告存在重大错报，而内部控制 在运行过程中未能发现该错报；④公司 </w:t>
            </w:r>
            <w:r>
              <w:rPr>
                <w:rFonts w:ascii="宋体" w:hAnsi="宋体" w:cs="宋体" w:eastAsia="宋体" w:hint="default"/>
                <w:spacing w:val="-6"/>
                <w:sz w:val="18"/>
                <w:szCs w:val="18"/>
              </w:rPr>
              <w:t>对内部控制的监督无效。（</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）财务报告</w:t>
            </w:r>
            <w:r>
              <w:rPr>
                <w:rFonts w:ascii="宋体" w:hAnsi="宋体" w:cs="宋体" w:eastAsia="宋体" w:hint="default"/>
                <w:spacing w:val="-73"/>
                <w:sz w:val="18"/>
                <w:szCs w:val="18"/>
              </w:rPr>
              <w:t> </w:t>
            </w:r>
            <w:r>
              <w:rPr>
                <w:rFonts w:ascii="宋体" w:hAnsi="宋体" w:cs="宋体" w:eastAsia="宋体" w:hint="default"/>
                <w:sz w:val="18"/>
                <w:szCs w:val="18"/>
              </w:rPr>
              <w:t>重要缺陷的迹象包括</w:t>
            </w:r>
            <w:r>
              <w:rPr>
                <w:rFonts w:ascii="Times New Roman" w:hAnsi="Times New Roman" w:cs="Times New Roman" w:eastAsia="Times New Roman" w:hint="default"/>
                <w:sz w:val="18"/>
                <w:szCs w:val="18"/>
              </w:rPr>
              <w:t>:</w:t>
            </w:r>
            <w:r>
              <w:rPr>
                <w:rFonts w:ascii="宋体" w:hAnsi="宋体" w:cs="宋体" w:eastAsia="宋体" w:hint="default"/>
                <w:sz w:val="18"/>
                <w:szCs w:val="18"/>
              </w:rPr>
              <w:t>①未依照公认会 计准则选择和应用会计政策、未建立反 舞弊程序和控制措施；②对于非常规或 特殊交易的账务处理没有建立相应的控 制机制或没有实施且没有相应的补偿性 控制；③对于期末财务报告过程的控制 存在一项或多项缺陷且不能合理保证编 制的财务报表达到真实、准确的目标。</w:t>
            </w:r>
          </w:p>
          <w:p>
            <w:pPr>
              <w:pStyle w:val="TableParagraph"/>
              <w:spacing w:line="300" w:lineRule="auto" w:before="20"/>
              <w:ind w:left="103" w:right="10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）财务报告一般缺陷是指除上述重大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缺陷、重要缺陷之外的其他控制缺陷。</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0" w:right="58"/>
              <w:jc w:val="left"/>
              <w:rPr>
                <w:rFonts w:ascii="宋体" w:hAnsi="宋体" w:cs="宋体" w:eastAsia="宋体" w:hint="default"/>
                <w:sz w:val="18"/>
                <w:szCs w:val="18"/>
              </w:rPr>
            </w:pPr>
            <w:r>
              <w:rPr>
                <w:rFonts w:ascii="宋体" w:hAnsi="宋体" w:cs="宋体" w:eastAsia="宋体" w:hint="default"/>
                <w:spacing w:val="-3"/>
                <w:sz w:val="18"/>
                <w:szCs w:val="18"/>
              </w:rPr>
              <w:t>性较小，会降低工作效率或效果、或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加大效果的不确定性、或使之偏离预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期目标为一般缺陷；如果缺陷发生的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可能性较高，会显著降低工作效率或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效果、或显著加大效果的不确定性、 或使之显著偏离预期目标为重要缺 </w:t>
            </w:r>
            <w:r>
              <w:rPr>
                <w:rFonts w:ascii="宋体" w:hAnsi="宋体" w:cs="宋体" w:eastAsia="宋体" w:hint="default"/>
                <w:spacing w:val="-3"/>
                <w:sz w:val="18"/>
                <w:szCs w:val="18"/>
              </w:rPr>
              <w:t>陷；如果缺陷发生的可能性高，会严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重降低工作效率或效果、或严重加大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效果的不确定性、或使之严重偏离预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期目标为重大缺陷；另外，以下迹象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通常表明非财务报告内部控制可能 </w:t>
            </w:r>
            <w:r>
              <w:rPr>
                <w:rFonts w:ascii="宋体" w:hAnsi="宋体" w:cs="宋体" w:eastAsia="宋体" w:hint="default"/>
                <w:spacing w:val="-8"/>
                <w:sz w:val="18"/>
                <w:szCs w:val="18"/>
              </w:rPr>
              <w:t>存在重大缺陷：（</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）公司决策程序不</w:t>
            </w:r>
            <w:r>
              <w:rPr>
                <w:rFonts w:ascii="宋体" w:hAnsi="宋体" w:cs="宋体" w:eastAsia="宋体" w:hint="default"/>
                <w:sz w:val="18"/>
                <w:szCs w:val="18"/>
              </w:rPr>
              <w:t> </w:t>
            </w:r>
            <w:r>
              <w:rPr>
                <w:rFonts w:ascii="宋体" w:hAnsi="宋体" w:cs="宋体" w:eastAsia="宋体" w:hint="default"/>
                <w:spacing w:val="-3"/>
                <w:sz w:val="18"/>
                <w:szCs w:val="18"/>
              </w:rPr>
              <w:t>科学，如决策失误，导致企业并购后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未能达到预期目标；（</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）违犯国家法</w:t>
            </w:r>
            <w:r>
              <w:rPr>
                <w:rFonts w:ascii="宋体" w:hAnsi="宋体" w:cs="宋体" w:eastAsia="宋体" w:hint="default"/>
                <w:sz w:val="18"/>
                <w:szCs w:val="18"/>
              </w:rPr>
              <w:t> </w:t>
            </w:r>
            <w:r>
              <w:rPr>
                <w:rFonts w:ascii="宋体" w:hAnsi="宋体" w:cs="宋体" w:eastAsia="宋体" w:hint="default"/>
                <w:spacing w:val="-6"/>
                <w:sz w:val="18"/>
                <w:szCs w:val="18"/>
              </w:rPr>
              <w:t>律、法规，如产品质量不合格；（</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管理人员或关键技术人员纷纷流失；</w:t>
            </w:r>
          </w:p>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）媒体负面新闻频现</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）内部</w:t>
            </w:r>
          </w:p>
        </w:tc>
      </w:tr>
      <w:tr>
        <w:trPr>
          <w:trHeight w:val="307"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控制评价的结果特别是重大或重要</w:t>
            </w:r>
          </w:p>
        </w:tc>
      </w:tr>
      <w:tr>
        <w:trPr>
          <w:trHeight w:val="317"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缺陷未得到整改</w:t>
            </w:r>
            <w:r>
              <w:rPr>
                <w:rFonts w:ascii="宋体" w:hAnsi="宋体" w:cs="宋体" w:eastAsia="宋体" w:hint="default"/>
                <w:spacing w:val="-111"/>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22"/>
                <w:sz w:val="18"/>
                <w:szCs w:val="18"/>
              </w:rPr>
              <w:t>）</w:t>
            </w:r>
            <w:r>
              <w:rPr>
                <w:rFonts w:ascii="宋体" w:hAnsi="宋体" w:cs="宋体" w:eastAsia="宋体" w:hint="default"/>
                <w:sz w:val="18"/>
                <w:szCs w:val="18"/>
              </w:rPr>
              <w:t>重要业务缺乏</w:t>
            </w:r>
          </w:p>
        </w:tc>
      </w:tr>
      <w:tr>
        <w:trPr>
          <w:trHeight w:val="355" w:hRule="exact"/>
        </w:trPr>
        <w:tc>
          <w:tcPr>
            <w:tcW w:w="3192"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4" w:type="dxa"/>
            <w:tcBorders>
              <w:top w:val="nil" w:sz="6" w:space="0" w:color="auto"/>
              <w:left w:val="single" w:sz="4" w:space="0" w:color="000000"/>
              <w:bottom w:val="single" w:sz="4" w:space="0" w:color="000000"/>
              <w:right w:val="single" w:sz="4" w:space="0" w:color="000000"/>
            </w:tcBorders>
          </w:tcPr>
          <w:p>
            <w:pPr/>
          </w:p>
        </w:tc>
        <w:tc>
          <w:tcPr>
            <w:tcW w:w="3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制度控制或制度系统性失效。</w:t>
            </w:r>
          </w:p>
        </w:tc>
      </w:tr>
      <w:tr>
        <w:trPr>
          <w:trHeight w:val="355" w:hRule="exact"/>
        </w:trPr>
        <w:tc>
          <w:tcPr>
            <w:tcW w:w="3192"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4" w:type="dxa"/>
            <w:tcBorders>
              <w:top w:val="single" w:sz="4" w:space="0" w:color="000000"/>
              <w:left w:val="single" w:sz="4" w:space="0" w:color="000000"/>
              <w:bottom w:val="nil" w:sz="6" w:space="0" w:color="auto"/>
              <w:right w:val="single" w:sz="4" w:space="0" w:color="000000"/>
            </w:tcBorders>
          </w:tcPr>
          <w:p>
            <w:pP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根据对内部控制目标实现影响程度，</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非财务报告内部控制缺陷分为一般</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缺陷、重要缺陷和重大缺陷。一般缺</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陷</w:t>
            </w:r>
            <w:r>
              <w:rPr>
                <w:rFonts w:ascii="宋体" w:hAnsi="宋体" w:cs="宋体" w:eastAsia="宋体" w:hint="default"/>
                <w:spacing w:val="1"/>
                <w:sz w:val="18"/>
                <w:szCs w:val="18"/>
              </w:rPr>
              <w:t> </w:t>
            </w:r>
            <w:r>
              <w:rPr>
                <w:rFonts w:ascii="宋体" w:hAnsi="宋体" w:cs="宋体" w:eastAsia="宋体" w:hint="default"/>
                <w:sz w:val="18"/>
                <w:szCs w:val="18"/>
              </w:rPr>
              <w:t>：资产总额存在错报，错报金额</w:t>
            </w:r>
          </w:p>
        </w:tc>
      </w:tr>
      <w:tr>
        <w:trPr>
          <w:trHeight w:val="1877"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9" w:lineRule="auto"/>
              <w:ind w:left="103" w:right="12"/>
              <w:jc w:val="left"/>
              <w:rPr>
                <w:rFonts w:ascii="宋体" w:hAnsi="宋体" w:cs="宋体" w:eastAsia="宋体" w:hint="default"/>
                <w:sz w:val="18"/>
                <w:szCs w:val="18"/>
              </w:rPr>
            </w:pPr>
            <w:r>
              <w:rPr>
                <w:rFonts w:ascii="宋体" w:hAnsi="宋体" w:cs="宋体" w:eastAsia="宋体" w:hint="default"/>
                <w:sz w:val="18"/>
                <w:szCs w:val="18"/>
              </w:rPr>
              <w:t>将财务报告内部控制的缺陷划分为重大 </w:t>
            </w:r>
            <w:r>
              <w:rPr>
                <w:rFonts w:ascii="宋体" w:hAnsi="宋体" w:cs="宋体" w:eastAsia="宋体" w:hint="default"/>
                <w:spacing w:val="-3"/>
                <w:sz w:val="18"/>
                <w:szCs w:val="18"/>
              </w:rPr>
              <w:t>缺陷、重要缺陷和一般缺陷。重大缺陷：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错报≥利润总额的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；重要缺陷：利润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≤错报＜利润总额的</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；一</w:t>
            </w:r>
            <w:r>
              <w:rPr>
                <w:rFonts w:ascii="宋体" w:hAnsi="宋体" w:cs="宋体" w:eastAsia="宋体" w:hint="default"/>
                <w:sz w:val="18"/>
                <w:szCs w:val="18"/>
              </w:rPr>
              <w:t> 般缺陷错报＜利润总额的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100" w:right="12"/>
              <w:jc w:val="left"/>
              <w:rPr>
                <w:rFonts w:ascii="宋体" w:hAnsi="宋体" w:cs="宋体" w:eastAsia="宋体" w:hint="default"/>
                <w:sz w:val="18"/>
                <w:szCs w:val="18"/>
              </w:rPr>
            </w:pPr>
            <w:r>
              <w:rPr>
                <w:rFonts w:ascii="宋体" w:hAnsi="宋体" w:cs="宋体" w:eastAsia="宋体" w:hint="default"/>
                <w:sz w:val="18"/>
                <w:szCs w:val="18"/>
              </w:rPr>
              <w:t>＜资产总额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，营业收入存在错 报，错报金额＜营业收入总额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w:t>
            </w:r>
            <w:r>
              <w:rPr>
                <w:rFonts w:ascii="宋体" w:hAnsi="宋体" w:cs="宋体" w:eastAsia="宋体" w:hint="default"/>
                <w:spacing w:val="-3"/>
                <w:sz w:val="18"/>
                <w:szCs w:val="18"/>
              </w:rPr>
              <w:t>重要缺陷：资产总额存在错报，资产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≤错报金额＜资产总额</w:t>
            </w:r>
          </w:p>
          <w:p>
            <w:pPr>
              <w:pStyle w:val="TableParagraph"/>
              <w:spacing w:line="300" w:lineRule="auto" w:before="7"/>
              <w:ind w:left="100"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，营业收入存在错报，营业收入 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≤错报金额＜营业收入总</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；重大缺陷：资产总额存在错</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报，错报金额≥资产总额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，营</w:t>
            </w:r>
          </w:p>
        </w:tc>
      </w:tr>
      <w:tr>
        <w:trPr>
          <w:trHeight w:val="307" w:hRule="exact"/>
        </w:trPr>
        <w:tc>
          <w:tcPr>
            <w:tcW w:w="3192" w:type="dxa"/>
            <w:tcBorders>
              <w:top w:val="nil" w:sz="6" w:space="0" w:color="auto"/>
              <w:left w:val="single" w:sz="4" w:space="0" w:color="000000"/>
              <w:bottom w:val="nil" w:sz="6" w:space="0" w:color="auto"/>
              <w:right w:val="single" w:sz="4" w:space="0" w:color="000000"/>
            </w:tcBorders>
            <w:shd w:val="clear" w:color="auto" w:fill="D3D3D3"/>
          </w:tcPr>
          <w:p>
            <w:pPr/>
          </w:p>
        </w:tc>
        <w:tc>
          <w:tcPr>
            <w:tcW w:w="3324" w:type="dxa"/>
            <w:tcBorders>
              <w:top w:val="nil" w:sz="6" w:space="0" w:color="auto"/>
              <w:left w:val="single" w:sz="4" w:space="0" w:color="000000"/>
              <w:bottom w:val="nil" w:sz="6" w:space="0" w:color="auto"/>
              <w:right w:val="single" w:sz="4" w:space="0" w:color="000000"/>
            </w:tcBorders>
          </w:tcPr>
          <w:p>
            <w:pP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业收入存在错报，错报金额≥营业收</w:t>
            </w:r>
          </w:p>
        </w:tc>
      </w:tr>
      <w:tr>
        <w:trPr>
          <w:trHeight w:val="357" w:hRule="exact"/>
        </w:trPr>
        <w:tc>
          <w:tcPr>
            <w:tcW w:w="3192"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4" w:type="dxa"/>
            <w:tcBorders>
              <w:top w:val="nil" w:sz="6" w:space="0" w:color="auto"/>
              <w:left w:val="single" w:sz="4" w:space="0" w:color="000000"/>
              <w:bottom w:val="single" w:sz="4" w:space="0" w:color="000000"/>
              <w:right w:val="single" w:sz="4" w:space="0" w:color="000000"/>
            </w:tcBorders>
          </w:tcPr>
          <w:p>
            <w:pPr/>
          </w:p>
        </w:tc>
        <w:tc>
          <w:tcPr>
            <w:tcW w:w="3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905" w:footer="1017"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86" w:right="0"/>
        <w:jc w:val="left"/>
        <w:rPr>
          <w:b w:val="0"/>
          <w:bCs w:val="0"/>
        </w:rPr>
      </w:pPr>
      <w:bookmarkStart w:name="_TOC_250002" w:id="10"/>
      <w:r>
        <w:rPr/>
        <w:t>第十节</w:t>
      </w:r>
      <w:r>
        <w:rPr>
          <w:spacing w:val="-7"/>
        </w:rPr>
        <w:t> </w:t>
      </w:r>
      <w:r>
        <w:rPr/>
        <w:t>公司债券相关情况</w:t>
      </w:r>
      <w:bookmarkEnd w:id="10"/>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905" w:footer="1017"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568" w:right="0"/>
        <w:jc w:val="left"/>
        <w:rPr>
          <w:b w:val="0"/>
          <w:bCs w:val="0"/>
        </w:rPr>
      </w:pPr>
      <w:bookmarkStart w:name="_TOC_250001" w:id="11"/>
      <w:r>
        <w:rPr>
          <w:spacing w:val="2"/>
        </w:rPr>
        <w:t>第十一节</w:t>
      </w:r>
      <w:r>
        <w:rPr>
          <w:spacing w:val="-20"/>
        </w:rPr>
        <w:t> </w:t>
      </w:r>
      <w:r>
        <w:rPr>
          <w:spacing w:val="2"/>
        </w:rPr>
        <w:t>财务报告</w:t>
      </w:r>
      <w:bookmarkEnd w:id="11"/>
      <w:r>
        <w:rPr>
          <w:b w:val="0"/>
          <w:bCs w:val="0"/>
          <w:spacing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0"/>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4781"/>
        <w:gridCol w:w="4786"/>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耿磊</w:t>
            </w:r>
            <w:r>
              <w:rPr>
                <w:rFonts w:ascii="宋体" w:hAnsi="宋体" w:cs="宋体" w:eastAsia="宋体" w:hint="default"/>
                <w:spacing w:val="-2"/>
                <w:sz w:val="18"/>
                <w:szCs w:val="18"/>
              </w:rPr>
              <w:t> </w:t>
            </w:r>
            <w:r>
              <w:rPr>
                <w:rFonts w:ascii="宋体" w:hAnsi="宋体" w:cs="宋体" w:eastAsia="宋体" w:hint="default"/>
                <w:sz w:val="18"/>
                <w:szCs w:val="18"/>
              </w:rPr>
              <w:t>赵彧非</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4"/>
        <w:spacing w:line="240" w:lineRule="auto"/>
        <w:ind w:left="112" w:right="0"/>
        <w:jc w:val="left"/>
        <w:rPr>
          <w:b w:val="0"/>
          <w:bCs w:val="0"/>
        </w:rPr>
      </w:pPr>
      <w:r>
        <w:rPr>
          <w:w w:val="95"/>
        </w:rPr>
        <w:t>恒宝股份有限公司全体股东：</w:t>
      </w:r>
      <w:r>
        <w:rPr>
          <w:b w:val="0"/>
          <w:bCs w:val="0"/>
        </w:rPr>
      </w:r>
    </w:p>
    <w:p>
      <w:pPr>
        <w:pStyle w:val="Heading4"/>
        <w:spacing w:line="240" w:lineRule="auto" w:before="117"/>
        <w:ind w:right="0"/>
        <w:jc w:val="left"/>
        <w:rPr>
          <w:b w:val="0"/>
          <w:bCs w:val="0"/>
        </w:rPr>
      </w:pPr>
      <w:r>
        <w:rPr>
          <w:w w:val="99"/>
        </w:rPr>
        <w:t>（</w:t>
      </w:r>
      <w:r>
        <w:rPr>
          <w:spacing w:val="2"/>
          <w:w w:val="99"/>
        </w:rPr>
        <w:t>一</w:t>
      </w:r>
      <w:r>
        <w:rPr>
          <w:spacing w:val="-92"/>
          <w:w w:val="99"/>
        </w:rPr>
        <w:t>）</w:t>
      </w:r>
      <w:r>
        <w:rPr>
          <w:w w:val="99"/>
        </w:rPr>
        <w:t>、</w:t>
      </w:r>
      <w:r>
        <w:rPr>
          <w:spacing w:val="2"/>
          <w:w w:val="99"/>
        </w:rPr>
        <w:t>审</w:t>
      </w:r>
      <w:r>
        <w:rPr>
          <w:w w:val="99"/>
        </w:rPr>
        <w:t>计意见</w:t>
      </w:r>
      <w:r>
        <w:rPr>
          <w:b w:val="0"/>
          <w:bCs w:val="0"/>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100" w:bottom="1200" w:left="1020" w:right="0"/>
          <w:cols w:num="2" w:equalWidth="0">
            <w:col w:w="2460" w:space="1819"/>
            <w:col w:w="6611"/>
          </w:cols>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16" w:lineRule="auto"/>
        <w:ind w:right="0" w:firstLine="360"/>
        <w:jc w:val="left"/>
      </w:pPr>
      <w:r>
        <w:rPr>
          <w:spacing w:val="-2"/>
        </w:rPr>
        <w:t>我们审计了恒宝股份有限公司(以下简称“恒宝股份”或“贵公司”)财务报表，包括2018年12月31日的合并及公司资产</w:t>
      </w:r>
      <w:r>
        <w:rPr/>
        <w:t> 负债表，2018年度合并及公司利润表、合并及公司现金流量表、合并及公司所有者权益变动表以及相关财务报表附注。</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16" w:lineRule="auto"/>
        <w:ind w:right="0" w:firstLine="360"/>
        <w:jc w:val="left"/>
      </w:pPr>
      <w:r>
        <w:rPr>
          <w:spacing w:val="-2"/>
        </w:rPr>
        <w:t>我们认为，后附的财务报表在所有重大方面按照企业会计准则的规定编制，公允反映了贵公司2018年12月31日的合并及</w:t>
      </w:r>
      <w:r>
        <w:rPr/>
        <w:t> 公司财务状况以及2018年度的合并及公司经营成果和现金流量。</w:t>
      </w:r>
    </w:p>
    <w:p>
      <w:pPr>
        <w:spacing w:line="706" w:lineRule="exact" w:before="14"/>
        <w:ind w:left="472" w:right="0" w:hanging="89"/>
        <w:jc w:val="left"/>
        <w:rPr>
          <w:rFonts w:ascii="宋体" w:hAnsi="宋体" w:cs="宋体" w:eastAsia="宋体" w:hint="default"/>
          <w:sz w:val="18"/>
          <w:szCs w:val="18"/>
        </w:rPr>
      </w:pPr>
      <w:r>
        <w:rPr>
          <w:rFonts w:ascii="宋体" w:hAnsi="宋体" w:cs="宋体" w:eastAsia="宋体" w:hint="default"/>
          <w:b/>
          <w:bCs/>
          <w:spacing w:val="-7"/>
          <w:w w:val="99"/>
          <w:sz w:val="18"/>
          <w:szCs w:val="18"/>
        </w:rPr>
        <w:t>（二）、形成审计意见的基础</w:t>
      </w:r>
      <w:r>
        <w:rPr>
          <w:rFonts w:ascii="宋体" w:hAnsi="宋体" w:cs="宋体" w:eastAsia="宋体" w:hint="default"/>
          <w:b/>
          <w:bCs/>
          <w:spacing w:val="-86"/>
          <w:w w:val="99"/>
          <w:sz w:val="18"/>
          <w:szCs w:val="18"/>
        </w:rPr>
        <w:t> </w:t>
      </w:r>
      <w:r>
        <w:rPr>
          <w:rFonts w:ascii="宋体" w:hAnsi="宋体" w:cs="宋体" w:eastAsia="宋体" w:hint="default"/>
          <w:b/>
          <w:bCs/>
          <w:spacing w:val="-86"/>
          <w:w w:val="99"/>
          <w:sz w:val="18"/>
          <w:szCs w:val="18"/>
        </w:rPr>
      </w:r>
      <w:r>
        <w:rPr>
          <w:rFonts w:ascii="宋体" w:hAnsi="宋体" w:cs="宋体" w:eastAsia="宋体" w:hint="default"/>
          <w:spacing w:val="-2"/>
          <w:sz w:val="18"/>
          <w:szCs w:val="18"/>
        </w:rPr>
        <w:t>我们按照中国注册会计师审计准则的规定执行了审计工作。审计报告的“注册会计师对财务报表审计的责任”部分进一</w:t>
      </w:r>
    </w:p>
    <w:p>
      <w:pPr>
        <w:pStyle w:val="BodyText"/>
        <w:spacing w:line="196" w:lineRule="exact"/>
        <w:ind w:right="0"/>
        <w:jc w:val="left"/>
      </w:pPr>
      <w:r>
        <w:rPr/>
        <w:t>步阐述了我们在这些准则下的责任。按照中国注册会计师职业道德守则，我们独立于贵公司，并履行了职业道德方面的其他</w:t>
      </w:r>
    </w:p>
    <w:p>
      <w:pPr>
        <w:pStyle w:val="BodyText"/>
        <w:spacing w:line="240" w:lineRule="auto" w:before="76"/>
        <w:ind w:right="0"/>
        <w:jc w:val="left"/>
      </w:pPr>
      <w:r>
        <w:rPr/>
        <w:t>责任。我们相信，我们获取的审计证据是充分、适当的，为发表审计意见提供了基础。</w:t>
      </w:r>
    </w:p>
    <w:p>
      <w:pPr>
        <w:pStyle w:val="BodyText"/>
        <w:spacing w:line="620" w:lineRule="atLeast" w:before="42"/>
        <w:ind w:left="652" w:right="0" w:hanging="180"/>
        <w:jc w:val="left"/>
      </w:pPr>
      <w:r>
        <w:rPr>
          <w:rFonts w:ascii="宋体" w:hAnsi="宋体" w:cs="宋体" w:eastAsia="宋体" w:hint="default"/>
          <w:b/>
          <w:bCs/>
          <w:spacing w:val="-9"/>
          <w:w w:val="99"/>
        </w:rPr>
        <w:t>（三）、关键审计事项</w:t>
      </w:r>
      <w:r>
        <w:rPr>
          <w:rFonts w:ascii="宋体" w:hAnsi="宋体" w:cs="宋体" w:eastAsia="宋体" w:hint="default"/>
          <w:b/>
          <w:bCs/>
          <w:spacing w:val="-86"/>
          <w:w w:val="99"/>
        </w:rPr>
        <w:t> </w:t>
      </w:r>
      <w:r>
        <w:rPr>
          <w:rFonts w:ascii="宋体" w:hAnsi="宋体" w:cs="宋体" w:eastAsia="宋体" w:hint="default"/>
          <w:b/>
          <w:bCs/>
          <w:spacing w:val="-86"/>
          <w:w w:val="99"/>
        </w:rPr>
      </w:r>
      <w:r>
        <w:rPr>
          <w:spacing w:val="-2"/>
        </w:rPr>
        <w:t>关键审计事项是我们根据职业判断，认为对本期财务报表审计最为重要的事项。这些事项的应对以对财务报表整体进</w:t>
      </w:r>
    </w:p>
    <w:p>
      <w:pPr>
        <w:pStyle w:val="BodyText"/>
        <w:spacing w:line="240" w:lineRule="auto" w:before="76"/>
        <w:ind w:right="0"/>
        <w:jc w:val="left"/>
      </w:pPr>
      <w:r>
        <w:rPr/>
        <w:t>行审计并形成审计意见为背景，我们不对这些事项单独发表意见。我们在审计中识别出的关键审计事项如下：</w:t>
      </w:r>
    </w:p>
    <w:p>
      <w:pPr>
        <w:spacing w:line="240" w:lineRule="auto" w:before="0"/>
        <w:rPr>
          <w:rFonts w:ascii="宋体" w:hAnsi="宋体" w:cs="宋体" w:eastAsia="宋体" w:hint="default"/>
          <w:sz w:val="18"/>
          <w:szCs w:val="18"/>
        </w:rPr>
      </w:pPr>
    </w:p>
    <w:p>
      <w:pPr>
        <w:pStyle w:val="BodyText"/>
        <w:spacing w:line="240" w:lineRule="auto" w:before="153"/>
        <w:ind w:left="564" w:right="0"/>
        <w:jc w:val="left"/>
      </w:pPr>
      <w:r>
        <w:rPr>
          <w:rFonts w:ascii="Times New Roman" w:hAnsi="Times New Roman" w:cs="Times New Roman" w:eastAsia="Times New Roman" w:hint="default"/>
        </w:rPr>
        <w:t>1</w:t>
      </w:r>
      <w:r>
        <w:rPr/>
        <w:t>、商誉减值</w:t>
      </w:r>
    </w:p>
    <w:p>
      <w:pPr>
        <w:pStyle w:val="BodyText"/>
        <w:spacing w:line="240" w:lineRule="auto" w:before="62"/>
        <w:ind w:left="47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关键审计事项</w:t>
      </w:r>
    </w:p>
    <w:p>
      <w:pPr>
        <w:pStyle w:val="BodyText"/>
        <w:spacing w:line="300" w:lineRule="auto" w:before="62"/>
        <w:ind w:left="472" w:right="1078"/>
        <w:jc w:val="left"/>
      </w:pPr>
      <w:r>
        <w:rPr/>
        <w:t>如财务报表附注五-</w:t>
      </w:r>
      <w:r>
        <w:rPr>
          <w:rFonts w:ascii="Times New Roman" w:hAnsi="Times New Roman" w:cs="Times New Roman" w:eastAsia="Times New Roman" w:hint="default"/>
        </w:rPr>
        <w:t>22</w:t>
      </w:r>
      <w:r>
        <w:rPr/>
        <w:t>、附注七-</w:t>
      </w:r>
      <w:r>
        <w:rPr>
          <w:rFonts w:ascii="Times New Roman" w:hAnsi="Times New Roman" w:cs="Times New Roman" w:eastAsia="Times New Roman" w:hint="default"/>
        </w:rPr>
        <w:t>22</w:t>
      </w:r>
      <w:r>
        <w:rPr/>
        <w:t>所述，报告期末恒宝股份合并财务报表中商誉的账面净值为人民币</w:t>
      </w:r>
      <w:r>
        <w:rPr>
          <w:rFonts w:ascii="Times New Roman" w:hAnsi="Times New Roman" w:cs="Times New Roman" w:eastAsia="Times New Roman" w:hint="default"/>
        </w:rPr>
        <w:t>65,716,543.35</w:t>
      </w:r>
      <w:r>
        <w:rPr/>
        <w:t>元。 </w:t>
      </w:r>
      <w:r>
        <w:rPr>
          <w:spacing w:val="-2"/>
        </w:rPr>
        <w:t>恒宝股份于每年年度终了对商誉进行减值测试，以包含上述商誉的资产组预计未来现金流量的现值作为资产组可收回金</w:t>
      </w:r>
    </w:p>
    <w:p>
      <w:pPr>
        <w:pStyle w:val="BodyText"/>
        <w:spacing w:line="316" w:lineRule="auto" w:before="31"/>
        <w:ind w:left="472" w:right="0" w:hanging="360"/>
        <w:jc w:val="left"/>
      </w:pPr>
      <w:r>
        <w:rPr/>
        <w:t>额的估计。在未来现金流量现值的计算中，管理层采用的关键假设包括收入增长率、毛利率、折现率。 </w:t>
      </w:r>
      <w:r>
        <w:rPr>
          <w:spacing w:val="-2"/>
        </w:rPr>
        <w:t>由于商誉金额重大，且需要管理层在确定资产组可收回金额时作出重大判断和估计，我们将上述商誉减值作为关键审计</w:t>
      </w:r>
    </w:p>
    <w:p>
      <w:pPr>
        <w:pStyle w:val="BodyText"/>
        <w:spacing w:line="240" w:lineRule="auto" w:before="19"/>
        <w:ind w:right="0"/>
        <w:jc w:val="left"/>
      </w:pPr>
      <w:r>
        <w:rPr/>
        <w:t>事项。</w:t>
      </w:r>
    </w:p>
    <w:p>
      <w:pPr>
        <w:spacing w:line="240" w:lineRule="auto" w:before="0"/>
        <w:rPr>
          <w:rFonts w:ascii="宋体" w:hAnsi="宋体" w:cs="宋体" w:eastAsia="宋体" w:hint="default"/>
          <w:sz w:val="18"/>
          <w:szCs w:val="18"/>
        </w:rPr>
      </w:pPr>
    </w:p>
    <w:p>
      <w:pPr>
        <w:pStyle w:val="BodyText"/>
        <w:spacing w:line="240" w:lineRule="auto" w:before="152"/>
        <w:ind w:left="47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审计应对</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472" w:right="0"/>
        <w:jc w:val="left"/>
      </w:pPr>
      <w:r>
        <w:rPr/>
        <w:t>我们对恒宝股份商誉减值的关键审计事项执行的主要审计程序包括：</w:t>
      </w:r>
    </w:p>
    <w:p>
      <w:pPr>
        <w:pStyle w:val="BodyText"/>
        <w:spacing w:line="240" w:lineRule="auto" w:before="76"/>
        <w:ind w:left="472" w:right="0"/>
        <w:jc w:val="left"/>
      </w:pPr>
      <w:r>
        <w:rPr/>
        <w:t>①</w:t>
      </w:r>
      <w:r>
        <w:rPr>
          <w:spacing w:val="1"/>
        </w:rPr>
        <w:t> </w:t>
      </w:r>
      <w:r>
        <w:rPr/>
        <w:t>了解及评价恒宝股份与商誉减值测试相关的内部控制设计的有效性，并测试关键控制执行的有效性。</w:t>
      </w:r>
    </w:p>
    <w:p>
      <w:pPr>
        <w:pStyle w:val="BodyText"/>
        <w:spacing w:line="240" w:lineRule="auto" w:before="76"/>
        <w:ind w:left="472" w:right="0"/>
        <w:jc w:val="left"/>
      </w:pPr>
      <w:r>
        <w:rPr/>
        <w:t>②</w:t>
      </w:r>
      <w:r>
        <w:rPr>
          <w:spacing w:val="1"/>
        </w:rPr>
        <w:t> </w:t>
      </w:r>
      <w:r>
        <w:rPr/>
        <w:t>检查管理层将商誉分摊至资产组的依据及其合理性。</w:t>
      </w:r>
    </w:p>
    <w:p>
      <w:pPr>
        <w:pStyle w:val="BodyText"/>
        <w:spacing w:line="319" w:lineRule="auto" w:before="76"/>
        <w:ind w:right="1119" w:firstLine="360"/>
        <w:jc w:val="left"/>
      </w:pPr>
      <w:r>
        <w:rPr/>
        <w:t>③</w:t>
      </w:r>
      <w:r>
        <w:rPr>
          <w:spacing w:val="4"/>
        </w:rPr>
        <w:t> </w:t>
      </w:r>
      <w:r>
        <w:rPr/>
        <w:t>评价管理层选择的估值方法和采用的关键假设的合理性。通过将收入增长率、利润率及折现率等关键参数与资产组</w:t>
      </w:r>
      <w:r>
        <w:rPr/>
        <w:t> 以往业绩、管理层预算及预测进行比较，并结合市场趋势，审慎评价估值模型中关键参数的合理性。</w:t>
      </w:r>
    </w:p>
    <w:p>
      <w:pPr>
        <w:pStyle w:val="BodyText"/>
        <w:spacing w:line="240" w:lineRule="auto" w:before="17"/>
        <w:ind w:left="472" w:right="0"/>
        <w:jc w:val="left"/>
      </w:pPr>
      <w:r>
        <w:rPr/>
        <w:t>④获取估值专家出具的评估报告，对评估报告中采用的评估方法、关键假设的合理性进行复核。</w:t>
      </w:r>
    </w:p>
    <w:p>
      <w:pPr>
        <w:spacing w:line="240" w:lineRule="auto" w:before="0"/>
        <w:rPr>
          <w:rFonts w:ascii="宋体" w:hAnsi="宋体" w:cs="宋体" w:eastAsia="宋体" w:hint="default"/>
          <w:sz w:val="18"/>
          <w:szCs w:val="18"/>
        </w:rPr>
      </w:pPr>
    </w:p>
    <w:p>
      <w:pPr>
        <w:pStyle w:val="BodyText"/>
        <w:spacing w:line="300" w:lineRule="auto" w:before="153"/>
        <w:ind w:left="472" w:right="9014"/>
        <w:jc w:val="left"/>
      </w:pPr>
      <w:r>
        <w:rPr>
          <w:rFonts w:ascii="Times New Roman" w:hAnsi="Times New Roman" w:cs="Times New Roman" w:eastAsia="Times New Roman" w:hint="default"/>
        </w:rPr>
        <w:t>2</w:t>
      </w:r>
      <w:r>
        <w:rPr/>
        <w:t>、重大资产出售 </w:t>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关键审计事项</w:t>
      </w:r>
    </w:p>
    <w:p>
      <w:pPr>
        <w:pStyle w:val="BodyText"/>
        <w:spacing w:line="319" w:lineRule="auto" w:before="13"/>
        <w:ind w:right="0" w:firstLine="360"/>
        <w:jc w:val="left"/>
      </w:pPr>
      <w:r>
        <w:rPr>
          <w:spacing w:val="4"/>
        </w:rPr>
        <w:t>如财务报表附注七-16、附注七-62所述，报告期内恒宝股份出售其位于北京西城区月坛大厦房产，交易价格人民币</w:t>
      </w:r>
      <w:r>
        <w:rPr/>
        <w:t> 140,000,000.00元，净收益人民币52,051,843.37元。</w:t>
      </w:r>
    </w:p>
    <w:p>
      <w:pPr>
        <w:pStyle w:val="BodyText"/>
        <w:spacing w:line="240" w:lineRule="auto" w:before="17"/>
        <w:ind w:left="472" w:right="0"/>
        <w:jc w:val="left"/>
      </w:pPr>
      <w:r>
        <w:rPr/>
        <w:t>上述资产出售产生的收益金额对当期业绩影响重大，故我们将其作为关键审计事项。</w:t>
      </w:r>
    </w:p>
    <w:p>
      <w:pPr>
        <w:spacing w:line="240" w:lineRule="auto" w:before="0"/>
        <w:rPr>
          <w:rFonts w:ascii="宋体" w:hAnsi="宋体" w:cs="宋体" w:eastAsia="宋体" w:hint="default"/>
          <w:sz w:val="18"/>
          <w:szCs w:val="18"/>
        </w:rPr>
      </w:pPr>
    </w:p>
    <w:p>
      <w:pPr>
        <w:pStyle w:val="BodyText"/>
        <w:spacing w:line="300" w:lineRule="auto" w:before="153"/>
        <w:ind w:left="472" w:right="46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审计应对</w:t>
      </w:r>
      <w:r>
        <w:rPr>
          <w:w w:val="99"/>
        </w:rPr>
        <w:t> </w:t>
      </w:r>
      <w:r>
        <w:rPr/>
        <w:t>我们对恒宝股份重大资产出售的关键审计事项执行的主要审计程序包括：</w:t>
      </w:r>
    </w:p>
    <w:p>
      <w:pPr>
        <w:pStyle w:val="BodyText"/>
        <w:spacing w:line="240" w:lineRule="auto" w:before="31"/>
        <w:ind w:left="472" w:right="0"/>
        <w:jc w:val="left"/>
      </w:pPr>
      <w:r>
        <w:rPr/>
        <w:t>①</w:t>
      </w:r>
      <w:r>
        <w:rPr>
          <w:spacing w:val="1"/>
        </w:rPr>
        <w:t> </w:t>
      </w:r>
      <w:r>
        <w:rPr/>
        <w:t>了解及评价恒宝股份与重大资产出售相关的内部控制设计的有效性，并测试关键控制执行的有效性。</w:t>
      </w:r>
    </w:p>
    <w:p>
      <w:pPr>
        <w:pStyle w:val="BodyText"/>
        <w:spacing w:line="240" w:lineRule="auto" w:before="76"/>
        <w:ind w:left="472" w:right="0"/>
        <w:jc w:val="left"/>
      </w:pPr>
      <w:r>
        <w:rPr/>
        <w:t>②</w:t>
      </w:r>
      <w:r>
        <w:rPr>
          <w:spacing w:val="1"/>
        </w:rPr>
        <w:t> </w:t>
      </w:r>
      <w:r>
        <w:rPr/>
        <w:t>获取并检查上述交易相关的董事会决议等决策文件，以判断相关决策程序是否适当。</w:t>
      </w:r>
    </w:p>
    <w:p>
      <w:pPr>
        <w:pStyle w:val="BodyText"/>
        <w:spacing w:line="316" w:lineRule="auto" w:before="76"/>
        <w:ind w:right="1117" w:firstLine="360"/>
        <w:jc w:val="left"/>
      </w:pPr>
      <w:r>
        <w:rPr/>
        <w:t>③</w:t>
      </w:r>
      <w:r>
        <w:rPr>
          <w:spacing w:val="6"/>
        </w:rPr>
        <w:t> </w:t>
      </w:r>
      <w:r>
        <w:rPr/>
        <w:t>了解上述交易背景及交易整体安排，检查合同、标的资产评估报告、销售发票及收款记录等相关文件，分析交易合</w:t>
      </w:r>
      <w:r>
        <w:rPr/>
        <w:t> 理性并确定交易真实性。</w:t>
      </w:r>
    </w:p>
    <w:p>
      <w:pPr>
        <w:pStyle w:val="BodyText"/>
        <w:spacing w:line="620" w:lineRule="atLeast" w:before="25"/>
        <w:ind w:left="472" w:right="0"/>
        <w:jc w:val="left"/>
      </w:pPr>
      <w:r>
        <w:rPr>
          <w:rFonts w:ascii="宋体" w:hAnsi="宋体" w:cs="宋体" w:eastAsia="宋体" w:hint="default"/>
          <w:b/>
          <w:bCs/>
          <w:spacing w:val="-12"/>
          <w:w w:val="99"/>
        </w:rPr>
        <w:t>（四）、其他信息</w:t>
      </w:r>
      <w:r>
        <w:rPr>
          <w:rFonts w:ascii="宋体" w:hAnsi="宋体" w:cs="宋体" w:eastAsia="宋体" w:hint="default"/>
          <w:b/>
          <w:bCs/>
          <w:spacing w:val="-83"/>
          <w:w w:val="99"/>
        </w:rPr>
        <w:t> </w:t>
      </w:r>
      <w:r>
        <w:rPr>
          <w:rFonts w:ascii="宋体" w:hAnsi="宋体" w:cs="宋体" w:eastAsia="宋体" w:hint="default"/>
          <w:b/>
          <w:bCs/>
          <w:spacing w:val="-83"/>
          <w:w w:val="99"/>
        </w:rPr>
      </w:r>
      <w:r>
        <w:rPr/>
        <w:t>贵公司管理层对其他信息负责。其他信息包括2018年年度报告中涵盖的信息，但不包括财务报表和我们的审计报告。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40" w:lineRule="auto" w:before="76"/>
        <w:ind w:right="0"/>
        <w:jc w:val="left"/>
      </w:pPr>
      <w:r>
        <w:rPr/>
        <w:t>程中了解到的情况存在重大不一致或者似乎存在重大错报。</w:t>
      </w:r>
    </w:p>
    <w:p>
      <w:pPr>
        <w:spacing w:line="240" w:lineRule="auto" w:before="0"/>
        <w:rPr>
          <w:rFonts w:ascii="宋体" w:hAnsi="宋体" w:cs="宋体" w:eastAsia="宋体" w:hint="default"/>
          <w:sz w:val="18"/>
          <w:szCs w:val="18"/>
        </w:rPr>
      </w:pPr>
    </w:p>
    <w:p>
      <w:pPr>
        <w:pStyle w:val="BodyText"/>
        <w:spacing w:line="316" w:lineRule="auto" w:before="153"/>
        <w:ind w:right="1033" w:firstLine="360"/>
        <w:jc w:val="left"/>
      </w:pPr>
      <w:r>
        <w:rPr>
          <w:spacing w:val="-2"/>
        </w:rPr>
        <w:t>基于我们已执行的工作，如果我们确定其他信息存在重大错报，我们应当报告该事实。在这方面，我们无任何事项需要</w:t>
      </w:r>
      <w:r>
        <w:rPr/>
        <w:t> 报告。</w:t>
      </w:r>
    </w:p>
    <w:p>
      <w:pPr>
        <w:spacing w:line="624" w:lineRule="exact" w:before="42"/>
        <w:ind w:left="472" w:right="1033" w:firstLine="0"/>
        <w:jc w:val="left"/>
        <w:rPr>
          <w:rFonts w:ascii="宋体" w:hAnsi="宋体" w:cs="宋体" w:eastAsia="宋体" w:hint="default"/>
          <w:sz w:val="18"/>
          <w:szCs w:val="18"/>
        </w:rPr>
      </w:pPr>
      <w:r>
        <w:rPr>
          <w:rFonts w:ascii="宋体" w:hAnsi="宋体" w:cs="宋体" w:eastAsia="宋体" w:hint="default"/>
          <w:b/>
          <w:bCs/>
          <w:spacing w:val="-5"/>
          <w:w w:val="99"/>
          <w:sz w:val="18"/>
          <w:szCs w:val="18"/>
        </w:rPr>
        <w:t>（五）、管理层和治理层对财务报表的责任</w:t>
      </w:r>
      <w:r>
        <w:rPr>
          <w:rFonts w:ascii="宋体" w:hAnsi="宋体" w:cs="宋体" w:eastAsia="宋体" w:hint="default"/>
          <w:b/>
          <w:bCs/>
          <w:spacing w:val="-80"/>
          <w:w w:val="99"/>
          <w:sz w:val="18"/>
          <w:szCs w:val="18"/>
        </w:rPr>
        <w:t> </w:t>
      </w:r>
      <w:r>
        <w:rPr>
          <w:rFonts w:ascii="宋体" w:hAnsi="宋体" w:cs="宋体" w:eastAsia="宋体" w:hint="default"/>
          <w:b/>
          <w:bCs/>
          <w:spacing w:val="-80"/>
          <w:w w:val="99"/>
          <w:sz w:val="18"/>
          <w:szCs w:val="18"/>
        </w:rPr>
      </w:r>
      <w:r>
        <w:rPr>
          <w:rFonts w:ascii="宋体" w:hAnsi="宋体" w:cs="宋体" w:eastAsia="宋体" w:hint="default"/>
          <w:sz w:val="18"/>
          <w:szCs w:val="18"/>
        </w:rPr>
        <w:t>贵公司管理层负责按照企业会计准则的规定编制财务报表，使其实现公允反映，并设计、执行和维护必要的内部控制，</w:t>
      </w:r>
    </w:p>
    <w:p>
      <w:pPr>
        <w:pStyle w:val="BodyText"/>
        <w:spacing w:line="212" w:lineRule="exact"/>
        <w:ind w:right="0"/>
        <w:jc w:val="left"/>
      </w:pPr>
      <w:r>
        <w:rPr/>
        <w:t>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53"/>
        <w:ind w:right="0" w:firstLine="360"/>
        <w:jc w:val="left"/>
      </w:pPr>
      <w:r>
        <w:rPr>
          <w:spacing w:val="-2"/>
        </w:rPr>
        <w:t>在编制财务报表时，管理层负责评估贵公司的持续经营能力，披露与持续经营相关的事项(如适用)，并运用持续经营假</w:t>
      </w:r>
      <w:r>
        <w:rPr/>
        <w:t> 设，除非管理层计划清算贵公司、终止运营或别无其他现实的选择。</w:t>
      </w:r>
    </w:p>
    <w:p>
      <w:pPr>
        <w:spacing w:line="240" w:lineRule="auto" w:before="4"/>
        <w:rPr>
          <w:rFonts w:ascii="宋体" w:hAnsi="宋体" w:cs="宋体" w:eastAsia="宋体" w:hint="default"/>
          <w:sz w:val="25"/>
          <w:szCs w:val="25"/>
        </w:rPr>
      </w:pPr>
    </w:p>
    <w:p>
      <w:pPr>
        <w:pStyle w:val="BodyText"/>
        <w:spacing w:line="240" w:lineRule="auto"/>
        <w:ind w:left="472" w:right="0"/>
        <w:jc w:val="left"/>
      </w:pPr>
      <w:r>
        <w:rPr/>
        <w:t>治理层负责监督贵公司的财务报告过程。</w:t>
      </w:r>
    </w:p>
    <w:p>
      <w:pPr>
        <w:spacing w:line="636" w:lineRule="auto" w:before="76"/>
        <w:ind w:left="472" w:right="1115"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b/>
          <w:bCs/>
          <w:spacing w:val="2"/>
          <w:w w:val="99"/>
          <w:sz w:val="18"/>
          <w:szCs w:val="18"/>
        </w:rPr>
        <w:t>六</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w:t>
      </w:r>
      <w:r>
        <w:rPr>
          <w:rFonts w:ascii="宋体" w:hAnsi="宋体" w:cs="宋体" w:eastAsia="宋体" w:hint="default"/>
          <w:b/>
          <w:bCs/>
          <w:spacing w:val="2"/>
          <w:w w:val="99"/>
          <w:sz w:val="18"/>
          <w:szCs w:val="18"/>
        </w:rPr>
        <w:t>注</w:t>
      </w:r>
      <w:r>
        <w:rPr>
          <w:rFonts w:ascii="宋体" w:hAnsi="宋体" w:cs="宋体" w:eastAsia="宋体" w:hint="default"/>
          <w:b/>
          <w:bCs/>
          <w:w w:val="99"/>
          <w:sz w:val="18"/>
          <w:szCs w:val="18"/>
        </w:rPr>
        <w:t>册会计</w:t>
      </w:r>
      <w:r>
        <w:rPr>
          <w:rFonts w:ascii="宋体" w:hAnsi="宋体" w:cs="宋体" w:eastAsia="宋体" w:hint="default"/>
          <w:b/>
          <w:bCs/>
          <w:spacing w:val="2"/>
          <w:w w:val="99"/>
          <w:sz w:val="18"/>
          <w:szCs w:val="18"/>
        </w:rPr>
        <w:t>师</w:t>
      </w:r>
      <w:r>
        <w:rPr>
          <w:rFonts w:ascii="宋体" w:hAnsi="宋体" w:cs="宋体" w:eastAsia="宋体" w:hint="default"/>
          <w:b/>
          <w:bCs/>
          <w:w w:val="99"/>
          <w:sz w:val="18"/>
          <w:szCs w:val="18"/>
        </w:rPr>
        <w:t>对财</w:t>
      </w:r>
      <w:r>
        <w:rPr>
          <w:rFonts w:ascii="宋体" w:hAnsi="宋体" w:cs="宋体" w:eastAsia="宋体" w:hint="default"/>
          <w:b/>
          <w:bCs/>
          <w:spacing w:val="2"/>
          <w:w w:val="99"/>
          <w:sz w:val="18"/>
          <w:szCs w:val="18"/>
        </w:rPr>
        <w:t>务</w:t>
      </w:r>
      <w:r>
        <w:rPr>
          <w:rFonts w:ascii="宋体" w:hAnsi="宋体" w:cs="宋体" w:eastAsia="宋体" w:hint="default"/>
          <w:b/>
          <w:bCs/>
          <w:w w:val="99"/>
          <w:sz w:val="18"/>
          <w:szCs w:val="18"/>
        </w:rPr>
        <w:t>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w:t>
      </w:r>
      <w:r>
        <w:rPr>
          <w:rFonts w:ascii="宋体" w:hAnsi="宋体" w:cs="宋体" w:eastAsia="宋体" w:hint="default"/>
          <w:spacing w:val="-82"/>
          <w:sz w:val="18"/>
          <w:szCs w:val="18"/>
        </w:rPr>
        <w:t>，</w:t>
      </w:r>
      <w:r>
        <w:rPr>
          <w:rFonts w:ascii="宋体" w:hAnsi="宋体" w:cs="宋体" w:eastAsia="宋体" w:hint="default"/>
          <w:sz w:val="18"/>
          <w:szCs w:val="18"/>
        </w:rPr>
        <w:t>并出具包含审计意见的审计报</w:t>
      </w:r>
    </w:p>
    <w:p>
      <w:pPr>
        <w:spacing w:after="0" w:line="636" w:lineRule="auto"/>
        <w:jc w:val="left"/>
        <w:rPr>
          <w:rFonts w:ascii="宋体" w:hAnsi="宋体" w:cs="宋体" w:eastAsia="宋体" w:hint="default"/>
          <w:sz w:val="18"/>
          <w:szCs w:val="18"/>
        </w:rPr>
        <w:sectPr>
          <w:footerReference w:type="default" r:id="rId22"/>
          <w:pgSz w:w="11910" w:h="16840"/>
          <w:pgMar w:footer="1017" w:header="905" w:top="1100" w:bottom="1200" w:left="1020" w:right="0"/>
          <w:pgNumType w:start="60"/>
        </w:sectPr>
      </w:pPr>
    </w:p>
    <w:p>
      <w:pPr>
        <w:spacing w:line="240" w:lineRule="auto" w:before="13"/>
        <w:rPr>
          <w:rFonts w:ascii="宋体" w:hAnsi="宋体" w:cs="宋体" w:eastAsia="宋体" w:hint="default"/>
          <w:sz w:val="22"/>
          <w:szCs w:val="22"/>
        </w:rPr>
      </w:pPr>
    </w:p>
    <w:p>
      <w:pPr>
        <w:pStyle w:val="BodyText"/>
        <w:spacing w:line="316" w:lineRule="auto" w:before="44"/>
        <w:ind w:right="1132"/>
        <w:jc w:val="both"/>
      </w:pPr>
      <w:r>
        <w:rPr>
          <w:spacing w:val="-2"/>
        </w:rPr>
        <w:t>告。合理保证是高水平的保证，但并不能保证按照审计准则执行的审计在某一重大错报存在时总能发现。错报可能由于舞弊</w:t>
      </w:r>
      <w:r>
        <w:rPr>
          <w:spacing w:val="-65"/>
        </w:rPr>
        <w:t> </w:t>
      </w:r>
      <w:r>
        <w:rPr>
          <w:spacing w:val="-65"/>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624" w:lineRule="exact" w:before="42"/>
        <w:ind w:left="472" w:right="1123"/>
        <w:jc w:val="left"/>
      </w:pPr>
      <w:r>
        <w:rPr/>
        <w:t>在按照审计准则执行审计工作的过程中，我们运用职业判断，并保持职业怀疑。同时，我们也执行以下工作： 1、识别和评估由于舞弊或错误导致的财务报表重大错报风险，设计和实施审计程序以应对这些风险，并获取充分、适</w:t>
      </w:r>
    </w:p>
    <w:p>
      <w:pPr>
        <w:pStyle w:val="BodyText"/>
        <w:spacing w:line="213" w:lineRule="exact"/>
        <w:ind w:right="0"/>
        <w:jc w:val="both"/>
      </w:pPr>
      <w:r>
        <w:rPr/>
        <w:t>当的审计证据，作为发表审计意见的基础。由于舞弊可能涉及串通、伪造、故意遗漏、虚假陈述或凌驾于内部控制之上，未</w:t>
      </w:r>
    </w:p>
    <w:p>
      <w:pPr>
        <w:pStyle w:val="BodyText"/>
        <w:spacing w:line="636" w:lineRule="auto" w:before="76"/>
        <w:ind w:left="472" w:right="2383" w:hanging="360"/>
        <w:jc w:val="left"/>
      </w:pPr>
      <w:r>
        <w:rPr/>
        <w:t>能发现由于舞弊导致的重大错报的风险高于未能发现由于错误导致的重大错报的风险。 2、了解与审计相关的内部控制，以设计恰当的审计程序，但目的并非对内部控制的有效性发表意见。</w:t>
      </w:r>
    </w:p>
    <w:p>
      <w:pPr>
        <w:pStyle w:val="BodyText"/>
        <w:spacing w:line="240" w:lineRule="auto" w:before="91"/>
        <w:ind w:left="472" w:right="0"/>
        <w:jc w:val="left"/>
      </w:pPr>
      <w:r>
        <w:rPr/>
        <w:t>3、评价管理层选用会计政策的恰当性和作出会计估计及相关披露的合理性。</w:t>
      </w:r>
    </w:p>
    <w:p>
      <w:pPr>
        <w:spacing w:line="240" w:lineRule="auto" w:before="0"/>
        <w:rPr>
          <w:rFonts w:ascii="宋体" w:hAnsi="宋体" w:cs="宋体" w:eastAsia="宋体" w:hint="default"/>
          <w:sz w:val="18"/>
          <w:szCs w:val="18"/>
        </w:rPr>
      </w:pPr>
    </w:p>
    <w:p>
      <w:pPr>
        <w:pStyle w:val="BodyText"/>
        <w:spacing w:line="316" w:lineRule="auto" w:before="153"/>
        <w:ind w:right="1132" w:firstLine="360"/>
        <w:jc w:val="both"/>
      </w:pPr>
      <w:r>
        <w:rPr/>
        <w:t>4、对管理层使用持续经营假设的恰当性得出结论。同时，根据获取的审计证据，就可能导致对贵公司持续经营能力产 </w:t>
      </w:r>
      <w:r>
        <w:rPr>
          <w:spacing w:val="-2"/>
        </w:rPr>
        <w:t>生重大疑虑的事项或情况是否存在重大不确定性得出结论。如果我们得出结论认为存在重大不确定性，审计准则要求我们在</w:t>
      </w:r>
      <w:r>
        <w:rPr>
          <w:spacing w:val="-64"/>
        </w:rPr>
        <w:t> </w:t>
      </w:r>
      <w:r>
        <w:rPr>
          <w:spacing w:val="-64"/>
        </w:rPr>
      </w:r>
      <w:r>
        <w:rPr>
          <w:spacing w:val="-2"/>
        </w:rPr>
        <w:t>审计报告中提请报表使用者注意财务报表中的相关披露；如果披露不充分，我们应当发表非无保留意见。我们的结论基于截</w:t>
      </w:r>
      <w:r>
        <w:rPr>
          <w:spacing w:val="-65"/>
        </w:rPr>
        <w:t> </w:t>
      </w:r>
      <w:r>
        <w:rPr>
          <w:spacing w:val="-65"/>
        </w:rPr>
      </w:r>
      <w:r>
        <w:rPr/>
        <w:t>止审计报告日可获得的信息。然而，未来的事项或情况可能导致贵公司不能持续经营。</w:t>
      </w:r>
    </w:p>
    <w:p>
      <w:pPr>
        <w:spacing w:line="240" w:lineRule="auto" w:before="4"/>
        <w:rPr>
          <w:rFonts w:ascii="宋体" w:hAnsi="宋体" w:cs="宋体" w:eastAsia="宋体" w:hint="default"/>
          <w:sz w:val="25"/>
          <w:szCs w:val="25"/>
        </w:rPr>
      </w:pPr>
    </w:p>
    <w:p>
      <w:pPr>
        <w:pStyle w:val="BodyText"/>
        <w:spacing w:line="240" w:lineRule="auto"/>
        <w:ind w:left="472" w:right="0"/>
        <w:jc w:val="left"/>
      </w:pPr>
      <w:r>
        <w:rPr/>
        <w:t>5、评价财务报表的总体列报、结构和内容(包括披露)，并评价财务报表是否公允反映相关交易和事项。</w:t>
      </w:r>
    </w:p>
    <w:p>
      <w:pPr>
        <w:spacing w:line="240" w:lineRule="auto" w:before="0"/>
        <w:rPr>
          <w:rFonts w:ascii="宋体" w:hAnsi="宋体" w:cs="宋体" w:eastAsia="宋体" w:hint="default"/>
          <w:sz w:val="18"/>
          <w:szCs w:val="18"/>
        </w:rPr>
      </w:pPr>
    </w:p>
    <w:p>
      <w:pPr>
        <w:pStyle w:val="BodyText"/>
        <w:spacing w:line="319" w:lineRule="auto" w:before="152"/>
        <w:ind w:right="1132" w:firstLine="360"/>
        <w:jc w:val="both"/>
      </w:pPr>
      <w:r>
        <w:rPr/>
        <w:t>6、就贵公司中实体或业务活动的财务信息获取充分、适当的审计证据，以对合并财务报表发表审计意见。我们负责指 导、监督和执行集团审计，并对审计意见承担全部责任。</w:t>
      </w:r>
    </w:p>
    <w:p>
      <w:pPr>
        <w:spacing w:line="240" w:lineRule="auto" w:before="2"/>
        <w:rPr>
          <w:rFonts w:ascii="宋体" w:hAnsi="宋体" w:cs="宋体" w:eastAsia="宋体" w:hint="default"/>
          <w:sz w:val="25"/>
          <w:szCs w:val="25"/>
        </w:rPr>
      </w:pPr>
    </w:p>
    <w:p>
      <w:pPr>
        <w:pStyle w:val="BodyText"/>
        <w:spacing w:line="319" w:lineRule="auto"/>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spacing w:line="240" w:lineRule="auto" w:before="2"/>
        <w:rPr>
          <w:rFonts w:ascii="宋体" w:hAnsi="宋体" w:cs="宋体" w:eastAsia="宋体" w:hint="default"/>
          <w:sz w:val="25"/>
          <w:szCs w:val="25"/>
        </w:rPr>
      </w:pPr>
    </w:p>
    <w:p>
      <w:pPr>
        <w:pStyle w:val="BodyText"/>
        <w:spacing w:line="319" w:lineRule="auto"/>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spacing w:line="240" w:lineRule="auto" w:before="2"/>
        <w:rPr>
          <w:rFonts w:ascii="宋体" w:hAnsi="宋体" w:cs="宋体" w:eastAsia="宋体" w:hint="default"/>
          <w:sz w:val="25"/>
          <w:szCs w:val="25"/>
        </w:rPr>
      </w:pPr>
    </w:p>
    <w:p>
      <w:pPr>
        <w:pStyle w:val="BodyText"/>
        <w:spacing w:line="316" w:lineRule="auto"/>
        <w:ind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5"/>
        </w:rPr>
        <w:t> </w:t>
      </w:r>
      <w:r>
        <w:rPr>
          <w:spacing w:val="-65"/>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tabs>
          <w:tab w:pos="7132" w:val="left" w:leader="none"/>
        </w:tabs>
        <w:spacing w:line="240" w:lineRule="auto"/>
        <w:ind w:left="3172" w:right="0"/>
        <w:jc w:val="left"/>
      </w:pPr>
      <w:r>
        <w:rPr/>
        <w:t>上会会计师事务所（特殊普通合伙）</w:t>
        <w:tab/>
        <w:t>中国注册会计师：  耿磊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7164" w:right="0"/>
        <w:jc w:val="left"/>
      </w:pPr>
      <w:r>
        <w:rPr/>
        <w:t>中国注册会计师：赵彧非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tabs>
          <w:tab w:pos="7223" w:val="left" w:leader="none"/>
        </w:tabs>
        <w:spacing w:line="240" w:lineRule="auto"/>
        <w:ind w:left="4252" w:right="0"/>
        <w:jc w:val="left"/>
      </w:pPr>
      <w:r>
        <w:rPr/>
        <w:t>中国  上海</w:t>
        <w:tab/>
        <w:t>二〇一九年四月二十四日</w:t>
      </w:r>
    </w:p>
    <w:p>
      <w:pPr>
        <w:spacing w:after="0" w:line="240" w:lineRule="auto"/>
        <w:jc w:val="left"/>
        <w:sectPr>
          <w:pgSz w:w="11910" w:h="16840"/>
          <w:pgMar w:header="905" w:footer="1017"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5" w:footer="1017" w:top="1100" w:bottom="1200" w:left="1020" w:right="0"/>
        </w:sectPr>
      </w:pPr>
    </w:p>
    <w:p>
      <w:pPr>
        <w:pStyle w:val="BodyText"/>
        <w:spacing w:line="240" w:lineRule="auto" w:before="44"/>
        <w:ind w:right="-20"/>
        <w:jc w:val="left"/>
      </w:pPr>
      <w:r>
        <w:rPr/>
        <w:t>编制单位：恒宝股份有限公司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3" w:equalWidth="0">
            <w:col w:w="2453" w:space="1622"/>
            <w:col w:w="1599" w:space="3244"/>
            <w:col w:w="1972"/>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2"/>
        <w:gridCol w:w="3408"/>
        <w:gridCol w:w="2966"/>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46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774,995,915.93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pacing w:val="-1"/>
                <w:sz w:val="18"/>
              </w:rPr>
              <w:t>355,855,614.47</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90,903,019.70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218,242,478.81</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40"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51,820.94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2,750,838.58</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90,851,198.76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215,491,640.23</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308,783,403.76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609,917,046.12</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8,364,104.07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7,696,399.46</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9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196,152,735.29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162,833,035.04</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238,961,910.72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67,987,669.52</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1,618,161,089.47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1,422,532,243.42</w:t>
            </w:r>
          </w:p>
        </w:tc>
      </w:tr>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460"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21,030,000.00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21,000,000.00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3192"/>
        <w:gridCol w:w="3408"/>
        <w:gridCol w:w="2966"/>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209,435,048.81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202,599,736.97</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194,067,865.01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307,853,308.66</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135,303,356.84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155,628,561.43</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65,716,543.35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70,835,809.00</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2,701,349.54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1,356,885.56</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4,098,913.47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4,766,770.68</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632,353,077.02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764,041,072.30</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2,250,514,166.49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2,186,573,315.72</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83,812,641.05</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09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09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179,104,736.62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96,091,087.92</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43,438,836.07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73,766,771.63</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09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4,275,089.12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4,118,491.36</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6,323,848.64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9,762,441.01</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16,939,453.26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17,028,090.73</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3192"/>
        <w:gridCol w:w="3408"/>
        <w:gridCol w:w="2966"/>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250,081,963.71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284,579,523.70</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1,693,776.25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2,559,821.25</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16,015,975.30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18,669,440.45</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17,709,751.55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21,229,261.70</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267,791,715.26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305,808,785.40</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712,028,800.00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712,028,800.00</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74,500,100.81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74,500,100.81</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46,010,428.76</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1,358,868.21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1,022,786.65</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207,516,674.80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192,784,585.72</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8"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944,612,685.27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813,851,753.24</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1,894,006,700.33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1,794,188,026.42</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88,715,750.90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86,576,503.90</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3192"/>
        <w:gridCol w:w="3408"/>
        <w:gridCol w:w="2966"/>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1,982,722,451.23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1,880,764,530.32</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2,250,514,166.49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2,186,573,315.72</w:t>
            </w:r>
          </w:p>
        </w:tc>
      </w:tr>
    </w:tbl>
    <w:p>
      <w:pPr>
        <w:spacing w:line="240" w:lineRule="auto" w:before="2"/>
        <w:rPr>
          <w:rFonts w:ascii="Times New Roman" w:hAnsi="Times New Roman" w:cs="Times New Roman" w:eastAsia="Times New Roman" w:hint="default"/>
          <w:sz w:val="23"/>
          <w:szCs w:val="23"/>
        </w:rPr>
      </w:pPr>
    </w:p>
    <w:p>
      <w:pPr>
        <w:pStyle w:val="BodyText"/>
        <w:tabs>
          <w:tab w:pos="3419" w:val="left" w:leader="none"/>
          <w:tab w:pos="7739" w:val="left" w:leader="none"/>
        </w:tabs>
        <w:spacing w:line="240" w:lineRule="auto" w:before="44"/>
        <w:ind w:left="0" w:right="1230"/>
        <w:jc w:val="right"/>
      </w:pPr>
      <w:r>
        <w:rPr/>
        <w:t>法定代表人：钱京</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00"/>
        <w:gridCol w:w="3300"/>
        <w:gridCol w:w="2966"/>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574,801,241.35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277,161,559.96</w:t>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87,867,251.16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217,576,763.16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51,820.94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2,750,838.58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87,815,430.22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214,825,924.58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109,472,836.86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609,286,830.48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7,135,589.14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6,844,212.86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194,776,965.12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162,361,309.65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210,025,626.10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1,756,595.76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1,184,079,509.73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1,274,987,271.87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21,000,000.00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701,011,619.54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435,970,727.70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192,055,721.77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305,186,678.69</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3300"/>
        <w:gridCol w:w="3300"/>
        <w:gridCol w:w="2966"/>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42,203,356.84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45,128,561.43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1,685,897.33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752,288.91</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3,414,604.82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3,564,389.22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961,371,200.30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811,602,645.95</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2,145,450,710.03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2,086,589,917.82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83,812,641.05</w:t>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177,878,965.16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95,490,599.58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12,256,927.13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47,778,161.03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44,197.74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43,461.84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3,148,096.08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8,245,527.12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16,061,408.36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15,630,208.56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209,389,594.47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251,000,599.18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8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2,395,200.00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2,050,975.30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2,094,440.45</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3300"/>
        <w:gridCol w:w="3300"/>
        <w:gridCol w:w="2966"/>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3,650,975.30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4,489,640.45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213,040,569.77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255,490,239.63</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712,028,800.00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712,028,800.00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8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89,303,021.56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89,303,021.56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46,010,428.76</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207,516,674.80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192,784,585.72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969,572,072.66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836,983,270.91</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1,932,410,140.26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1,831,099,678.19</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2,145,450,710.03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2,086,589,917.82</w:t>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966"/>
        <w:gridCol w:w="3300"/>
        <w:gridCol w:w="3300"/>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1,690,305,333.68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1,368,374,091.69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1,690,305,333.68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1,368,374,091.69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3"/>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3"/>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1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1,620,568,345.08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1,289,176,700.66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1,343,251,818.74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986,219,867.76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3"/>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1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13"/>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966"/>
        <w:gridCol w:w="3300"/>
        <w:gridCol w:w="3300"/>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3"/>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10,936,021.53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12,939,753.92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3"/>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65,644,995.31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73,022,761.07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3"/>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72,170,605.53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89,158,810.04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3"/>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121,874,377.09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121,783,765.82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3"/>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265,500.60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8,203,723.61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80"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3,990,684.06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1,926,449.21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2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3,877,004.51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3,191,770.77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6,425,026.28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-2,151,981.56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23,483,632.86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41,092,378.76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4"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13,070,592.79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5,545,932.13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6,835,311.84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2,653,195.37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2"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52,214,754.01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42,047.17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158,505,968.26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125,877,749.09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333,326.74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54,234,533.80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856,973.94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1,568,369.74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157,982,321.06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178,543,913.15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10,350,052.95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14,428,360.59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147,632,268.11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164,115,552.56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147,632,268.11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164,115,552.56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145,493,021.11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162,648,403.93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2,139,247.00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1,467,148.63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336,081.56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-965,628.14</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966"/>
        <w:gridCol w:w="3300"/>
        <w:gridCol w:w="3300"/>
      </w:tblGrid>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336,081.56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-965,628.14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9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336,081.56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-965,628.14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9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9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9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336,081.56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-965,628.14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8"/>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147,968,349.67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163,149,924.42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145,829,102.67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161,682,775.79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2,139,247.00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1,467,148.63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74"/>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74"/>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0.228</w:t>
            </w:r>
          </w:p>
        </w:tc>
      </w:tr>
    </w:tbl>
    <w:p>
      <w:pPr>
        <w:pStyle w:val="BodyText"/>
        <w:tabs>
          <w:tab w:pos="3532" w:val="left" w:leader="none"/>
          <w:tab w:pos="7852" w:val="left" w:leader="none"/>
        </w:tabs>
        <w:spacing w:line="595" w:lineRule="auto" w:before="49"/>
        <w:ind w:right="1230"/>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法定代表人：钱京</w:t>
        <w:tab/>
        <w:t>主管会计工作负责人：赵长健</w:t>
        <w:tab/>
        <w:t>会计机构负责人：施伟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2"/>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964"/>
        <w:gridCol w:w="3302"/>
        <w:gridCol w:w="3300"/>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964"/>
        <w:gridCol w:w="3302"/>
        <w:gridCol w:w="3300"/>
      </w:tblGrid>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1,564,668,188.03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1,318,846,539.06</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1,275,372,946.85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978,538,457.72</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10,221,003.08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12,189,956.96</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44,710,210.84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49,875,767.49</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45,971,287.68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64,891,334.09</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108,912,757.65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109,353,010.13</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650,282.23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9,196,543.49</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3,990,684.06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1,926,449.21</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4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3,664,304.99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3,129,506.23</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691,148.39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-2,348,961.84</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19,907,597.22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36,360,267.01</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8,676,949.75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2,659,222.35</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6,835,311.84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2,653,195.37</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2"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52,175,125.20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81,630.79</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158,898,223.48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136,251,551.17</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300,682.68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54,006,371.86</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850,358.27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1,514,861.31</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158,348,547.89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188,743,061.72</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11,027,657.06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19,515,989.46</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147,320,890.83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169,227,072.26</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147,320,890.83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169,227,072.26</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1017" w:header="905" w:top="1100" w:bottom="1200" w:left="1020" w:right="0"/>
          <w:pgNumType w:start="7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964"/>
        <w:gridCol w:w="3302"/>
        <w:gridCol w:w="3300"/>
      </w:tblGrid>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56"/>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4" w:right="0"/>
              <w:jc w:val="left"/>
              <w:rPr>
                <w:rFonts w:ascii="Times New Roman" w:hAnsi="Times New Roman" w:cs="Times New Roman" w:eastAsia="Times New Roman" w:hint="default"/>
                <w:sz w:val="18"/>
                <w:szCs w:val="18"/>
              </w:rPr>
            </w:pPr>
            <w:r>
              <w:rPr>
                <w:rFonts w:ascii="Times New Roman"/>
                <w:sz w:val="18"/>
              </w:rPr>
              <w:t>147,320,890.83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1" w:right="0"/>
              <w:jc w:val="left"/>
              <w:rPr>
                <w:rFonts w:ascii="Times New Roman" w:hAnsi="Times New Roman" w:cs="Times New Roman" w:eastAsia="Times New Roman" w:hint="default"/>
                <w:sz w:val="18"/>
                <w:szCs w:val="18"/>
              </w:rPr>
            </w:pPr>
            <w:r>
              <w:rPr>
                <w:rFonts w:ascii="Times New Roman"/>
                <w:sz w:val="18"/>
              </w:rPr>
              <w:t>169,227,072.26</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7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7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964"/>
        <w:gridCol w:w="3302"/>
        <w:gridCol w:w="3300"/>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31"/>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27" w:right="0"/>
              <w:jc w:val="left"/>
              <w:rPr>
                <w:rFonts w:ascii="Times New Roman" w:hAnsi="Times New Roman" w:cs="Times New Roman" w:eastAsia="Times New Roman" w:hint="default"/>
                <w:sz w:val="18"/>
                <w:szCs w:val="18"/>
              </w:rPr>
            </w:pPr>
            <w:r>
              <w:rPr>
                <w:rFonts w:ascii="Times New Roman"/>
                <w:sz w:val="18"/>
              </w:rPr>
              <w:t>2,013,251,453.66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27" w:right="0"/>
              <w:jc w:val="left"/>
              <w:rPr>
                <w:rFonts w:ascii="Times New Roman" w:hAnsi="Times New Roman" w:cs="Times New Roman" w:eastAsia="Times New Roman" w:hint="default"/>
                <w:sz w:val="18"/>
                <w:szCs w:val="18"/>
              </w:rPr>
            </w:pPr>
            <w:r>
              <w:rPr>
                <w:rFonts w:ascii="Times New Roman"/>
                <w:sz w:val="18"/>
              </w:rPr>
              <w:t>1,488,622,629.92</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31"/>
              <w:jc w:val="righ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964"/>
        <w:gridCol w:w="3302"/>
        <w:gridCol w:w="3300"/>
      </w:tblGrid>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18,995,517.01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29,743,361.13</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19,057,303.53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23,455,261.66</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2,051,304,274.20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1,541,821,252.71</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1,083,720,119.62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1,528,775,327.22</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185,435,976.86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180,215,845.90</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87,131,646.61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108,704,915.03</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106,773,422.26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153,993,143.03</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1,463,061,165.35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1,971,689,231.18</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588,243,108.85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-429,867,978.47</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881,980,000.00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259,625,959.52</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6,235,280.95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837,921.70</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140,401,531.95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115,690.00</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1,028,616,812.90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260,579,571.22</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10,548,231.22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8,907,126.21</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964"/>
        <w:gridCol w:w="3302"/>
        <w:gridCol w:w="3300"/>
      </w:tblGrid>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1,054,360,000.00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270,150,000.00</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1,064,908,231.22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279,057,126.21</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-36,291,418.32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-18,477,554.99</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229,635,884.92</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229,635,884.92</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153,194,444.66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145,426,817.50</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3,990,684.06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1,926,449.21</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46,010,428.76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8,031,232.00</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203,195,557.48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155,384,498.71</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-133,195,557.48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74,251,386.21</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140,116.98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-3,126,096.76</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418,896,250.03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-377,220,244.01</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352,154,354.48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729,374,598.49</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771,050,604.51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352,154,354.48</w:t>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964"/>
        <w:gridCol w:w="3302"/>
        <w:gridCol w:w="3300"/>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964"/>
        <w:gridCol w:w="3302"/>
        <w:gridCol w:w="3300"/>
      </w:tblGrid>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1,870,789,909.82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1,435,211,666.65</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16,729,026.00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25,702,049.02</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66,149,647.65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48,256,818.95</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1,953,668,583.47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1,509,170,534.62</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811,565,909.53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1,533,878,683.46</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157,000,879.28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148,493,327.41</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80,602,061.63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99,691,432.31</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137,116,783.33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168,446,494.93</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1,186,285,633.77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1,950,509,938.11</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767,382,949.70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-441,339,403.49</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39,249.74</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1,841,637.91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837,921.70</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140,351,000.55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111,280.00</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653,192,638.46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988,451.44</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10,362,370.27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7,951,890.56</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979,205,580.00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9,010,000.00</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989,567,950.27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16,961,890.56</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-336,375,311.81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-15,973,439.12</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964"/>
        <w:gridCol w:w="3302"/>
        <w:gridCol w:w="3300"/>
      </w:tblGrid>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229,635,884.92</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229,635,884.92</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153,194,444.66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145,426,817.50</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3,990,684.06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1,926,449.21</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46,010,428.76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8,031,232.00</w:t>
            </w: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203,195,557.48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155,384,498.71</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-133,195,557.48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74,251,386.21</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-113,598.52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-3,305,093.43</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297,698,481.89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-386,366,549.83</w:t>
            </w:r>
          </w:p>
        </w:tc>
      </w:tr>
      <w:tr>
        <w:trPr>
          <w:trHeight w:val="71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274,653,934.96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661,020,484.79</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572,352,416.85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274,653,934.96</w:t>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5"/>
        <w:gridCol w:w="667"/>
        <w:gridCol w:w="662"/>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3D3D3"/>
          </w:tcPr>
          <w:p>
            <w:pPr/>
          </w:p>
        </w:tc>
        <w:tc>
          <w:tcPr>
            <w:tcW w:w="680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44" w:right="144"/>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3"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6" w:right="149"/>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4"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1027"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7"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16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70" w:right="170"/>
              <w:jc w:val="left"/>
              <w:rPr>
                <w:rFonts w:ascii="宋体" w:hAnsi="宋体" w:cs="宋体" w:eastAsia="宋体" w:hint="default"/>
                <w:sz w:val="18"/>
                <w:szCs w:val="18"/>
              </w:rPr>
            </w:pPr>
            <w:r>
              <w:rPr>
                <w:rFonts w:ascii="宋体" w:hAnsi="宋体" w:cs="宋体" w:eastAsia="宋体" w:hint="default"/>
                <w:sz w:val="18"/>
                <w:szCs w:val="18"/>
              </w:rPr>
              <w:t>其 他</w:t>
            </w: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r>
      <w:tr>
        <w:trPr>
          <w:trHeight w:val="133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0" w:right="103"/>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 w:right="0"/>
              <w:jc w:val="center"/>
              <w:rPr>
                <w:rFonts w:ascii="Times New Roman" w:hAnsi="Times New Roman" w:cs="Times New Roman" w:eastAsia="Times New Roman" w:hint="default"/>
                <w:sz w:val="18"/>
                <w:szCs w:val="18"/>
              </w:rPr>
            </w:pPr>
            <w:r>
              <w:rPr>
                <w:rFonts w:ascii="Times New Roman"/>
                <w:sz w:val="18"/>
              </w:rPr>
              <w:t>712,</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028,</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0,100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,786.</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65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192,7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84,58</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5.72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813,8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51,75</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3.24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86,57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6,503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1" w:right="0"/>
              <w:jc w:val="left"/>
              <w:rPr>
                <w:rFonts w:ascii="Times New Roman" w:hAnsi="Times New Roman" w:cs="Times New Roman" w:eastAsia="Times New Roman" w:hint="default"/>
                <w:sz w:val="18"/>
                <w:szCs w:val="18"/>
              </w:rPr>
            </w:pPr>
            <w:r>
              <w:rPr>
                <w:rFonts w:ascii="Times New Roman"/>
                <w:sz w:val="18"/>
              </w:rPr>
              <w:t>1,880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,764,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530.3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03"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245"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820" w:right="0"/>
              <w:jc w:val="left"/>
              <w:rPr>
                <w:rFonts w:ascii="宋体" w:hAnsi="宋体" w:cs="宋体" w:eastAsia="宋体" w:hint="default"/>
                <w:sz w:val="18"/>
                <w:szCs w:val="18"/>
              </w:rPr>
            </w:pPr>
            <w:r>
              <w:rPr>
                <w:rFonts w:ascii="宋体" w:hAnsi="宋体" w:cs="宋体" w:eastAsia="宋体" w:hint="default"/>
                <w:sz w:val="18"/>
                <w:szCs w:val="18"/>
              </w:rPr>
              <w:t>同一</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5"/>
        <w:gridCol w:w="667"/>
        <w:gridCol w:w="662"/>
        <w:gridCol w:w="665"/>
        <w:gridCol w:w="665"/>
        <w:gridCol w:w="665"/>
        <w:gridCol w:w="660"/>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00" w:right="245"/>
              <w:jc w:val="left"/>
              <w:rPr>
                <w:rFonts w:ascii="宋体" w:hAnsi="宋体" w:cs="宋体" w:eastAsia="宋体" w:hint="default"/>
                <w:sz w:val="18"/>
                <w:szCs w:val="18"/>
              </w:rPr>
            </w:pPr>
            <w:r>
              <w:rPr>
                <w:rFonts w:ascii="宋体" w:hAnsi="宋体" w:cs="宋体" w:eastAsia="宋体" w:hint="default"/>
                <w:sz w:val="18"/>
                <w:szCs w:val="18"/>
              </w:rPr>
              <w:t>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0" w:right="103"/>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 w:right="0"/>
              <w:jc w:val="center"/>
              <w:rPr>
                <w:rFonts w:ascii="Times New Roman" w:hAnsi="Times New Roman" w:cs="Times New Roman" w:eastAsia="Times New Roman" w:hint="default"/>
                <w:sz w:val="18"/>
                <w:szCs w:val="18"/>
              </w:rPr>
            </w:pPr>
            <w:r>
              <w:rPr>
                <w:rFonts w:ascii="Times New Roman"/>
                <w:sz w:val="18"/>
              </w:rPr>
              <w:t>712,</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028,</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0,100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,786.</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65</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192,7</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84,58</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5.72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813,8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51,75</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3.24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86,57</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6,503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1" w:right="0"/>
              <w:jc w:val="left"/>
              <w:rPr>
                <w:rFonts w:ascii="Times New Roman" w:hAnsi="Times New Roman" w:cs="Times New Roman" w:eastAsia="Times New Roman" w:hint="default"/>
                <w:sz w:val="18"/>
                <w:szCs w:val="18"/>
              </w:rPr>
            </w:pPr>
            <w:r>
              <w:rPr>
                <w:rFonts w:ascii="Times New Roman"/>
                <w:sz w:val="18"/>
              </w:rPr>
              <w:t>1,880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,764,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530.3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65"/>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46,01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0,428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336,0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81.56</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14,73</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2,089</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130,7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60,93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2.03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2,139</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101,9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57,92</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0.91</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336,0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81.56</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6" w:right="0"/>
              <w:jc w:val="lef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93,02</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1.11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6" w:right="0"/>
              <w:jc w:val="left"/>
              <w:rPr>
                <w:rFonts w:ascii="Times New Roman" w:hAnsi="Times New Roman" w:cs="Times New Roman" w:eastAsia="Times New Roman" w:hint="default"/>
                <w:sz w:val="18"/>
                <w:szCs w:val="18"/>
              </w:rPr>
            </w:pPr>
            <w:r>
              <w:rPr>
                <w:rFonts w:ascii="Times New Roman"/>
                <w:sz w:val="18"/>
              </w:rPr>
              <w:t>2,139</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1" w:right="0"/>
              <w:jc w:val="left"/>
              <w:rPr>
                <w:rFonts w:ascii="Times New Roman" w:hAnsi="Times New Roman" w:cs="Times New Roman" w:eastAsia="Times New Roman" w:hint="default"/>
                <w:sz w:val="18"/>
                <w:szCs w:val="18"/>
              </w:rPr>
            </w:pPr>
            <w:r>
              <w:rPr>
                <w:rFonts w:ascii="Times New Roman"/>
                <w:sz w:val="18"/>
              </w:rPr>
              <w:t>147,9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68,34</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9.67</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46,01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0,428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-46,0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10,42</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8.76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 w:right="0"/>
              <w:jc w:val="center"/>
              <w:rPr>
                <w:rFonts w:ascii="Times New Roman" w:hAnsi="Times New Roman" w:cs="Times New Roman" w:eastAsia="Times New Roman" w:hint="default"/>
                <w:sz w:val="18"/>
                <w:szCs w:val="18"/>
              </w:rPr>
            </w:pPr>
            <w:r>
              <w:rPr>
                <w:rFonts w:ascii="Times New Roman"/>
                <w:sz w:val="18"/>
              </w:rPr>
              <w:t>46,01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0,428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2" w:right="0"/>
              <w:jc w:val="left"/>
              <w:rPr>
                <w:rFonts w:ascii="Times New Roman" w:hAnsi="Times New Roman" w:cs="Times New Roman" w:eastAsia="Times New Roman" w:hint="default"/>
                <w:sz w:val="18"/>
                <w:szCs w:val="18"/>
              </w:rPr>
            </w:pPr>
            <w:r>
              <w:rPr>
                <w:rFonts w:ascii="Times New Roman"/>
                <w:sz w:val="18"/>
              </w:rPr>
              <w:t>-46,0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10,42</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8.76</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2" w:right="0"/>
              <w:jc w:val="center"/>
              <w:rPr>
                <w:rFonts w:ascii="Times New Roman" w:hAnsi="Times New Roman" w:cs="Times New Roman" w:eastAsia="Times New Roman" w:hint="default"/>
                <w:sz w:val="18"/>
                <w:szCs w:val="18"/>
              </w:rPr>
            </w:pPr>
            <w:r>
              <w:rPr>
                <w:rFonts w:ascii="Times New Roman"/>
                <w:sz w:val="18"/>
              </w:rPr>
              <w:t>14,73</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2,089</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7"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32,08</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0"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14,73</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2,089</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32,08</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03"/>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03"/>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5"/>
        <w:gridCol w:w="667"/>
        <w:gridCol w:w="662"/>
        <w:gridCol w:w="665"/>
        <w:gridCol w:w="665"/>
        <w:gridCol w:w="665"/>
        <w:gridCol w:w="660"/>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0" w:right="103"/>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712,</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028,</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0,100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46,01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0,428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1,358</w:t>
            </w:r>
          </w:p>
          <w:p>
            <w:pPr>
              <w:pStyle w:val="TableParagraph"/>
              <w:spacing w:line="240" w:lineRule="auto" w:before="105"/>
              <w:ind w:left="90" w:right="0"/>
              <w:jc w:val="center"/>
              <w:rPr>
                <w:rFonts w:ascii="Times New Roman" w:hAnsi="Times New Roman" w:cs="Times New Roman" w:eastAsia="Times New Roman" w:hint="default"/>
                <w:sz w:val="18"/>
                <w:szCs w:val="18"/>
              </w:rPr>
            </w:pPr>
            <w:r>
              <w:rPr>
                <w:rFonts w:ascii="Times New Roman"/>
                <w:sz w:val="18"/>
              </w:rPr>
              <w:t>,868.</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21</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207,5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16,67</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4.80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944,6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12,68</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5.27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88,71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5,750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1,982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,722,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451.2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0"/>
        <w:jc w:val="left"/>
      </w:pPr>
      <w:r>
        <w:rPr/>
        <w:t>上期金额</w:t>
      </w:r>
    </w:p>
    <w:p>
      <w:pPr>
        <w:pStyle w:val="BodyText"/>
        <w:spacing w:line="240" w:lineRule="auto" w:before="11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35"/>
        <w:gridCol w:w="562"/>
        <w:gridCol w:w="533"/>
        <w:gridCol w:w="530"/>
        <w:gridCol w:w="530"/>
        <w:gridCol w:w="665"/>
        <w:gridCol w:w="665"/>
        <w:gridCol w:w="665"/>
        <w:gridCol w:w="665"/>
        <w:gridCol w:w="665"/>
        <w:gridCol w:w="665"/>
        <w:gridCol w:w="677"/>
        <w:gridCol w:w="653"/>
        <w:gridCol w:w="660"/>
      </w:tblGrid>
      <w:tr>
        <w:trPr>
          <w:trHeight w:val="401" w:hRule="exact"/>
        </w:trPr>
        <w:tc>
          <w:tcPr>
            <w:tcW w:w="14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5"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141"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44" w:right="144"/>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435"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3"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3"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1027" w:hRule="exact"/>
        </w:trPr>
        <w:tc>
          <w:tcPr>
            <w:tcW w:w="1435"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8" w:right="17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68" w:right="170"/>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r>
      <w:tr>
        <w:trPr>
          <w:trHeight w:val="133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0"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713,</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648,</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84,78</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6,640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8,601</w:t>
            </w:r>
          </w:p>
          <w:p>
            <w:pPr>
              <w:pStyle w:val="TableParagraph"/>
              <w:spacing w:line="240" w:lineRule="auto" w:before="105"/>
              <w:ind w:left="85" w:right="0"/>
              <w:jc w:val="center"/>
              <w:rPr>
                <w:rFonts w:ascii="Times New Roman" w:hAnsi="Times New Roman" w:cs="Times New Roman" w:eastAsia="Times New Roman" w:hint="default"/>
                <w:sz w:val="18"/>
                <w:szCs w:val="18"/>
              </w:rPr>
            </w:pPr>
            <w:r>
              <w:rPr>
                <w:rFonts w:ascii="Times New Roman"/>
                <w:sz w:val="18"/>
              </w:rPr>
              <w:t>,952.</w:t>
            </w:r>
          </w:p>
          <w:p>
            <w:pPr>
              <w:pStyle w:val="TableParagraph"/>
              <w:spacing w:line="240" w:lineRule="auto" w:before="105"/>
              <w:ind w:left="26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1,988</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175,8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61,87</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8.49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668,1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26,05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6.54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85,10</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9,355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1,720</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,918,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393.3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242"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435"/>
        <w:gridCol w:w="562"/>
        <w:gridCol w:w="533"/>
        <w:gridCol w:w="530"/>
        <w:gridCol w:w="530"/>
        <w:gridCol w:w="665"/>
        <w:gridCol w:w="665"/>
        <w:gridCol w:w="665"/>
        <w:gridCol w:w="665"/>
        <w:gridCol w:w="665"/>
        <w:gridCol w:w="665"/>
        <w:gridCol w:w="677"/>
        <w:gridCol w:w="653"/>
        <w:gridCol w:w="660"/>
      </w:tblGrid>
      <w:tr>
        <w:trPr>
          <w:trHeight w:val="1339"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0"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713,</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648,</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84,78</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6,640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8,601</w:t>
            </w:r>
          </w:p>
          <w:p>
            <w:pPr>
              <w:pStyle w:val="TableParagraph"/>
              <w:spacing w:line="240" w:lineRule="auto" w:before="105"/>
              <w:ind w:left="85" w:right="0"/>
              <w:jc w:val="center"/>
              <w:rPr>
                <w:rFonts w:ascii="Times New Roman" w:hAnsi="Times New Roman" w:cs="Times New Roman" w:eastAsia="Times New Roman" w:hint="default"/>
                <w:sz w:val="18"/>
                <w:szCs w:val="18"/>
              </w:rPr>
            </w:pPr>
            <w:r>
              <w:rPr>
                <w:rFonts w:ascii="Times New Roman"/>
                <w:sz w:val="18"/>
              </w:rPr>
              <w:t>,952.</w:t>
            </w:r>
          </w:p>
          <w:p>
            <w:pPr>
              <w:pStyle w:val="TableParagraph"/>
              <w:spacing w:line="240" w:lineRule="auto" w:before="105"/>
              <w:ind w:left="265"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1,988</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175,8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61,87</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8.49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668,1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26,05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6.54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85,10</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9,355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1,720</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,918,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393.3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133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0"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86,53</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9.49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-8,60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1,952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16,92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2,707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145,7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25,69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6.70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1,467</w:t>
            </w:r>
          </w:p>
          <w:p>
            <w:pPr>
              <w:pStyle w:val="TableParagraph"/>
              <w:spacing w:line="240" w:lineRule="auto" w:before="105"/>
              <w:ind w:left="76" w:right="0"/>
              <w:jc w:val="center"/>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159,8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46,13</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6.93</w:t>
            </w: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0"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162,6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48,40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3.93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1,467</w:t>
            </w:r>
          </w:p>
          <w:p>
            <w:pPr>
              <w:pStyle w:val="TableParagraph"/>
              <w:spacing w:line="240" w:lineRule="auto" w:before="105"/>
              <w:ind w:left="76" w:right="0"/>
              <w:jc w:val="center"/>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163,1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49,92</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4.42</w:t>
            </w:r>
          </w:p>
        </w:tc>
      </w:tr>
      <w:tr>
        <w:trPr>
          <w:trHeight w:val="133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0"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86,53</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9.49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-8,60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1,952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3,787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.49</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100"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53" w:right="0"/>
              <w:jc w:val="center"/>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08,54</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9.29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-8,60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1,952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-3,32</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5,797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.29</w:t>
            </w:r>
          </w:p>
        </w:tc>
      </w:tr>
      <w:tr>
        <w:trPr>
          <w:trHeight w:val="71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9.80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22,00</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9.80</w:t>
            </w: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16,92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2,707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22,70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7.23</w:t>
            </w: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0"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16,92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2,707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22,70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7.23</w:t>
            </w: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435"/>
        <w:gridCol w:w="562"/>
        <w:gridCol w:w="533"/>
        <w:gridCol w:w="530"/>
        <w:gridCol w:w="530"/>
        <w:gridCol w:w="665"/>
        <w:gridCol w:w="665"/>
        <w:gridCol w:w="665"/>
        <w:gridCol w:w="665"/>
        <w:gridCol w:w="665"/>
        <w:gridCol w:w="665"/>
        <w:gridCol w:w="677"/>
        <w:gridCol w:w="653"/>
        <w:gridCol w:w="660"/>
      </w:tblGrid>
      <w:tr>
        <w:trPr>
          <w:trHeight w:val="674"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00" w:right="242"/>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0"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712,</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028,</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0,100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1,022</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,786.</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192,7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84,58</w:t>
            </w:r>
          </w:p>
          <w:p>
            <w:pPr>
              <w:pStyle w:val="TableParagraph"/>
              <w:spacing w:line="240" w:lineRule="auto" w:before="105"/>
              <w:ind w:left="235" w:right="0"/>
              <w:jc w:val="left"/>
              <w:rPr>
                <w:rFonts w:ascii="Times New Roman" w:hAnsi="Times New Roman" w:cs="Times New Roman" w:eastAsia="Times New Roman" w:hint="default"/>
                <w:sz w:val="18"/>
                <w:szCs w:val="18"/>
              </w:rPr>
            </w:pPr>
            <w:r>
              <w:rPr>
                <w:rFonts w:ascii="Times New Roman"/>
                <w:sz w:val="18"/>
              </w:rPr>
              <w:t>5.72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813,8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51,75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3.24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86,57</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6,503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1,880</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,764,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530.3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797"/>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12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13" w:right="12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22"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53"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5" w:right="11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5" w:right="14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5" w:right="14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712,0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89,303,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021.56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192,78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4,585.7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836,9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83,27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1,831,0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99,678.</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19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03"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712,0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89,303,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021.56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192,78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4,585.7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836,9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83,27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1,831,0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99,678.</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797"/>
        <w:gridCol w:w="797"/>
        <w:gridCol w:w="677"/>
        <w:gridCol w:w="780"/>
      </w:tblGrid>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67"/>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46,010,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428.76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14,732,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089.08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132,5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88,80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1.75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101,31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0,462.0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147,3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20,89</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147,32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0,890.8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03"/>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46,010,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428.76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-46,010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,428.76</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46,010,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428.76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-46,010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,428.76</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14,732,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089.08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32,08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14,732,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089.08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32,08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03"/>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03"/>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017" w:header="905" w:top="1100" w:bottom="1200" w:left="1020" w:right="0"/>
          <w:pgNumType w:start="8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797"/>
        <w:gridCol w:w="797"/>
        <w:gridCol w:w="677"/>
        <w:gridCol w:w="780"/>
      </w:tblGrid>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712,0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89,303,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021.56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46,010,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428.76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6,674.8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969,5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72,07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2.66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1,932,4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10,140.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26</w:t>
            </w:r>
          </w:p>
        </w:tc>
      </w:tr>
    </w:tbl>
    <w:p>
      <w:pPr>
        <w:pStyle w:val="BodyText"/>
        <w:spacing w:line="240" w:lineRule="auto" w:before="49"/>
        <w:ind w:right="0"/>
        <w:jc w:val="left"/>
      </w:pPr>
      <w:r>
        <w:rPr/>
        <w:t>上期金额</w:t>
      </w:r>
    </w:p>
    <w:p>
      <w:pPr>
        <w:pStyle w:val="BodyText"/>
        <w:spacing w:line="240" w:lineRule="auto" w:before="117"/>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797"/>
        <w:gridCol w:w="797"/>
        <w:gridCol w:w="677"/>
        <w:gridCol w:w="78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12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13" w:right="12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22"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53"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5" w:right="11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5" w:right="14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5" w:right="14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713,6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99,589,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561.05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8,601,9</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175,86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1,878.4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684,6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78,90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1,665,1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76,393.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42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03"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713,6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99,589,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561.05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8,601,9</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175,86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1,878.4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684,6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78,90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1,665,1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76,393.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42</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67"/>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,200.0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,539.49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-8,601,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707.23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8" w:right="0"/>
              <w:jc w:val="left"/>
              <w:rPr>
                <w:rFonts w:ascii="Times New Roman" w:hAnsi="Times New Roman" w:cs="Times New Roman" w:eastAsia="Times New Roman" w:hint="default"/>
                <w:sz w:val="18"/>
                <w:szCs w:val="18"/>
              </w:rPr>
            </w:pPr>
            <w:r>
              <w:rPr>
                <w:rFonts w:ascii="Times New Roman"/>
                <w:sz w:val="18"/>
              </w:rPr>
              <w:t>152,3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04,36</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165,92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3,284.7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169,2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27,07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169,22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7,072.2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,200.0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-10,286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,539.49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-8,601,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-3,303,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787.49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440"/>
        <w:gridCol w:w="691"/>
        <w:gridCol w:w="665"/>
        <w:gridCol w:w="665"/>
        <w:gridCol w:w="665"/>
        <w:gridCol w:w="797"/>
        <w:gridCol w:w="799"/>
        <w:gridCol w:w="797"/>
        <w:gridCol w:w="797"/>
        <w:gridCol w:w="797"/>
        <w:gridCol w:w="677"/>
        <w:gridCol w:w="780"/>
      </w:tblGrid>
      <w:tr>
        <w:trPr>
          <w:trHeight w:val="36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,200.0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-10,308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,549.29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-8,601,</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952.00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-3,325,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797.29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3" w:right="0"/>
              <w:jc w:val="left"/>
              <w:rPr>
                <w:rFonts w:ascii="Times New Roman" w:hAnsi="Times New Roman" w:cs="Times New Roman" w:eastAsia="Times New Roman" w:hint="default"/>
                <w:sz w:val="18"/>
                <w:szCs w:val="18"/>
              </w:rPr>
            </w:pPr>
            <w:r>
              <w:rPr>
                <w:rFonts w:ascii="Times New Roman"/>
                <w:sz w:val="18"/>
              </w:rPr>
              <w:t>22,009.</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7" w:right="0"/>
              <w:jc w:val="left"/>
              <w:rPr>
                <w:rFonts w:ascii="Times New Roman" w:hAnsi="Times New Roman" w:cs="Times New Roman" w:eastAsia="Times New Roman" w:hint="default"/>
                <w:sz w:val="18"/>
                <w:szCs w:val="18"/>
              </w:rPr>
            </w:pPr>
            <w:r>
              <w:rPr>
                <w:rFonts w:ascii="Times New Roman"/>
                <w:sz w:val="18"/>
              </w:rPr>
              <w:t>22,009.</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80</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707.23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22,70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7.23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16,922,</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707.23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9" w:right="0"/>
              <w:jc w:val="left"/>
              <w:rPr>
                <w:rFonts w:ascii="Times New Roman" w:hAnsi="Times New Roman" w:cs="Times New Roman" w:eastAsia="Times New Roman" w:hint="default"/>
                <w:sz w:val="18"/>
                <w:szCs w:val="18"/>
              </w:rPr>
            </w:pPr>
            <w:r>
              <w:rPr>
                <w:rFonts w:ascii="Times New Roman"/>
                <w:sz w:val="18"/>
              </w:rPr>
              <w:t>-16,9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22,70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7.23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03"/>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03"/>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0" w:right="103"/>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712,0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28,80</w:t>
            </w:r>
          </w:p>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89,303,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021.56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192,78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4,585.7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836,9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83,27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1,831,0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99,678.</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033"/>
        <w:jc w:val="left"/>
      </w:pPr>
      <w:r>
        <w:rPr/>
        <w:t>1、公司概况 恒宝股份有限公司（以下简称</w:t>
      </w:r>
      <w:r>
        <w:rPr>
          <w:rFonts w:ascii="Times New Roman" w:hAnsi="Times New Roman" w:cs="Times New Roman" w:eastAsia="Times New Roman" w:hint="default"/>
        </w:rPr>
        <w:t>“</w:t>
      </w:r>
      <w:r>
        <w:rPr/>
        <w:t>恒宝股份</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）前身系江苏恒宝实业发展有限公司，经江苏省人民政府于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日以苏政复</w:t>
      </w:r>
      <w:r>
        <w:rPr>
          <w:rFonts w:ascii="Times New Roman" w:hAnsi="Times New Roman" w:cs="Times New Roman" w:eastAsia="Times New Roman" w:hint="default"/>
          <w:spacing w:val="-2"/>
        </w:rPr>
        <w:t>[2000]187</w:t>
      </w:r>
      <w:r>
        <w:rPr>
          <w:spacing w:val="-2"/>
        </w:rPr>
        <w:t>号文批准依法整体变更为江苏恒宝股份有限公司，设立时股本为人民币</w:t>
      </w:r>
      <w:r>
        <w:rPr>
          <w:rFonts w:ascii="Times New Roman" w:hAnsi="Times New Roman" w:cs="Times New Roman" w:eastAsia="Times New Roman" w:hint="default"/>
          <w:spacing w:val="-2"/>
        </w:rPr>
        <w:t>4,000</w:t>
      </w:r>
      <w:r>
        <w:rPr>
          <w:spacing w:val="-2"/>
        </w:rPr>
        <w:t>万元，由钱云宝等</w:t>
      </w:r>
      <w:r>
        <w:rPr>
          <w:rFonts w:ascii="Times New Roman" w:hAnsi="Times New Roman" w:cs="Times New Roman" w:eastAsia="Times New Roman" w:hint="default"/>
          <w:spacing w:val="-2"/>
        </w:rPr>
        <w:t>7</w:t>
      </w:r>
      <w:r>
        <w:rPr>
          <w:spacing w:val="-2"/>
        </w:rPr>
        <w:t>位自然</w:t>
      </w:r>
      <w:r>
        <w:rPr>
          <w:spacing w:val="-38"/>
        </w:rPr>
        <w:t> </w:t>
      </w:r>
      <w:r>
        <w:rPr/>
        <w:t>人共同发起设立。公司于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日取得江苏省工商行政管理局核发注册号为</w:t>
      </w:r>
      <w:r>
        <w:rPr>
          <w:rFonts w:ascii="Times New Roman" w:hAnsi="Times New Roman" w:cs="Times New Roman" w:eastAsia="Times New Roman" w:hint="default"/>
        </w:rPr>
        <w:t>320000000038812</w:t>
      </w:r>
      <w:r>
        <w:rPr/>
        <w:t>的企业法人营业执照。</w:t>
      </w:r>
      <w:r>
        <w:rPr>
          <w:spacing w:val="-18"/>
        </w:rPr>
        <w:t> </w:t>
      </w:r>
      <w:r>
        <w:rPr>
          <w:spacing w:val="-18"/>
        </w:rPr>
      </w:r>
      <w:r>
        <w:rPr>
          <w:rFonts w:ascii="Times New Roman" w:hAnsi="Times New Roman" w:cs="Times New Roman" w:eastAsia="Times New Roman" w:hint="default"/>
        </w:rPr>
        <w:t>2007</w:t>
      </w:r>
      <w:r>
        <w:rPr/>
        <w:t>年公司更名为恒宝股份有限公司。</w:t>
      </w:r>
    </w:p>
    <w:p>
      <w:pPr>
        <w:spacing w:line="240" w:lineRule="auto" w:before="7"/>
        <w:rPr>
          <w:rFonts w:ascii="宋体" w:hAnsi="宋体" w:cs="宋体" w:eastAsia="宋体" w:hint="default"/>
          <w:sz w:val="24"/>
          <w:szCs w:val="24"/>
        </w:rPr>
      </w:pPr>
    </w:p>
    <w:p>
      <w:pPr>
        <w:pStyle w:val="BodyText"/>
        <w:spacing w:line="300" w:lineRule="auto"/>
        <w:ind w:right="1132"/>
        <w:jc w:val="both"/>
      </w:pPr>
      <w:r>
        <w:rPr>
          <w:spacing w:val="-2"/>
        </w:rPr>
        <w:t>根据</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日公司</w:t>
      </w:r>
      <w:r>
        <w:rPr>
          <w:rFonts w:ascii="Times New Roman" w:hAnsi="Times New Roman" w:cs="Times New Roman" w:eastAsia="Times New Roman" w:hint="default"/>
          <w:spacing w:val="-2"/>
        </w:rPr>
        <w:t>2004</w:t>
      </w:r>
      <w:r>
        <w:rPr>
          <w:spacing w:val="-2"/>
        </w:rPr>
        <w:t>年第一次临时股东大会决议，原股东张义荣、徐钦鸿、钱科文和陈玉涛将其持有公司的部分股权</w:t>
      </w:r>
      <w:r>
        <w:rPr>
          <w:spacing w:val="-60"/>
        </w:rPr>
        <w:t> </w:t>
      </w:r>
      <w:r>
        <w:rPr>
          <w:spacing w:val="-60"/>
        </w:rPr>
      </w:r>
      <w:r>
        <w:rPr/>
        <w:t>转让给江浩然、潘梅芳和曹志新。股权转让后公司注册资本仍为人民币</w:t>
      </w:r>
      <w:r>
        <w:rPr>
          <w:rFonts w:ascii="Times New Roman" w:hAnsi="Times New Roman" w:cs="Times New Roman" w:eastAsia="Times New Roman" w:hint="default"/>
        </w:rPr>
        <w:t>4,000</w:t>
      </w:r>
      <w:r>
        <w:rPr/>
        <w:t>万元，钱云宝等</w:t>
      </w:r>
      <w:r>
        <w:rPr>
          <w:rFonts w:ascii="Times New Roman" w:hAnsi="Times New Roman" w:cs="Times New Roman" w:eastAsia="Times New Roman" w:hint="default"/>
        </w:rPr>
        <w:t>6</w:t>
      </w:r>
      <w:r>
        <w:rPr/>
        <w:t>位自然人为股东。</w:t>
      </w:r>
    </w:p>
    <w:p>
      <w:pPr>
        <w:spacing w:line="240" w:lineRule="auto" w:before="11"/>
        <w:rPr>
          <w:rFonts w:ascii="宋体" w:hAnsi="宋体" w:cs="宋体" w:eastAsia="宋体" w:hint="default"/>
          <w:sz w:val="24"/>
          <w:szCs w:val="24"/>
        </w:rPr>
      </w:pPr>
    </w:p>
    <w:p>
      <w:pPr>
        <w:pStyle w:val="BodyText"/>
        <w:spacing w:line="300" w:lineRule="auto"/>
        <w:ind w:right="1131"/>
        <w:jc w:val="both"/>
      </w:pPr>
      <w:r>
        <w:rPr/>
        <w:t>根据公司</w:t>
      </w:r>
      <w:r>
        <w:rPr>
          <w:rFonts w:ascii="Times New Roman" w:hAnsi="Times New Roman" w:cs="Times New Roman" w:eastAsia="Times New Roman" w:hint="default"/>
        </w:rPr>
        <w:t>2004</w:t>
      </w:r>
      <w:r>
        <w:rPr/>
        <w:t>年度股东大会决议和修改后章程的规定，并经江苏省人民政府于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日以苏政复</w:t>
      </w:r>
      <w:r>
        <w:rPr>
          <w:rFonts w:ascii="Times New Roman" w:hAnsi="Times New Roman" w:cs="Times New Roman" w:eastAsia="Times New Roman" w:hint="default"/>
        </w:rPr>
        <w:t>[2005]45</w:t>
      </w:r>
      <w:r>
        <w:rPr/>
        <w:t>号《关于同</w:t>
      </w:r>
      <w:r>
        <w:rPr>
          <w:spacing w:val="-41"/>
        </w:rPr>
        <w:t> </w:t>
      </w:r>
      <w:r>
        <w:rPr>
          <w:spacing w:val="-41"/>
        </w:rPr>
      </w:r>
      <w:r>
        <w:rPr/>
        <w:t>意江苏恒宝股份有限公司增资扩股批复》同意，公司将</w:t>
      </w:r>
      <w:r>
        <w:rPr>
          <w:rFonts w:ascii="Times New Roman" w:hAnsi="Times New Roman" w:cs="Times New Roman" w:eastAsia="Times New Roman" w:hint="default"/>
        </w:rPr>
        <w:t>2004</w:t>
      </w:r>
      <w:r>
        <w:rPr/>
        <w:t>年度实际未分配利润，以</w:t>
      </w:r>
      <w:r>
        <w:rPr>
          <w:rFonts w:ascii="Times New Roman" w:hAnsi="Times New Roman" w:cs="Times New Roman" w:eastAsia="Times New Roman" w:hint="default"/>
        </w:rPr>
        <w:t>2004</w:t>
      </w:r>
      <w:r>
        <w:rPr/>
        <w:t>年末</w:t>
      </w:r>
      <w:r>
        <w:rPr>
          <w:rFonts w:ascii="Times New Roman" w:hAnsi="Times New Roman" w:cs="Times New Roman" w:eastAsia="Times New Roman" w:hint="default"/>
        </w:rPr>
        <w:t>4,000</w:t>
      </w:r>
      <w:r>
        <w:rPr/>
        <w:t>万元股本为基数按每</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股送</w:t>
      </w:r>
      <w:r>
        <w:rPr>
          <w:rFonts w:ascii="Times New Roman" w:hAnsi="Times New Roman" w:cs="Times New Roman" w:eastAsia="Times New Roman" w:hint="default"/>
        </w:rPr>
        <w:t>8</w:t>
      </w:r>
      <w:r>
        <w:rPr/>
        <w:t>股转增资本人民币</w:t>
      </w:r>
      <w:r>
        <w:rPr>
          <w:rFonts w:ascii="Times New Roman" w:hAnsi="Times New Roman" w:cs="Times New Roman" w:eastAsia="Times New Roman" w:hint="default"/>
        </w:rPr>
        <w:t>3,200</w:t>
      </w:r>
      <w:r>
        <w:rPr/>
        <w:t>万元，变更后的注册资本为人民币</w:t>
      </w:r>
      <w:r>
        <w:rPr>
          <w:rFonts w:ascii="Times New Roman" w:hAnsi="Times New Roman" w:cs="Times New Roman" w:eastAsia="Times New Roman" w:hint="default"/>
        </w:rPr>
        <w:t>7,200</w:t>
      </w:r>
      <w:r>
        <w:rPr/>
        <w:t>万元。股东仍为钱云宝等</w:t>
      </w:r>
      <w:r>
        <w:rPr>
          <w:rFonts w:ascii="Times New Roman" w:hAnsi="Times New Roman" w:cs="Times New Roman" w:eastAsia="Times New Roman" w:hint="default"/>
        </w:rPr>
        <w:t>6</w:t>
      </w:r>
      <w:r>
        <w:rPr/>
        <w:t>位自然人。</w:t>
      </w:r>
    </w:p>
    <w:p>
      <w:pPr>
        <w:spacing w:line="240" w:lineRule="auto" w:before="11"/>
        <w:rPr>
          <w:rFonts w:ascii="宋体" w:hAnsi="宋体" w:cs="宋体" w:eastAsia="宋体" w:hint="default"/>
          <w:sz w:val="24"/>
          <w:szCs w:val="24"/>
        </w:rPr>
      </w:pPr>
    </w:p>
    <w:p>
      <w:pPr>
        <w:pStyle w:val="BodyText"/>
        <w:spacing w:line="300" w:lineRule="auto"/>
        <w:ind w:right="1129"/>
        <w:jc w:val="both"/>
      </w:pPr>
      <w:r>
        <w:rPr/>
        <w:t>根据公司</w:t>
      </w:r>
      <w:r>
        <w:rPr>
          <w:rFonts w:ascii="Times New Roman" w:hAnsi="Times New Roman" w:cs="Times New Roman" w:eastAsia="Times New Roman" w:hint="default"/>
        </w:rPr>
        <w:t>2005</w:t>
      </w:r>
      <w:r>
        <w:rPr/>
        <w:t>年度股东大会决议和修改后章程的规定，公司将</w:t>
      </w:r>
      <w:r>
        <w:rPr>
          <w:rFonts w:ascii="Times New Roman" w:hAnsi="Times New Roman" w:cs="Times New Roman" w:eastAsia="Times New Roman" w:hint="default"/>
        </w:rPr>
        <w:t>2005</w:t>
      </w:r>
      <w:r>
        <w:rPr/>
        <w:t>年度实际未分配利润，以</w:t>
      </w:r>
      <w:r>
        <w:rPr>
          <w:rFonts w:ascii="Times New Roman" w:hAnsi="Times New Roman" w:cs="Times New Roman" w:eastAsia="Times New Roman" w:hint="default"/>
        </w:rPr>
        <w:t>2005</w:t>
      </w:r>
      <w:r>
        <w:rPr/>
        <w:t>年末</w:t>
      </w:r>
      <w:r>
        <w:rPr>
          <w:rFonts w:ascii="Times New Roman" w:hAnsi="Times New Roman" w:cs="Times New Roman" w:eastAsia="Times New Roman" w:hint="default"/>
        </w:rPr>
        <w:t>7,200</w:t>
      </w:r>
      <w:r>
        <w:rPr/>
        <w:t>万元股本为基数</w:t>
      </w:r>
      <w:r>
        <w:rPr>
          <w:spacing w:val="-53"/>
        </w:rPr>
        <w:t> </w:t>
      </w:r>
      <w:r>
        <w:rPr>
          <w:spacing w:val="-53"/>
        </w:rPr>
      </w:r>
      <w:r>
        <w:rPr/>
        <w:t>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股转增注册资本人民币</w:t>
      </w:r>
      <w:r>
        <w:rPr>
          <w:rFonts w:ascii="Times New Roman" w:hAnsi="Times New Roman" w:cs="Times New Roman" w:eastAsia="Times New Roman" w:hint="default"/>
        </w:rPr>
        <w:t>1,440</w:t>
      </w:r>
      <w:r>
        <w:rPr/>
        <w:t>万元，变更后的注册资本为人民币</w:t>
      </w:r>
      <w:r>
        <w:rPr>
          <w:rFonts w:ascii="Times New Roman" w:hAnsi="Times New Roman" w:cs="Times New Roman" w:eastAsia="Times New Roman" w:hint="default"/>
        </w:rPr>
        <w:t>8,640</w:t>
      </w:r>
      <w:r>
        <w:rPr/>
        <w:t>万元。股东仍为钱云宝等</w:t>
      </w:r>
      <w:r>
        <w:rPr>
          <w:rFonts w:ascii="Times New Roman" w:hAnsi="Times New Roman" w:cs="Times New Roman" w:eastAsia="Times New Roman" w:hint="default"/>
        </w:rPr>
        <w:t>6</w:t>
      </w:r>
      <w:r>
        <w:rPr/>
        <w:t>位自然人。</w:t>
      </w:r>
    </w:p>
    <w:p>
      <w:pPr>
        <w:spacing w:line="240" w:lineRule="auto" w:before="11"/>
        <w:rPr>
          <w:rFonts w:ascii="宋体" w:hAnsi="宋体" w:cs="宋体" w:eastAsia="宋体" w:hint="default"/>
          <w:sz w:val="24"/>
          <w:szCs w:val="24"/>
        </w:rPr>
      </w:pPr>
    </w:p>
    <w:p>
      <w:pPr>
        <w:pStyle w:val="BodyText"/>
        <w:spacing w:line="300" w:lineRule="auto"/>
        <w:ind w:right="1129"/>
        <w:jc w:val="both"/>
      </w:pPr>
      <w:r>
        <w:rPr/>
        <w:t>根据公司</w:t>
      </w:r>
      <w:r>
        <w:rPr>
          <w:rFonts w:ascii="Times New Roman" w:hAnsi="Times New Roman" w:cs="Times New Roman" w:eastAsia="Times New Roman" w:hint="default"/>
        </w:rPr>
        <w:t>2005</w:t>
      </w:r>
      <w:r>
        <w:rPr/>
        <w:t>年度股东大会决议，并经中国证券监督管理委员会证监发行字</w:t>
      </w:r>
      <w:r>
        <w:rPr>
          <w:rFonts w:ascii="Times New Roman" w:hAnsi="Times New Roman" w:cs="Times New Roman" w:eastAsia="Times New Roman" w:hint="default"/>
        </w:rPr>
        <w:t>[2006]157</w:t>
      </w:r>
      <w:r>
        <w:rPr/>
        <w:t>号文核准，公司于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日向</w:t>
      </w:r>
      <w:r>
        <w:rPr>
          <w:spacing w:val="-37"/>
        </w:rPr>
        <w:t> </w:t>
      </w:r>
      <w:r>
        <w:rPr>
          <w:spacing w:val="-37"/>
        </w:rPr>
      </w:r>
      <w:r>
        <w:rPr/>
        <w:t>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2,880</w:t>
      </w:r>
      <w:r>
        <w:rPr/>
        <w:t>万股</w:t>
      </w:r>
      <w:r>
        <w:rPr>
          <w:rFonts w:ascii="Times New Roman" w:hAnsi="Times New Roman" w:cs="Times New Roman" w:eastAsia="Times New Roman" w:hint="default"/>
        </w:rPr>
        <w:t>,</w:t>
      </w:r>
      <w:r>
        <w:rPr/>
        <w:t>变更后的注册资本为人民币</w:t>
      </w:r>
      <w:r>
        <w:rPr>
          <w:rFonts w:ascii="Times New Roman" w:hAnsi="Times New Roman" w:cs="Times New Roman" w:eastAsia="Times New Roman" w:hint="default"/>
        </w:rPr>
        <w:t>11,520</w:t>
      </w:r>
      <w:r>
        <w:rPr/>
        <w:t>万元。公司于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日在深圳证券交 易所上市，股票代码：</w:t>
      </w:r>
      <w:r>
        <w:rPr>
          <w:rFonts w:ascii="Times New Roman" w:hAnsi="Times New Roman" w:cs="Times New Roman" w:eastAsia="Times New Roman" w:hint="default"/>
        </w:rPr>
        <w:t>002104</w:t>
      </w:r>
      <w:r>
        <w:rPr/>
        <w:t>。所属行业为计算机、通信和其他电子设备制造业。</w:t>
      </w:r>
    </w:p>
    <w:p>
      <w:pPr>
        <w:spacing w:line="240" w:lineRule="auto" w:before="11"/>
        <w:rPr>
          <w:rFonts w:ascii="宋体" w:hAnsi="宋体" w:cs="宋体" w:eastAsia="宋体" w:hint="default"/>
          <w:sz w:val="24"/>
          <w:szCs w:val="24"/>
        </w:rPr>
      </w:pPr>
    </w:p>
    <w:p>
      <w:pPr>
        <w:pStyle w:val="BodyText"/>
        <w:spacing w:line="300" w:lineRule="auto"/>
        <w:ind w:right="1131"/>
        <w:jc w:val="both"/>
      </w:pPr>
      <w:r>
        <w:rPr>
          <w:spacing w:val="-3"/>
        </w:rPr>
        <w:t>根据公司</w:t>
      </w:r>
      <w:r>
        <w:rPr>
          <w:rFonts w:ascii="Times New Roman" w:hAnsi="Times New Roman" w:cs="Times New Roman" w:eastAsia="Times New Roman" w:hint="default"/>
          <w:spacing w:val="-3"/>
        </w:rPr>
        <w:t>2006</w:t>
      </w:r>
      <w:r>
        <w:rPr>
          <w:spacing w:val="-3"/>
        </w:rPr>
        <w:t>年度股东会决议和修改后的章程规定，公司将资本公积按每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股的比例转增股本，转增基准日期为</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19,584</w:t>
      </w:r>
      <w:r>
        <w:rPr/>
        <w:t>万元。</w:t>
      </w:r>
    </w:p>
    <w:p>
      <w:pPr>
        <w:spacing w:line="240" w:lineRule="auto" w:before="11"/>
        <w:rPr>
          <w:rFonts w:ascii="宋体" w:hAnsi="宋体" w:cs="宋体" w:eastAsia="宋体" w:hint="default"/>
          <w:sz w:val="24"/>
          <w:szCs w:val="24"/>
        </w:rPr>
      </w:pPr>
    </w:p>
    <w:p>
      <w:pPr>
        <w:pStyle w:val="BodyText"/>
        <w:spacing w:line="300" w:lineRule="auto"/>
        <w:ind w:right="1131"/>
        <w:jc w:val="both"/>
      </w:pPr>
      <w:r>
        <w:rPr>
          <w:spacing w:val="-3"/>
        </w:rPr>
        <w:t>根据公司</w:t>
      </w:r>
      <w:r>
        <w:rPr>
          <w:rFonts w:ascii="Times New Roman" w:hAnsi="Times New Roman" w:cs="Times New Roman" w:eastAsia="Times New Roman" w:hint="default"/>
          <w:spacing w:val="-3"/>
        </w:rPr>
        <w:t>2007</w:t>
      </w:r>
      <w:r>
        <w:rPr>
          <w:spacing w:val="-3"/>
        </w:rPr>
        <w:t>年度股东会决议和修改后的章程规定，公司将资本公积按每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股的比例转增股本，转增基准日期为</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29,376</w:t>
      </w:r>
      <w:r>
        <w:rPr/>
        <w:t>万元。</w:t>
      </w:r>
    </w:p>
    <w:p>
      <w:pPr>
        <w:spacing w:line="240" w:lineRule="auto" w:before="11"/>
        <w:rPr>
          <w:rFonts w:ascii="宋体" w:hAnsi="宋体" w:cs="宋体" w:eastAsia="宋体" w:hint="default"/>
          <w:sz w:val="24"/>
          <w:szCs w:val="24"/>
        </w:rPr>
      </w:pPr>
    </w:p>
    <w:p>
      <w:pPr>
        <w:pStyle w:val="BodyText"/>
        <w:spacing w:line="300" w:lineRule="auto"/>
        <w:ind w:right="1132"/>
        <w:jc w:val="both"/>
      </w:pPr>
      <w:r>
        <w:rPr/>
        <w:t>根据公司</w:t>
      </w:r>
      <w:r>
        <w:rPr>
          <w:rFonts w:ascii="Times New Roman" w:hAnsi="Times New Roman" w:cs="Times New Roman" w:eastAsia="Times New Roman" w:hint="default"/>
        </w:rPr>
        <w:t>2009</w:t>
      </w:r>
      <w:r>
        <w:rPr/>
        <w:t>年度股东大会决议和修改后章程的规定，公司以</w:t>
      </w:r>
      <w:r>
        <w:rPr>
          <w:rFonts w:ascii="Times New Roman" w:hAnsi="Times New Roman" w:cs="Times New Roman" w:eastAsia="Times New Roman" w:hint="default"/>
        </w:rPr>
        <w:t>2009</w:t>
      </w:r>
      <w:r>
        <w:rPr/>
        <w:t>年末</w:t>
      </w:r>
      <w:r>
        <w:rPr>
          <w:rFonts w:ascii="Times New Roman" w:hAnsi="Times New Roman" w:cs="Times New Roman" w:eastAsia="Times New Roman" w:hint="default"/>
        </w:rPr>
        <w:t>29,376</w:t>
      </w:r>
      <w:r>
        <w:rPr/>
        <w:t>万元股本为基数按每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5</w:t>
      </w:r>
      <w:r>
        <w:rPr/>
        <w:t>股转增注册资本</w:t>
      </w:r>
      <w:r>
        <w:rPr>
          <w:spacing w:val="-54"/>
        </w:rPr>
        <w:t> </w:t>
      </w:r>
      <w:r>
        <w:rPr>
          <w:spacing w:val="-54"/>
        </w:rPr>
      </w:r>
      <w:r>
        <w:rPr/>
        <w:t>人民币</w:t>
      </w:r>
      <w:r>
        <w:rPr>
          <w:rFonts w:ascii="Times New Roman" w:hAnsi="Times New Roman" w:cs="Times New Roman" w:eastAsia="Times New Roman" w:hint="default"/>
        </w:rPr>
        <w:t>14,688</w:t>
      </w:r>
      <w:r>
        <w:rPr/>
        <w:t>万元，公司申请增加注册资本人民币</w:t>
      </w:r>
      <w:r>
        <w:rPr>
          <w:rFonts w:ascii="Times New Roman" w:hAnsi="Times New Roman" w:cs="Times New Roman" w:eastAsia="Times New Roman" w:hint="default"/>
        </w:rPr>
        <w:t>14,688</w:t>
      </w:r>
      <w:r>
        <w:rPr/>
        <w:t>万元，变更后的注册资本人民币</w:t>
      </w:r>
      <w:r>
        <w:rPr>
          <w:rFonts w:ascii="Times New Roman" w:hAnsi="Times New Roman" w:cs="Times New Roman" w:eastAsia="Times New Roman" w:hint="default"/>
        </w:rPr>
        <w:t>44,064</w:t>
      </w:r>
      <w:r>
        <w:rPr/>
        <w:t>万元。</w:t>
      </w:r>
    </w:p>
    <w:p>
      <w:pPr>
        <w:spacing w:line="240" w:lineRule="auto" w:before="11"/>
        <w:rPr>
          <w:rFonts w:ascii="宋体" w:hAnsi="宋体" w:cs="宋体" w:eastAsia="宋体" w:hint="default"/>
          <w:sz w:val="24"/>
          <w:szCs w:val="24"/>
        </w:rPr>
      </w:pPr>
    </w:p>
    <w:p>
      <w:pPr>
        <w:pStyle w:val="BodyText"/>
        <w:spacing w:line="300" w:lineRule="auto"/>
        <w:ind w:right="1132"/>
        <w:jc w:val="both"/>
      </w:pPr>
      <w:r>
        <w:rPr/>
        <w:t>根据公司</w:t>
      </w:r>
      <w:r>
        <w:rPr>
          <w:rFonts w:ascii="Times New Roman" w:hAnsi="Times New Roman" w:cs="Times New Roman" w:eastAsia="Times New Roman" w:hint="default"/>
        </w:rPr>
        <w:t>2013</w:t>
      </w:r>
      <w:r>
        <w:rPr/>
        <w:t>年度股东大会决议和修改后章程的规定，公司以</w:t>
      </w:r>
      <w:r>
        <w:rPr>
          <w:rFonts w:ascii="Times New Roman" w:hAnsi="Times New Roman" w:cs="Times New Roman" w:eastAsia="Times New Roman" w:hint="default"/>
        </w:rPr>
        <w:t>2013</w:t>
      </w:r>
      <w:r>
        <w:rPr/>
        <w:t>年末</w:t>
      </w:r>
      <w:r>
        <w:rPr>
          <w:rFonts w:ascii="Times New Roman" w:hAnsi="Times New Roman" w:cs="Times New Roman" w:eastAsia="Times New Roman" w:hint="default"/>
        </w:rPr>
        <w:t>44,064</w:t>
      </w:r>
      <w:r>
        <w:rPr/>
        <w:t>万元股本为基数按每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6</w:t>
      </w:r>
      <w:r>
        <w:rPr/>
        <w:t>股转增注册资本</w:t>
      </w:r>
      <w:r>
        <w:rPr>
          <w:spacing w:val="-54"/>
        </w:rPr>
        <w:t> </w:t>
      </w:r>
      <w:r>
        <w:rPr>
          <w:spacing w:val="-54"/>
        </w:rPr>
      </w:r>
      <w:r>
        <w:rPr/>
        <w:t>人民币</w:t>
      </w:r>
      <w:r>
        <w:rPr>
          <w:rFonts w:ascii="Times New Roman" w:hAnsi="Times New Roman" w:cs="Times New Roman" w:eastAsia="Times New Roman" w:hint="default"/>
        </w:rPr>
        <w:t>26,438.40</w:t>
      </w:r>
      <w:r>
        <w:rPr/>
        <w:t>万元，贵公司申请增加注册资本人民币</w:t>
      </w:r>
      <w:r>
        <w:rPr>
          <w:rFonts w:ascii="Times New Roman" w:hAnsi="Times New Roman" w:cs="Times New Roman" w:eastAsia="Times New Roman" w:hint="default"/>
        </w:rPr>
        <w:t>26,438.40</w:t>
      </w:r>
      <w:r>
        <w:rPr/>
        <w:t>万元，变更后的注册资本人民币</w:t>
      </w:r>
      <w:r>
        <w:rPr>
          <w:rFonts w:ascii="Times New Roman" w:hAnsi="Times New Roman" w:cs="Times New Roman" w:eastAsia="Times New Roman" w:hint="default"/>
        </w:rPr>
        <w:t>70,502.40</w:t>
      </w:r>
      <w:r>
        <w:rPr/>
        <w:t>万元。</w:t>
      </w:r>
    </w:p>
    <w:p>
      <w:pPr>
        <w:spacing w:line="240" w:lineRule="auto" w:before="11"/>
        <w:rPr>
          <w:rFonts w:ascii="宋体" w:hAnsi="宋体" w:cs="宋体" w:eastAsia="宋体" w:hint="default"/>
          <w:sz w:val="24"/>
          <w:szCs w:val="24"/>
        </w:rPr>
      </w:pPr>
    </w:p>
    <w:p>
      <w:pPr>
        <w:pStyle w:val="BodyText"/>
        <w:spacing w:line="300" w:lineRule="auto"/>
        <w:ind w:right="1132"/>
        <w:jc w:val="both"/>
      </w:pPr>
      <w:r>
        <w:rPr>
          <w:spacing w:val="-2"/>
        </w:rPr>
        <w:t>根据公司</w:t>
      </w:r>
      <w:r>
        <w:rPr>
          <w:rFonts w:ascii="Times New Roman" w:hAnsi="Times New Roman" w:cs="Times New Roman" w:eastAsia="Times New Roman" w:hint="default"/>
          <w:spacing w:val="-2"/>
        </w:rPr>
        <w:t>2014</w:t>
      </w:r>
      <w:r>
        <w:rPr>
          <w:spacing w:val="-2"/>
        </w:rPr>
        <w:t>年第一次临时股东大会决议和股票期权与限制性股票激励计划规定，公司向激励对象定向发行有限售条件的流</w:t>
      </w:r>
      <w:r>
        <w:rPr>
          <w:spacing w:val="-62"/>
        </w:rPr>
        <w:t> </w:t>
      </w:r>
      <w:r>
        <w:rPr>
          <w:spacing w:val="-62"/>
        </w:rPr>
      </w:r>
      <w:r>
        <w:rPr/>
        <w:t>通股，增加注册资本人民币</w:t>
      </w:r>
      <w:r>
        <w:rPr>
          <w:rFonts w:ascii="Times New Roman" w:hAnsi="Times New Roman" w:cs="Times New Roman" w:eastAsia="Times New Roman" w:hint="default"/>
        </w:rPr>
        <w:t>817.60</w:t>
      </w:r>
      <w:r>
        <w:rPr/>
        <w:t>万元，变更后的注册资本人民币</w:t>
      </w:r>
      <w:r>
        <w:rPr>
          <w:rFonts w:ascii="Times New Roman" w:hAnsi="Times New Roman" w:cs="Times New Roman" w:eastAsia="Times New Roman" w:hint="default"/>
        </w:rPr>
        <w:t>71,320</w:t>
      </w:r>
      <w:r>
        <w:rPr/>
        <w:t>万元。</w:t>
      </w:r>
    </w:p>
    <w:p>
      <w:pPr>
        <w:spacing w:line="240" w:lineRule="auto" w:before="11"/>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月，公司因股票期权首次行权增加股本</w:t>
      </w:r>
      <w:r>
        <w:rPr>
          <w:rFonts w:ascii="Times New Roman" w:hAnsi="Times New Roman" w:cs="Times New Roman" w:eastAsia="Times New Roman" w:hint="default"/>
        </w:rPr>
        <w:t>34.40</w:t>
      </w:r>
      <w:r>
        <w:rPr/>
        <w:t>万股，变更后的股本总数为</w:t>
      </w:r>
      <w:r>
        <w:rPr>
          <w:rFonts w:ascii="Times New Roman" w:hAnsi="Times New Roman" w:cs="Times New Roman" w:eastAsia="Times New Roman" w:hint="default"/>
        </w:rPr>
        <w:t>71,354.40</w:t>
      </w:r>
      <w:r>
        <w:rPr/>
        <w:t>万股。</w:t>
      </w:r>
    </w:p>
    <w:p>
      <w:pPr>
        <w:spacing w:line="240" w:lineRule="auto" w:before="0"/>
        <w:rPr>
          <w:rFonts w:ascii="宋体" w:hAnsi="宋体" w:cs="宋体" w:eastAsia="宋体" w:hint="default"/>
          <w:sz w:val="18"/>
          <w:szCs w:val="18"/>
        </w:rPr>
      </w:pPr>
    </w:p>
    <w:p>
      <w:pPr>
        <w:pStyle w:val="BodyText"/>
        <w:spacing w:line="240" w:lineRule="auto" w:before="139"/>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4</w:t>
      </w:r>
      <w:r>
        <w:rPr>
          <w:spacing w:val="-4"/>
        </w:rPr>
        <w:t>月，公司因部分员工离职，回购并注销限制性股票</w:t>
      </w:r>
      <w:r>
        <w:rPr>
          <w:rFonts w:ascii="Times New Roman" w:hAnsi="Times New Roman" w:cs="Times New Roman" w:eastAsia="Times New Roman" w:hint="default"/>
          <w:spacing w:val="-4"/>
        </w:rPr>
        <w:t>4</w:t>
      </w:r>
      <w:r>
        <w:rPr>
          <w:spacing w:val="-4"/>
        </w:rPr>
        <w:t>万股；</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8</w:t>
      </w:r>
      <w:r>
        <w:rPr>
          <w:spacing w:val="-4"/>
        </w:rPr>
        <w:t>月，公司因股票期权第二次行权增加股本数量</w:t>
      </w:r>
      <w:r>
        <w:rPr>
          <w:rFonts w:ascii="Times New Roman" w:hAnsi="Times New Roman" w:cs="Times New Roman" w:eastAsia="Times New Roman" w:hint="default"/>
          <w:spacing w:val="-4"/>
        </w:rPr>
        <w:t>14.40</w:t>
      </w:r>
    </w:p>
    <w:p>
      <w:pPr>
        <w:pStyle w:val="BodyText"/>
        <w:spacing w:line="240" w:lineRule="auto" w:before="62"/>
        <w:ind w:right="0"/>
        <w:jc w:val="both"/>
      </w:pPr>
      <w:r>
        <w:rPr/>
        <w:t>万股，变更后的股本总数为</w:t>
      </w:r>
      <w:r>
        <w:rPr>
          <w:rFonts w:ascii="Times New Roman" w:hAnsi="Times New Roman" w:cs="Times New Roman" w:eastAsia="Times New Roman" w:hint="default"/>
        </w:rPr>
        <w:t>71,364.80</w:t>
      </w:r>
      <w:r>
        <w:rPr/>
        <w:t>万股。</w:t>
      </w:r>
    </w:p>
    <w:p>
      <w:pPr>
        <w:spacing w:line="240" w:lineRule="auto" w:before="0"/>
        <w:rPr>
          <w:rFonts w:ascii="宋体" w:hAnsi="宋体" w:cs="宋体" w:eastAsia="宋体" w:hint="default"/>
          <w:sz w:val="18"/>
          <w:szCs w:val="18"/>
        </w:rPr>
      </w:pPr>
    </w:p>
    <w:p>
      <w:pPr>
        <w:pStyle w:val="BodyText"/>
        <w:spacing w:line="300" w:lineRule="auto" w:before="139"/>
        <w:ind w:right="113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日，公司原实际控制人钱云宝先生因病医治无效去世，其相应股份由其子钱京先生依法继承。至此，钱京先生</w:t>
      </w:r>
      <w:r>
        <w:rPr>
          <w:spacing w:val="-86"/>
        </w:rPr>
        <w:t> </w:t>
      </w:r>
      <w:r>
        <w:rPr>
          <w:spacing w:val="-86"/>
        </w:rPr>
      </w:r>
      <w:r>
        <w:rPr/>
        <w:t>持有公司股份</w:t>
      </w:r>
      <w:r>
        <w:rPr>
          <w:rFonts w:ascii="Times New Roman" w:hAnsi="Times New Roman" w:cs="Times New Roman" w:eastAsia="Times New Roman" w:hint="default"/>
        </w:rPr>
        <w:t>143,925,147</w:t>
      </w:r>
      <w:r>
        <w:rPr/>
        <w:t>股，占公司总股本</w:t>
      </w:r>
      <w:r>
        <w:rPr>
          <w:rFonts w:ascii="Times New Roman" w:hAnsi="Times New Roman" w:cs="Times New Roman" w:eastAsia="Times New Roman" w:hint="default"/>
        </w:rPr>
        <w:t>20.17%</w:t>
      </w:r>
      <w:r>
        <w:rPr/>
        <w:t>，成为公司实际控制人。</w:t>
      </w:r>
    </w:p>
    <w:p>
      <w:pPr>
        <w:spacing w:after="0" w:line="300" w:lineRule="auto"/>
        <w:jc w:val="both"/>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00" w:lineRule="auto" w:before="44"/>
        <w:ind w:right="112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月，因</w:t>
      </w:r>
      <w:r>
        <w:rPr>
          <w:rFonts w:ascii="Times New Roman" w:hAnsi="Times New Roman" w:cs="Times New Roman" w:eastAsia="Times New Roman" w:hint="default"/>
        </w:rPr>
        <w:t>2016</w:t>
      </w:r>
      <w:r>
        <w:rPr/>
        <w:t>年度业绩考核结果未满足股票期权和限制性股票激励计划授予的限制性股票第三期解锁条件，公司回购</w:t>
      </w:r>
      <w:r>
        <w:rPr>
          <w:spacing w:val="-87"/>
        </w:rPr>
        <w:t> </w:t>
      </w:r>
      <w:r>
        <w:rPr>
          <w:spacing w:val="-87"/>
        </w:rPr>
      </w:r>
      <w:r>
        <w:rPr/>
        <w:t>并注销限制性股票</w:t>
      </w:r>
      <w:r>
        <w:rPr>
          <w:rFonts w:ascii="Times New Roman" w:hAnsi="Times New Roman" w:cs="Times New Roman" w:eastAsia="Times New Roman" w:hint="default"/>
        </w:rPr>
        <w:t>161.92</w:t>
      </w:r>
      <w:r>
        <w:rPr/>
        <w:t>万股，变更后股本总数为</w:t>
      </w:r>
      <w:r>
        <w:rPr>
          <w:rFonts w:ascii="Times New Roman" w:hAnsi="Times New Roman" w:cs="Times New Roman" w:eastAsia="Times New Roman" w:hint="default"/>
        </w:rPr>
        <w:t>71,202.88</w:t>
      </w:r>
      <w:r>
        <w:rPr/>
        <w:t>万股。</w:t>
      </w:r>
    </w:p>
    <w:p>
      <w:pPr>
        <w:spacing w:line="240" w:lineRule="auto" w:before="11"/>
        <w:rPr>
          <w:rFonts w:ascii="宋体" w:hAnsi="宋体" w:cs="宋体" w:eastAsia="宋体" w:hint="default"/>
          <w:sz w:val="24"/>
          <w:szCs w:val="24"/>
        </w:rPr>
      </w:pPr>
    </w:p>
    <w:p>
      <w:pPr>
        <w:pStyle w:val="BodyText"/>
        <w:spacing w:line="300" w:lineRule="auto"/>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12</w:t>
      </w:r>
      <w:r>
        <w:rPr/>
        <w:t>月，公司以集中竞价方式累计回购发行在外的人民币流通股</w:t>
      </w:r>
      <w:r>
        <w:rPr>
          <w:rFonts w:ascii="Times New Roman" w:hAnsi="Times New Roman" w:cs="Times New Roman" w:eastAsia="Times New Roman" w:hint="default"/>
        </w:rPr>
        <w:t>769.3602</w:t>
      </w:r>
      <w:r>
        <w:rPr/>
        <w:t>万股。截止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日，已回购股</w:t>
      </w:r>
      <w:r>
        <w:rPr>
          <w:spacing w:val="-57"/>
        </w:rPr>
        <w:t> </w:t>
      </w:r>
      <w:r>
        <w:rPr>
          <w:spacing w:val="-57"/>
        </w:rPr>
      </w:r>
      <w:r>
        <w:rPr/>
        <w:t>份尚未办理注销手续。</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60" w:lineRule="auto"/>
        <w:ind w:right="5983"/>
        <w:jc w:val="left"/>
      </w:pPr>
      <w:r>
        <w:rPr/>
        <w:t>2、注册资本、注册地址、办公地址、公司类型和法定代表人 注册资本：人民币柒亿壹仟贰佰零贰万捌仟捌佰元整。 注册地址：江苏省丹阳市横塘工业区。 办公地址：江苏省丹阳市横塘工业区。 公司类型：股份有限公司</w:t>
      </w:r>
      <w:r>
        <w:rPr>
          <w:rFonts w:ascii="Times New Roman" w:hAnsi="Times New Roman" w:cs="Times New Roman" w:eastAsia="Times New Roman" w:hint="default"/>
        </w:rPr>
        <w:t>(</w:t>
      </w:r>
      <w:r>
        <w:rPr/>
        <w:t>上市</w:t>
      </w:r>
      <w:r>
        <w:rPr>
          <w:rFonts w:ascii="Times New Roman" w:hAnsi="Times New Roman" w:cs="Times New Roman" w:eastAsia="Times New Roman" w:hint="default"/>
        </w:rPr>
        <w:t>)</w:t>
      </w:r>
      <w:r>
        <w:rPr/>
        <w:t>。</w:t>
      </w:r>
    </w:p>
    <w:p>
      <w:pPr>
        <w:pStyle w:val="BodyText"/>
        <w:spacing w:line="240" w:lineRule="auto" w:before="1"/>
        <w:ind w:right="0"/>
        <w:jc w:val="left"/>
      </w:pPr>
      <w:r>
        <w:rPr/>
        <w:t>法定代表人：钱京。</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0"/>
        <w:jc w:val="left"/>
      </w:pPr>
      <w:r>
        <w:rPr/>
        <w:t>3、行业性质、经营范围、主要产品、主业变更、基本组织架构</w:t>
      </w:r>
    </w:p>
    <w:p>
      <w:pPr>
        <w:pStyle w:val="BodyText"/>
        <w:spacing w:line="240" w:lineRule="auto" w:before="76"/>
        <w:ind w:right="0"/>
        <w:jc w:val="left"/>
      </w:pPr>
      <w:r>
        <w:rPr/>
        <w:t>（1）行业性质：计算机、通信和其他电子设备制造业。</w:t>
      </w:r>
    </w:p>
    <w:p>
      <w:pPr>
        <w:spacing w:line="240" w:lineRule="auto" w:before="0"/>
        <w:rPr>
          <w:rFonts w:ascii="宋体" w:hAnsi="宋体" w:cs="宋体" w:eastAsia="宋体" w:hint="default"/>
          <w:sz w:val="18"/>
          <w:szCs w:val="18"/>
        </w:rPr>
      </w:pPr>
    </w:p>
    <w:p>
      <w:pPr>
        <w:pStyle w:val="BodyText"/>
        <w:spacing w:line="316" w:lineRule="auto" w:before="153"/>
        <w:ind w:right="1127"/>
        <w:jc w:val="both"/>
      </w:pPr>
      <w:r>
        <w:rPr/>
        <w:t>（2）经营范围：智能卡、磁条卡、票证、票据、密码信封、智能标签、智能终端、商用密码产品及相关系统软件、读写机</w:t>
      </w:r>
      <w:r>
        <w:rPr>
          <w:spacing w:val="-84"/>
        </w:rPr>
        <w:t> </w:t>
      </w:r>
      <w:r>
        <w:rPr>
          <w:spacing w:val="-84"/>
        </w:rPr>
      </w:r>
      <w:r>
        <w:rPr>
          <w:spacing w:val="-2"/>
        </w:rPr>
        <w:t>具的研发、生产、销售、检测、咨询、技术服务；计算机软硬件、网络设备、办公自动化设备、移动支付、物联网、网络信</w:t>
      </w:r>
      <w:r>
        <w:rPr>
          <w:spacing w:val="-68"/>
        </w:rPr>
        <w:t> </w:t>
      </w:r>
      <w:r>
        <w:rPr>
          <w:spacing w:val="-68"/>
        </w:rPr>
      </w:r>
      <w:r>
        <w:rPr>
          <w:spacing w:val="-2"/>
        </w:rPr>
        <w:t>息安全产品的开发、生产、销售及系统集成和技术服务；半导体模块封装生产、检测及技术咨询；自营和代理各类商品和技</w:t>
      </w:r>
      <w:r>
        <w:rPr>
          <w:spacing w:val="-63"/>
        </w:rPr>
        <w:t> </w:t>
      </w:r>
      <w:r>
        <w:rPr>
          <w:spacing w:val="-63"/>
        </w:rPr>
      </w:r>
      <w:r>
        <w:rPr>
          <w:spacing w:val="-3"/>
        </w:rPr>
        <w:t>术的进出口，道路货物运输。（依法须经批准的项目，经相关部门批准后方可开展经营活动）</w:t>
      </w:r>
    </w:p>
    <w:p>
      <w:pPr>
        <w:spacing w:line="240" w:lineRule="auto" w:before="4"/>
        <w:rPr>
          <w:rFonts w:ascii="宋体" w:hAnsi="宋体" w:cs="宋体" w:eastAsia="宋体" w:hint="default"/>
          <w:sz w:val="25"/>
          <w:szCs w:val="25"/>
        </w:rPr>
      </w:pPr>
    </w:p>
    <w:p>
      <w:pPr>
        <w:pStyle w:val="BodyText"/>
        <w:spacing w:line="240" w:lineRule="auto"/>
        <w:ind w:right="0"/>
        <w:jc w:val="left"/>
      </w:pPr>
      <w:r>
        <w:rPr/>
        <w:t>（3）主要产品：磁条卡、密码卡和</w:t>
      </w:r>
      <w:r>
        <w:rPr>
          <w:rFonts w:ascii="Times New Roman" w:hAnsi="Times New Roman" w:cs="Times New Roman" w:eastAsia="Times New Roman" w:hint="default"/>
        </w:rPr>
        <w:t>IC</w:t>
      </w:r>
      <w:r>
        <w:rPr/>
        <w:t>卡等卡类产品及其相关操作系统软件（</w:t>
      </w:r>
      <w:r>
        <w:rPr>
          <w:rFonts w:ascii="Times New Roman" w:hAnsi="Times New Roman" w:cs="Times New Roman" w:eastAsia="Times New Roman" w:hint="default"/>
        </w:rPr>
        <w:t>COS</w:t>
      </w:r>
      <w:r>
        <w:rPr/>
        <w:t>）和票证产品的研发、生产和销售。</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t>（4）主业变更：报告期内公司主业未发生变更。</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（5）基本组织架构</w:t>
      </w:r>
    </w:p>
    <w:p>
      <w:pPr>
        <w:spacing w:after="0" w:line="240" w:lineRule="auto"/>
        <w:jc w:val="left"/>
        <w:sectPr>
          <w:pgSz w:w="11910" w:h="16840"/>
          <w:pgMar w:header="905" w:footer="1017" w:top="1100" w:bottom="1200" w:left="1020" w:right="0"/>
        </w:sectPr>
      </w:pPr>
    </w:p>
    <w:p>
      <w:pPr>
        <w:spacing w:line="240" w:lineRule="auto" w:before="2"/>
        <w:rPr>
          <w:rFonts w:ascii="宋体" w:hAnsi="宋体" w:cs="宋体" w:eastAsia="宋体" w:hint="default"/>
          <w:sz w:val="28"/>
          <w:szCs w:val="28"/>
        </w:rPr>
      </w:pPr>
    </w:p>
    <w:p>
      <w:pPr>
        <w:spacing w:line="6482" w:lineRule="exact"/>
        <w:ind w:left="112" w:right="0" w:firstLine="0"/>
        <w:rPr>
          <w:rFonts w:ascii="宋体" w:hAnsi="宋体" w:cs="宋体" w:eastAsia="宋体" w:hint="default"/>
          <w:sz w:val="20"/>
          <w:szCs w:val="20"/>
        </w:rPr>
      </w:pPr>
      <w:r>
        <w:rPr>
          <w:rFonts w:ascii="宋体" w:hAnsi="宋体" w:cs="宋体" w:eastAsia="宋体" w:hint="default"/>
          <w:position w:val="-129"/>
          <w:sz w:val="20"/>
          <w:szCs w:val="20"/>
        </w:rPr>
        <w:drawing>
          <wp:inline distT="0" distB="0" distL="0" distR="0">
            <wp:extent cx="5200128" cy="411651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5" cstate="print"/>
                    <a:stretch>
                      <a:fillRect/>
                    </a:stretch>
                  </pic:blipFill>
                  <pic:spPr>
                    <a:xfrm>
                      <a:off x="0" y="0"/>
                      <a:ext cx="5200128" cy="4116514"/>
                    </a:xfrm>
                    <a:prstGeom prst="rect">
                      <a:avLst/>
                    </a:prstGeom>
                  </pic:spPr>
                </pic:pic>
              </a:graphicData>
            </a:graphic>
          </wp:inline>
        </w:drawing>
      </w:r>
      <w:r>
        <w:rPr>
          <w:rFonts w:ascii="宋体" w:hAnsi="宋体" w:cs="宋体" w:eastAsia="宋体" w:hint="default"/>
          <w:position w:val="-129"/>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日，公司取得江苏省工商行政管理局换发的营业执照，统一社会信用代码</w:t>
      </w:r>
      <w:r>
        <w:rPr>
          <w:rFonts w:ascii="Times New Roman" w:hAnsi="Times New Roman" w:cs="Times New Roman" w:eastAsia="Times New Roman" w:hint="default"/>
        </w:rPr>
        <w:t>91320000253710940L</w:t>
      </w:r>
      <w:r>
        <w:rPr/>
        <w:t>。</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t>5、公司是由自然人控股的股份有限公司，自然人钱京为公司的实际控制人，直接持有公司</w:t>
      </w:r>
      <w:r>
        <w:rPr>
          <w:rFonts w:ascii="Times New Roman" w:hAnsi="Times New Roman" w:cs="Times New Roman" w:eastAsia="Times New Roman" w:hint="default"/>
        </w:rPr>
        <w:t>20.21%</w:t>
      </w:r>
      <w:r>
        <w:rPr/>
        <w:t>的股份。</w:t>
      </w:r>
    </w:p>
    <w:p>
      <w:pPr>
        <w:spacing w:line="240" w:lineRule="auto" w:before="0"/>
        <w:rPr>
          <w:rFonts w:ascii="宋体" w:hAnsi="宋体" w:cs="宋体" w:eastAsia="宋体" w:hint="default"/>
          <w:sz w:val="18"/>
          <w:szCs w:val="18"/>
        </w:rPr>
      </w:pPr>
    </w:p>
    <w:p>
      <w:pPr>
        <w:pStyle w:val="BodyText"/>
        <w:spacing w:line="676" w:lineRule="auto" w:before="139"/>
        <w:ind w:right="4633"/>
        <w:jc w:val="left"/>
      </w:pPr>
      <w:r>
        <w:rPr/>
        <w:pict>
          <v:shape style="position:absolute;margin-left:56.399998pt;margin-top:59.341717pt;width:485.8pt;height:231.7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0"/>
                    <w:gridCol w:w="1570"/>
                    <w:gridCol w:w="3278"/>
                    <w:gridCol w:w="773"/>
                    <w:gridCol w:w="773"/>
                  </w:tblGrid>
                  <w:tr>
                    <w:trPr>
                      <w:trHeight w:val="778"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纳入合并报表范围的子公司名称</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资产负债表合并日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58"/>
                          <w:ind w:left="1281" w:right="0"/>
                          <w:jc w:val="left"/>
                          <w:rPr>
                            <w:rFonts w:ascii="宋体" w:hAnsi="宋体" w:cs="宋体" w:eastAsia="宋体" w:hint="default"/>
                            <w:sz w:val="18"/>
                            <w:szCs w:val="18"/>
                          </w:rPr>
                        </w:pPr>
                        <w:r>
                          <w:rPr>
                            <w:rFonts w:ascii="宋体" w:hAnsi="宋体" w:cs="宋体" w:eastAsia="宋体" w:hint="default"/>
                            <w:sz w:val="18"/>
                            <w:szCs w:val="18"/>
                          </w:rPr>
                          <w:t>利润表、现金流量表以及 股东权益变动表合并期间</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58"/>
                          <w:ind w:left="393" w:right="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58"/>
                          <w:ind w:left="393" w:right="2"/>
                          <w:jc w:val="left"/>
                          <w:rPr>
                            <w:rFonts w:ascii="宋体" w:hAnsi="宋体" w:cs="宋体" w:eastAsia="宋体" w:hint="default"/>
                            <w:sz w:val="18"/>
                            <w:szCs w:val="18"/>
                          </w:rPr>
                        </w:pPr>
                        <w:r>
                          <w:rPr>
                            <w:rFonts w:ascii="宋体" w:hAnsi="宋体" w:cs="宋体" w:eastAsia="宋体" w:hint="default"/>
                            <w:sz w:val="18"/>
                            <w:szCs w:val="18"/>
                          </w:rPr>
                          <w:t>合并 比例</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江苏恒宝智能系统技术有限公司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北京东方英卡数字信息技术有限公司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r>
                    <w:trPr>
                      <w:trHeight w:val="425"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t>6、本财务报表于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月24日，经公司第六届董事会第七次会议批准报出。 本报告期纳入合并财务报表的子公司如下：</w:t>
      </w:r>
    </w:p>
    <w:p>
      <w:pPr>
        <w:spacing w:after="0" w:line="676" w:lineRule="auto"/>
        <w:jc w:val="left"/>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3300"/>
        <w:gridCol w:w="1570"/>
        <w:gridCol w:w="3278"/>
        <w:gridCol w:w="773"/>
        <w:gridCol w:w="773"/>
      </w:tblGrid>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51.102%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51.102%</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51.102%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51.102%</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51.102%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51.102%</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51.102%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51.102%</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深圳钱客多信息科技有限公司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51.102%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51.102%</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51.102%</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51.102%</w:t>
            </w:r>
          </w:p>
        </w:tc>
      </w:tr>
      <w:tr>
        <w:trPr>
          <w:trHeight w:val="427" w:hRule="exact"/>
        </w:trPr>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恒宝（中东非洲）有限责任公司（注）</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3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注：合并范围的变更情况详见附注八、合并范围的变更</w:t>
      </w:r>
      <w:r>
        <w:rPr>
          <w:spacing w:val="1"/>
        </w:rPr>
        <w:t> </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0"/>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t>公司以持续经营为财务报表的编制基础，以权责发生制为记账基础。 </w:t>
      </w:r>
      <w:r>
        <w:rPr>
          <w:spacing w:val="-2"/>
        </w:rPr>
        <w:t>公司一般采用历史成本对会计要素进行计量，在保证所确定的会计要素金额能够取得并可靠计量的前提下采用重置成本、可</w:t>
      </w:r>
      <w:r>
        <w:rPr>
          <w:spacing w:val="-64"/>
        </w:rPr>
        <w:t> </w:t>
      </w:r>
      <w:r>
        <w:rPr>
          <w:spacing w:val="-64"/>
        </w:rPr>
      </w:r>
      <w:r>
        <w:rPr/>
        <w:t>变现净值、现值及公允价值进行计量。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60" w:lineRule="auto" w:before="29"/>
        <w:ind w:right="1686"/>
        <w:jc w:val="left"/>
      </w:pPr>
      <w:r>
        <w:rPr/>
        <w:t>具体会计政策和会计估计提示： 以下披露内容已涵盖了本公司根据实际生产经营特点制定的具体会计政策和会计估计。详见本附注</w:t>
      </w:r>
      <w:r>
        <w:rPr>
          <w:spacing w:val="-3"/>
        </w:rPr>
        <w:t>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公司财务报表及</w:t>
      </w:r>
      <w:r>
        <w:rPr>
          <w:spacing w:val="2"/>
        </w:rPr>
        <w:t>附</w:t>
      </w:r>
      <w:r>
        <w:rPr/>
        <w:t>注系按财政部颁布的《企业会计准则</w:t>
      </w:r>
      <w:r>
        <w:rPr>
          <w:spacing w:val="-89"/>
        </w:rPr>
        <w:t>》</w:t>
      </w:r>
      <w:r>
        <w:rPr/>
        <w:t>、应用指南、企</w:t>
      </w:r>
      <w:r>
        <w:rPr>
          <w:spacing w:val="2"/>
        </w:rPr>
        <w:t>业</w:t>
      </w:r>
      <w:r>
        <w:rPr/>
        <w:t>会计准则解</w:t>
      </w:r>
      <w:r>
        <w:rPr>
          <w:spacing w:val="-3"/>
        </w:rPr>
        <w:t>释</w:t>
      </w:r>
      <w:r>
        <w:rPr>
          <w:spacing w:val="2"/>
        </w:rPr>
        <w:t>、</w:t>
      </w:r>
      <w:r>
        <w:rPr>
          <w:color w:val="6D6D6D"/>
          <w:spacing w:val="2"/>
        </w:rPr>
      </w:r>
      <w:r>
        <w:rPr>
          <w:color w:val="6D6D6D"/>
          <w:u w:val="single" w:color="6D6D6D"/>
        </w:rPr>
        <w:t>中国证券监督管</w:t>
      </w:r>
      <w:r>
        <w:rPr>
          <w:color w:val="6D6D6D"/>
          <w:spacing w:val="2"/>
          <w:u w:val="single" w:color="6D6D6D"/>
        </w:rPr>
        <w:t>理</w:t>
      </w:r>
      <w:r>
        <w:rPr>
          <w:color w:val="6D6D6D"/>
          <w:u w:val="single" w:color="6D6D6D"/>
        </w:rPr>
        <w:t>委员</w:t>
      </w:r>
      <w:r>
        <w:rPr>
          <w:color w:val="6D6D6D"/>
          <w:spacing w:val="-3"/>
          <w:u w:val="single" w:color="6D6D6D"/>
        </w:rPr>
        <w:t>会</w:t>
      </w:r>
      <w:r>
        <w:rPr>
          <w:color w:val="6D6D6D"/>
          <w:spacing w:val="-3"/>
        </w:rPr>
      </w:r>
      <w:r>
        <w:rPr/>
        <w:t>发布的</w:t>
      </w:r>
    </w:p>
    <w:p>
      <w:pPr>
        <w:pStyle w:val="BodyText"/>
        <w:spacing w:line="316" w:lineRule="auto" w:before="76"/>
        <w:ind w:right="1030"/>
        <w:jc w:val="left"/>
      </w:pPr>
      <w:r>
        <w:rPr>
          <w:spacing w:val="-3"/>
        </w:rPr>
        <w:t>《公开发行证券的公司信息披露编报规则第15号—财务报告的一般规定[2014年修订]》以及相关补充规定的要求编制，真实、</w:t>
      </w:r>
      <w:r>
        <w:rPr/>
        <w:t> 完整地反映了公司的财务状况、经营成果和现金流量等有关信息。</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公司经营周期为上述会计期间所对应的12个月。</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本公司采用人民币元为记账本位币。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（1）在同一控制下的企业合并中，公司作为购买方取得对其他参与合并企业的控制权，如以支付现金、转让非现金资产或</w:t>
      </w:r>
      <w:r>
        <w:rPr>
          <w:spacing w:val="-84"/>
        </w:rPr>
        <w:t> </w:t>
      </w:r>
      <w:r>
        <w:rPr>
          <w:spacing w:val="-84"/>
        </w:rPr>
      </w:r>
      <w:r>
        <w:rPr>
          <w:spacing w:val="-2"/>
        </w:rPr>
        <w:t>承担债务方式作为合并对价的，在合并日按照被合并方所有者权益在最终控制方合并财务报表中的账面价值的份额作为长期</w:t>
      </w:r>
      <w:r>
        <w:rPr>
          <w:spacing w:val="-64"/>
        </w:rPr>
        <w:t> </w:t>
      </w:r>
      <w:r>
        <w:rPr>
          <w:spacing w:val="-64"/>
        </w:rPr>
      </w:r>
      <w:r>
        <w:rPr>
          <w:spacing w:val="-2"/>
        </w:rPr>
        <w:t>股权投资的初始投资成本，长期股权投资初始投资成本与支付的现金、转让的非现金资产以及所承担债务账面价值之间的差</w:t>
      </w:r>
      <w:r>
        <w:rPr>
          <w:spacing w:val="-64"/>
        </w:rPr>
        <w:t> </w:t>
      </w:r>
      <w:r>
        <w:rPr>
          <w:spacing w:val="-64"/>
        </w:rPr>
      </w:r>
      <w:r>
        <w:rPr>
          <w:spacing w:val="-2"/>
        </w:rPr>
        <w:t>额，调整资本公积；资本公积不足冲减的，调整留存收益；如以发行权益性证券作为合并对价的，在合并日按照被合并方所</w:t>
      </w:r>
      <w:r>
        <w:rPr>
          <w:spacing w:val="-63"/>
        </w:rPr>
        <w:t> </w:t>
      </w:r>
      <w:r>
        <w:rPr>
          <w:spacing w:val="-63"/>
        </w:rPr>
      </w:r>
      <w:r>
        <w:rPr>
          <w:spacing w:val="-2"/>
        </w:rPr>
        <w:t>有者权益在最终控制方合并财务报表中的账面价值的份额作为长期股权投资的初始投资成本，按照发行股份的面值总额作为</w:t>
      </w:r>
      <w:r>
        <w:rPr>
          <w:spacing w:val="-64"/>
        </w:rPr>
        <w:t> </w:t>
      </w:r>
      <w:r>
        <w:rPr>
          <w:spacing w:val="-64"/>
        </w:rPr>
      </w:r>
      <w:r>
        <w:rPr>
          <w:spacing w:val="-4"/>
        </w:rPr>
        <w:t>股本，长期股权投资初始投资成本与所发行股份面值总额之间的差额，调整资本公积，资本公积不足冲减的，调整留存收益。</w:t>
      </w:r>
      <w:r>
        <w:rPr>
          <w:spacing w:val="-46"/>
        </w:rPr>
        <w:t> </w:t>
      </w:r>
      <w:r>
        <w:rPr>
          <w:spacing w:val="-46"/>
        </w:rPr>
      </w:r>
      <w:r>
        <w:rPr>
          <w:spacing w:val="-2"/>
        </w:rPr>
        <w:t>为进行企业合并发生的审计、法律服务、评估咨询等中介费用以及其他相关管理费用，于发生时计入当期损益。为企业合并</w:t>
      </w:r>
      <w:r>
        <w:rPr>
          <w:spacing w:val="-66"/>
        </w:rPr>
        <w:t> </w:t>
      </w:r>
      <w:r>
        <w:rPr>
          <w:spacing w:val="-66"/>
        </w:rPr>
      </w:r>
      <w:r>
        <w:rPr>
          <w:spacing w:val="-2"/>
        </w:rPr>
        <w:t>发行的债券或承担其他债务支付的手续费、佣金等，应当计入所发行债券及其他债务的初始计量金额。企业合并中发行权益</w:t>
      </w:r>
      <w:r>
        <w:rPr>
          <w:spacing w:val="-65"/>
        </w:rPr>
        <w:t> </w:t>
      </w:r>
      <w:r>
        <w:rPr>
          <w:spacing w:val="-65"/>
        </w:rPr>
      </w:r>
      <w:r>
        <w:rPr/>
        <w:t>性证券发生的手续费、佣金等费用，应当抵减权益性证券溢价收入，溢价收入不足冲减的，冲减留存收益。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left"/>
      </w:pPr>
      <w:r>
        <w:rPr/>
        <w:t>（2）公司对外合并如属非同一控制下的企业合并，按下列情况确定长期股权投资的初始投资成本：</w:t>
      </w:r>
    </w:p>
    <w:p>
      <w:pPr>
        <w:pStyle w:val="BodyText"/>
        <w:spacing w:line="319" w:lineRule="auto" w:before="76"/>
        <w:ind w:right="0"/>
        <w:jc w:val="left"/>
      </w:pPr>
      <w:r>
        <w:rPr/>
        <w:t>①一次交换交易实现的企业合并，长期股权投资的初始投资成本为购买方在购买日为取得对被购买方的控制权而付出的资</w:t>
      </w:r>
      <w:r>
        <w:rPr>
          <w:spacing w:val="-25"/>
        </w:rPr>
        <w:t> </w:t>
      </w:r>
      <w:r>
        <w:rPr>
          <w:spacing w:val="-25"/>
        </w:rPr>
      </w:r>
      <w:r>
        <w:rPr/>
        <w:t>产、发生或承担的负债以及发行的权益性证券的公允价值；</w:t>
      </w:r>
    </w:p>
    <w:p>
      <w:pPr>
        <w:pStyle w:val="BodyText"/>
        <w:spacing w:line="240" w:lineRule="auto" w:before="17"/>
        <w:ind w:right="0"/>
        <w:jc w:val="left"/>
      </w:pPr>
      <w:r>
        <w:rPr/>
        <w:t>②通过多次交换交易分步实现的企业合并，长期股权投资的初始投资成本为每一单项交易成本之和；</w:t>
      </w:r>
    </w:p>
    <w:p>
      <w:pPr>
        <w:pStyle w:val="BodyText"/>
        <w:spacing w:line="319" w:lineRule="auto" w:before="76"/>
        <w:ind w:right="0"/>
        <w:jc w:val="left"/>
      </w:pPr>
      <w:r>
        <w:rPr>
          <w:spacing w:val="-2"/>
        </w:rPr>
        <w:t>③为进行企业合并发生的审计、法律服务、评估咨询等中介费用以及其他相关管理费用，于发生时计入当期损益；作为合并</w:t>
      </w:r>
      <w:r>
        <w:rPr>
          <w:spacing w:val="-66"/>
        </w:rPr>
        <w:t> </w:t>
      </w:r>
      <w:r>
        <w:rPr>
          <w:spacing w:val="-66"/>
        </w:rPr>
      </w:r>
      <w:r>
        <w:rPr/>
        <w:t>对价发行的权益性证券或债务性证券的交易费用，计入权益性证券或债务性证券的初始确认金额；</w:t>
      </w:r>
    </w:p>
    <w:p>
      <w:pPr>
        <w:pStyle w:val="BodyText"/>
        <w:spacing w:line="316" w:lineRule="auto" w:before="17"/>
        <w:ind w:right="0"/>
        <w:jc w:val="left"/>
      </w:pPr>
      <w:r>
        <w:rPr>
          <w:spacing w:val="-2"/>
        </w:rPr>
        <w:t>④在合并合同或协议中对可能影响合并成本的未来事项作出约定的，在购买日如果估计未来事项很可能发生并且对合并成本</w:t>
      </w:r>
      <w:r>
        <w:rPr>
          <w:spacing w:val="-64"/>
        </w:rPr>
        <w:t> </w:t>
      </w:r>
      <w:r>
        <w:rPr>
          <w:spacing w:val="-64"/>
        </w:rPr>
      </w:r>
      <w:r>
        <w:rPr/>
        <w:t>的影响金额能够可靠计量的，将其计入长期股权投资的初始投资成本。</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123"/>
        <w:jc w:val="left"/>
      </w:pPr>
      <w:r>
        <w:rPr/>
        <w:t>（3）公司对外合并如属非同一控制下的企业合并，对长期股权投资的初始投资成本大于合并中取得的被购买方可辨认净资</w:t>
      </w:r>
      <w:r>
        <w:rPr>
          <w:spacing w:val="-84"/>
        </w:rPr>
        <w:t> </w:t>
      </w:r>
      <w:r>
        <w:rPr>
          <w:spacing w:val="-84"/>
        </w:rPr>
      </w:r>
      <w:r>
        <w:rPr/>
        <w:t>产公允价值份额的差额，确认为商誉。 对长期股权投资的初始投资成本小于合并中取得的被购买方可辨认净资产公允价值份额的差额，按照下列方法处理：</w:t>
      </w:r>
    </w:p>
    <w:p>
      <w:pPr>
        <w:pStyle w:val="BodyText"/>
        <w:spacing w:line="240" w:lineRule="auto" w:before="18"/>
        <w:ind w:right="0"/>
        <w:jc w:val="left"/>
      </w:pPr>
      <w:r>
        <w:rPr/>
        <w:t>①对取得的被购买方各项可辨认资产、负债及或有负债的公允价值以及合并成本的计量进行复核；</w:t>
      </w:r>
    </w:p>
    <w:p>
      <w:pPr>
        <w:pStyle w:val="BodyText"/>
        <w:spacing w:line="240" w:lineRule="auto" w:before="76"/>
        <w:ind w:right="0"/>
        <w:jc w:val="left"/>
      </w:pPr>
      <w:r>
        <w:rPr/>
        <w:t>②经复核后合并成本仍小于合并中取得的被购买方可辨认净资产公允价值份额的，其差额应当计入当期损益。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123"/>
        <w:jc w:val="left"/>
      </w:pPr>
      <w:r>
        <w:rPr/>
        <w:t>合并财务报表的合并范围以控制为基础予以确定。 控制，是指投资方拥有对被投资方的权力,通过参与被投资方的相关活动而享有可变回报，并且有能力运用对被投资方的权 力影响其回报金额。</w:t>
      </w:r>
    </w:p>
    <w:p>
      <w:pPr>
        <w:pStyle w:val="BodyText"/>
        <w:spacing w:line="316" w:lineRule="auto" w:before="41"/>
        <w:ind w:right="1123"/>
        <w:jc w:val="left"/>
      </w:pPr>
      <w:r>
        <w:rPr/>
        <w:t>母公司应当将其全部子公司纳入合并财务报表的合并范围。子公司，是指被公司控制的主体(含企业、被投资单位中可分割</w:t>
      </w:r>
      <w:r>
        <w:rPr>
          <w:spacing w:val="-85"/>
        </w:rPr>
        <w:t> </w:t>
      </w:r>
      <w:r>
        <w:rPr>
          <w:spacing w:val="-85"/>
        </w:rPr>
      </w:r>
      <w:r>
        <w:rPr/>
        <w:t>的部分，以及企业所控制的结构化主体等)。</w:t>
      </w:r>
    </w:p>
    <w:p>
      <w:pPr>
        <w:spacing w:after="0" w:line="316"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132"/>
        <w:jc w:val="both"/>
      </w:pPr>
      <w:r>
        <w:rPr/>
        <w:t>如果母公司是投资性主体，则母公司应当仅将为其投资活动提供相关服务的子公司(如有)纳入合并范围并编制合并财务报</w:t>
      </w:r>
      <w:r>
        <w:rPr>
          <w:spacing w:val="-13"/>
        </w:rPr>
        <w:t> </w:t>
      </w:r>
      <w:r>
        <w:rPr>
          <w:spacing w:val="-13"/>
        </w:rPr>
      </w:r>
      <w:r>
        <w:rPr>
          <w:spacing w:val="-2"/>
        </w:rPr>
        <w:t>表；其他子公司不应当予以合并，母公司对其他子公司的投资应当按照公允价值计量且其变动计入当期损益。当母公司同时</w:t>
      </w:r>
      <w:r>
        <w:rPr>
          <w:spacing w:val="-65"/>
        </w:rPr>
        <w:t> </w:t>
      </w:r>
      <w:r>
        <w:rPr>
          <w:spacing w:val="-65"/>
        </w:rPr>
      </w:r>
      <w:r>
        <w:rPr/>
        <w:t>满足下列条件时，该母公司属于投资性主体：</w:t>
      </w:r>
    </w:p>
    <w:p>
      <w:pPr>
        <w:pStyle w:val="BodyText"/>
        <w:spacing w:line="240" w:lineRule="auto" w:before="57"/>
        <w:ind w:right="0"/>
        <w:jc w:val="both"/>
      </w:pPr>
      <w:r>
        <w:rPr/>
        <w:t>（1）该母公司是以向投资者提供投资管理服务为目的，从一个或多个投资者处获取资金；</w:t>
      </w:r>
    </w:p>
    <w:p>
      <w:pPr>
        <w:pStyle w:val="BodyText"/>
        <w:spacing w:line="240" w:lineRule="auto" w:before="76"/>
        <w:ind w:right="0"/>
        <w:jc w:val="both"/>
      </w:pPr>
      <w:r>
        <w:rPr/>
        <w:t>（2）该母公司的唯一经营目的，是通过资本增值、投资收益或两者兼有而让投资者获得回报；</w:t>
      </w:r>
    </w:p>
    <w:p>
      <w:pPr>
        <w:pStyle w:val="BodyText"/>
        <w:spacing w:line="316" w:lineRule="auto" w:before="76"/>
        <w:ind w:right="0"/>
        <w:jc w:val="left"/>
      </w:pPr>
      <w:r>
        <w:rPr/>
        <w:t>（3）该母公司按照公允价值对几乎所有投资的业绩进行考量和评价。 </w:t>
      </w:r>
      <w:r>
        <w:rPr>
          <w:spacing w:val="-2"/>
        </w:rPr>
        <w:t>编制合并报表时，公司与被合并子公司采用统一的会计政策和期间。合并财务报表以公司和子公司的财务报表为基础，在抵</w:t>
      </w:r>
      <w:r>
        <w:rPr>
          <w:spacing w:val="-65"/>
        </w:rPr>
        <w:t> </w:t>
      </w:r>
      <w:r>
        <w:rPr>
          <w:spacing w:val="-65"/>
        </w:rPr>
      </w:r>
      <w:r>
        <w:rPr>
          <w:spacing w:val="-2"/>
        </w:rPr>
        <w:t>销公司与子公司、子公司相互之间发生的内部交易对合并财务报表的影响后，由公司合并编制。公司在报告期内因同一控制</w:t>
      </w:r>
      <w:r>
        <w:rPr>
          <w:spacing w:val="-65"/>
        </w:rPr>
        <w:t> </w:t>
      </w:r>
      <w:r>
        <w:rPr>
          <w:spacing w:val="-65"/>
        </w:rPr>
      </w:r>
      <w:r>
        <w:rPr>
          <w:spacing w:val="-4"/>
        </w:rPr>
        <w:t>下企业合并增加的子公司，编制合并资产负债表时，调整合并资产负债表的期初数。因非同一控制下企业合并增加的子公司，</w:t>
      </w:r>
      <w:r>
        <w:rPr>
          <w:spacing w:val="-42"/>
        </w:rPr>
        <w:t> </w:t>
      </w:r>
      <w:r>
        <w:rPr>
          <w:spacing w:val="-42"/>
        </w:rPr>
      </w:r>
      <w:r>
        <w:rPr>
          <w:spacing w:val="-2"/>
        </w:rPr>
        <w:t>编制合并资产负债表时，不调整合并资产负债表的期初数。公司在报告期内因同一控制下企业合并增加的子公司，将该子公</w:t>
      </w:r>
      <w:r>
        <w:rPr>
          <w:spacing w:val="-65"/>
        </w:rPr>
        <w:t> </w:t>
      </w:r>
      <w:r>
        <w:rPr>
          <w:spacing w:val="-65"/>
        </w:rPr>
      </w:r>
      <w:r>
        <w:rPr>
          <w:spacing w:val="-2"/>
        </w:rPr>
        <w:t>司合并当期期初至报告期末的收入、费用、利润及现金流量纳入合并利润表及现金流量表。因非同一控制下企业合并增加的</w:t>
      </w:r>
      <w:r>
        <w:rPr>
          <w:spacing w:val="-65"/>
        </w:rPr>
        <w:t> </w:t>
      </w:r>
      <w:r>
        <w:rPr>
          <w:spacing w:val="-65"/>
        </w:rPr>
      </w:r>
      <w:r>
        <w:rPr>
          <w:spacing w:val="-2"/>
        </w:rPr>
        <w:t>子公司，将该子公司购买日至报告期末的收入、费用、利润及现金流量纳入合并利润表及现金流量表。公司在报告期内处置</w:t>
      </w:r>
      <w:r>
        <w:rPr>
          <w:spacing w:val="-66"/>
        </w:rPr>
        <w:t> </w:t>
      </w:r>
      <w:r>
        <w:rPr>
          <w:spacing w:val="-66"/>
        </w:rPr>
      </w:r>
      <w:r>
        <w:rPr/>
        <w:t>子公司，将该子公司期初至处置日的收入、费用、利润及现金流量纳入合并利润表及现金流量表。 </w:t>
      </w:r>
      <w:r>
        <w:rPr>
          <w:spacing w:val="-2"/>
        </w:rPr>
        <w:t>母公司购买子公司少数股东拥有的子公司股权，在合并财务报表中，因购买少数股权新取得的长期股权投资与按照新增持股</w:t>
      </w:r>
      <w:r>
        <w:rPr>
          <w:spacing w:val="-64"/>
        </w:rPr>
        <w:t> </w:t>
      </w:r>
      <w:r>
        <w:rPr>
          <w:spacing w:val="-64"/>
        </w:rPr>
      </w:r>
      <w:r>
        <w:rPr>
          <w:spacing w:val="3"/>
        </w:rPr>
        <w:t>比例计算应享有子公司自购买日或合并日开始持续计算的净资产份额之间的差额，应当调整资本公积(资本溢价或股本溢</w:t>
      </w:r>
      <w:r>
        <w:rPr/>
        <w:t> 价)，资本公积不足冲减的，调整留存收益。</w:t>
      </w:r>
    </w:p>
    <w:p>
      <w:pPr>
        <w:pStyle w:val="BodyText"/>
        <w:spacing w:line="316" w:lineRule="auto" w:before="59"/>
        <w:ind w:right="1132"/>
        <w:jc w:val="both"/>
      </w:pPr>
      <w:r>
        <w:rPr>
          <w:spacing w:val="-2"/>
        </w:rPr>
        <w:t>母公司在不丧失控制权的情况下部分处置对子公司的长期股权投资，在合并财务报表中，处置价款与处置长期股权投资相对</w:t>
      </w:r>
      <w:r>
        <w:rPr>
          <w:spacing w:val="-64"/>
        </w:rPr>
        <w:t> </w:t>
      </w:r>
      <w:r>
        <w:rPr>
          <w:spacing w:val="-64"/>
        </w:rPr>
      </w:r>
      <w:r>
        <w:rPr>
          <w:spacing w:val="-2"/>
        </w:rPr>
        <w:t>应享有子公司自购买日或合并日开始持续计算的净资产份额之间的差额，应当调整资本公积(资本溢价或股本溢价)，资本公</w:t>
      </w:r>
      <w:r>
        <w:rPr>
          <w:spacing w:val="-63"/>
        </w:rPr>
        <w:t> </w:t>
      </w:r>
      <w:r>
        <w:rPr>
          <w:spacing w:val="-63"/>
        </w:rPr>
      </w:r>
      <w:r>
        <w:rPr/>
        <w:t>积不足冲减的，调整留存收益。</w:t>
      </w:r>
    </w:p>
    <w:p>
      <w:pPr>
        <w:pStyle w:val="BodyText"/>
        <w:spacing w:line="316" w:lineRule="auto" w:before="59"/>
        <w:ind w:right="1132"/>
        <w:jc w:val="both"/>
      </w:pPr>
      <w:r>
        <w:rPr>
          <w:spacing w:val="-2"/>
        </w:rPr>
        <w:t>企业因处置部分股权投资等原因丧失了对被投资方的控制权的，在编制合并财务报表时，对于剩余股权，应当按照其在丧失</w:t>
      </w:r>
      <w:r>
        <w:rPr>
          <w:spacing w:val="-65"/>
        </w:rPr>
        <w:t> </w:t>
      </w:r>
      <w:r>
        <w:rPr>
          <w:spacing w:val="-65"/>
        </w:rPr>
      </w:r>
      <w:r>
        <w:rPr>
          <w:spacing w:val="-2"/>
        </w:rPr>
        <w:t>控制权日的公允价值进行重新计量。处置股权取得的对价与剩余股权公允价值之和，减去按原持股比例计算应享有原有子公</w:t>
      </w:r>
      <w:r>
        <w:rPr>
          <w:spacing w:val="-64"/>
        </w:rPr>
        <w:t> </w:t>
      </w:r>
      <w:r>
        <w:rPr>
          <w:spacing w:val="-64"/>
        </w:rPr>
      </w:r>
      <w:r>
        <w:rPr>
          <w:spacing w:val="-2"/>
        </w:rPr>
        <w:t>司自购买日或合并日开始持续计算的净资产的份额之间的差额，计入丧失控制权当期的投资收益，同时冲减商誉。与原有子</w:t>
      </w:r>
      <w:r>
        <w:rPr>
          <w:spacing w:val="-65"/>
        </w:rPr>
        <w:t> </w:t>
      </w:r>
      <w:r>
        <w:rPr>
          <w:spacing w:val="-65"/>
        </w:rPr>
      </w:r>
      <w:r>
        <w:rPr>
          <w:spacing w:val="-2"/>
        </w:rPr>
        <w:t>公司股权投资相关的其他综合收益等，应当在丧失控制权时转为当期投资收益，由于被投资方重新计量设定受益计划净负债</w:t>
      </w:r>
      <w:r>
        <w:rPr>
          <w:spacing w:val="-64"/>
        </w:rPr>
        <w:t> </w:t>
      </w:r>
      <w:r>
        <w:rPr>
          <w:spacing w:val="-64"/>
        </w:rPr>
      </w:r>
      <w:r>
        <w:rPr/>
        <w:t>或净资产变动而产生的其他综合收益除外。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t>合营安排分为共同经营和合营企业。 </w:t>
      </w:r>
      <w:r>
        <w:rPr>
          <w:spacing w:val="-2"/>
        </w:rPr>
        <w:t>共同经营，是指合营方享有该安排相关资产且承担该安排相关负债的合营安排。公司确认其与共同经营中利益份额相关的下</w:t>
      </w:r>
      <w:r>
        <w:rPr>
          <w:spacing w:val="-64"/>
        </w:rPr>
        <w:t> </w:t>
      </w:r>
      <w:r>
        <w:rPr>
          <w:spacing w:val="-64"/>
        </w:rPr>
      </w:r>
      <w:r>
        <w:rPr/>
        <w:t>列项目，并按照相关企业会计准则的规定进行会计处理：</w:t>
      </w:r>
    </w:p>
    <w:p>
      <w:pPr>
        <w:pStyle w:val="BodyText"/>
        <w:spacing w:line="240" w:lineRule="auto" w:before="2"/>
        <w:ind w:right="0"/>
        <w:jc w:val="both"/>
      </w:pPr>
      <w:r>
        <w:rPr/>
        <w:t>（1）确认单独所持有的资产，以及按其份额确认共同持有的资产；</w:t>
      </w:r>
    </w:p>
    <w:p>
      <w:pPr>
        <w:pStyle w:val="BodyText"/>
        <w:spacing w:line="240" w:lineRule="auto" w:before="76"/>
        <w:ind w:right="0"/>
        <w:jc w:val="both"/>
      </w:pPr>
      <w:r>
        <w:rPr/>
        <w:t>（2）确认单独所承担的负债，以及按其份额确认共同承担的负债；</w:t>
      </w:r>
    </w:p>
    <w:p>
      <w:pPr>
        <w:pStyle w:val="BodyText"/>
        <w:spacing w:line="240" w:lineRule="auto" w:before="76"/>
        <w:ind w:right="0"/>
        <w:jc w:val="both"/>
      </w:pPr>
      <w:r>
        <w:rPr/>
        <w:t>（3）确认出售其享有的共同经营产出份额所产生的收入；</w:t>
      </w:r>
    </w:p>
    <w:p>
      <w:pPr>
        <w:pStyle w:val="BodyText"/>
        <w:spacing w:line="240" w:lineRule="auto" w:before="76"/>
        <w:ind w:right="0"/>
        <w:jc w:val="both"/>
      </w:pPr>
      <w:r>
        <w:rPr/>
        <w:t>（4）按其份额确认共同经营因出售产出所产生的收入；</w:t>
      </w:r>
    </w:p>
    <w:p>
      <w:pPr>
        <w:pStyle w:val="BodyText"/>
        <w:spacing w:line="360" w:lineRule="auto" w:before="76"/>
        <w:ind w:right="1573"/>
        <w:jc w:val="left"/>
      </w:pPr>
      <w:r>
        <w:rPr/>
        <w:t>（5）确认单独所发生的费用，以及按其份额确认共同经营发生的费用。 合营企业，是指合营方仅对该安排的净资产享有权利的合营安排。公司按照权益法对合营企业的投资进行会计处理。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2473"/>
        <w:jc w:val="left"/>
      </w:pPr>
      <w:r>
        <w:rPr/>
        <w:t>现金：是指公司库存现金以及可以随时用于支付的存款。 现金等价物：是指公司持有的期限短、流动性强、易于转换为已知金额现金、价值变动风险很小的投资。</w:t>
      </w:r>
    </w:p>
    <w:p>
      <w:pPr>
        <w:spacing w:after="0" w:line="360" w:lineRule="auto"/>
        <w:jc w:val="left"/>
        <w:sectPr>
          <w:pgSz w:w="11910" w:h="16840"/>
          <w:pgMar w:header="905" w:footer="1017"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4"/>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（1）外币交易在初始确认时，采用交易发生当日中国人民银行公布的人民币外汇牌价中间价将外币金额折算为人民币金额。</w:t>
      </w:r>
    </w:p>
    <w:p>
      <w:pPr>
        <w:pStyle w:val="BodyText"/>
        <w:spacing w:line="240" w:lineRule="auto" w:before="76"/>
        <w:ind w:right="0"/>
        <w:jc w:val="left"/>
      </w:pPr>
      <w:r>
        <w:rPr/>
        <w:t>（2）于资产负债表日，按照下列方法对外币货币性项目和外币非货币性项目进行处理：</w:t>
      </w:r>
    </w:p>
    <w:p>
      <w:pPr>
        <w:pStyle w:val="BodyText"/>
        <w:spacing w:line="316" w:lineRule="auto" w:before="76"/>
        <w:ind w:right="0"/>
        <w:jc w:val="left"/>
      </w:pPr>
      <w:r>
        <w:rPr>
          <w:spacing w:val="-2"/>
        </w:rPr>
        <w:t>①外币货币性项目，采用资产负债表日中国人民银行公布的人民币外汇牌价中间价折算。因资产负债表日即期汇率与初始确</w:t>
      </w:r>
      <w:r>
        <w:rPr>
          <w:spacing w:val="-64"/>
        </w:rPr>
        <w:t> </w:t>
      </w:r>
      <w:r>
        <w:rPr>
          <w:spacing w:val="-64"/>
        </w:rPr>
      </w:r>
      <w:r>
        <w:rPr/>
        <w:t>认时或者前一资产负债表日即期汇率不同而产生的汇兑差额，计入当期损益。</w:t>
      </w:r>
    </w:p>
    <w:p>
      <w:pPr>
        <w:pStyle w:val="BodyText"/>
        <w:spacing w:line="333" w:lineRule="auto" w:before="19"/>
        <w:ind w:right="0"/>
        <w:jc w:val="left"/>
      </w:pPr>
      <w:r>
        <w:rPr>
          <w:spacing w:val="-2"/>
        </w:rPr>
        <w:t>②以历史成本计量的外币非货币性项目，仍采用交易发生日的即期汇率折算，不改变其记账本位币金额；以公允价值计量的</w:t>
      </w:r>
      <w:r>
        <w:rPr>
          <w:spacing w:val="-65"/>
        </w:rPr>
        <w:t> </w:t>
      </w:r>
      <w:r>
        <w:rPr>
          <w:spacing w:val="-65"/>
        </w:rPr>
      </w:r>
      <w:r>
        <w:rPr>
          <w:spacing w:val="-2"/>
        </w:rPr>
        <w:t>外币非货币性项目，采用公允价值确定日的即期汇率折算，折算后的记账本位币金额与原记账本位币金额的差额，作为公允</w:t>
      </w:r>
      <w:r>
        <w:rPr>
          <w:spacing w:val="-65"/>
        </w:rPr>
        <w:t> </w:t>
      </w:r>
      <w:r>
        <w:rPr>
          <w:spacing w:val="-65"/>
        </w:rPr>
      </w:r>
      <w:r>
        <w:rPr/>
        <w:t>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处理，并根据非货币性项目的性质计入当期损益或其他综合收益。 货币性项目，是指公司持有的货币资金和将以固定或可确定的金额收取的资产或者偿付的负债。 非货币性项目，是指货币性项目以外的项目。</w:t>
      </w:r>
    </w:p>
    <w:p>
      <w:pPr>
        <w:pStyle w:val="BodyText"/>
        <w:spacing w:line="240" w:lineRule="auto" w:before="47"/>
        <w:ind w:right="0"/>
        <w:jc w:val="left"/>
      </w:pPr>
      <w:r>
        <w:rPr/>
        <w:t>（3）境外经营实体的外币财务报表的折算方法：</w:t>
      </w:r>
    </w:p>
    <w:p>
      <w:pPr>
        <w:pStyle w:val="BodyText"/>
        <w:spacing w:line="300" w:lineRule="auto" w:before="76"/>
        <w:ind w:right="0"/>
        <w:jc w:val="left"/>
      </w:pPr>
      <w:r>
        <w:rPr>
          <w:spacing w:val="-2"/>
        </w:rPr>
        <w:t>①资产负债表中的资产和负债项目，采用资产负债表日的即期汇率折算，所有者权益项目除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w:t>
      </w:r>
      <w:r>
        <w:rPr>
          <w:spacing w:val="-42"/>
        </w:rPr>
        <w:t> </w:t>
      </w:r>
      <w:r>
        <w:rPr>
          <w:spacing w:val="-42"/>
        </w:rPr>
      </w:r>
      <w:r>
        <w:rPr/>
        <w:t>采用发生时的即期汇率折算；</w:t>
      </w:r>
    </w:p>
    <w:p>
      <w:pPr>
        <w:pStyle w:val="BodyText"/>
        <w:spacing w:line="240" w:lineRule="auto" w:before="31"/>
        <w:ind w:right="0"/>
        <w:jc w:val="left"/>
      </w:pPr>
      <w:r>
        <w:rPr/>
        <w:t>②利润表中的收入和费用项目，采用按照系统合理的方法确定的、与交易发生日即期汇率近似的汇率折算；</w:t>
      </w:r>
    </w:p>
    <w:p>
      <w:pPr>
        <w:pStyle w:val="BodyText"/>
        <w:spacing w:line="240" w:lineRule="auto" w:before="76"/>
        <w:ind w:right="0"/>
        <w:jc w:val="left"/>
      </w:pPr>
      <w:r>
        <w:rPr/>
        <w:t>③按照上述①、②折算产生的外币财务报表折算差额，在资产负债表中所有者权益项目下单独列示。</w:t>
      </w:r>
    </w:p>
    <w:p>
      <w:pPr>
        <w:pStyle w:val="BodyText"/>
        <w:spacing w:line="338" w:lineRule="auto" w:before="76"/>
        <w:ind w:right="0"/>
        <w:jc w:val="left"/>
      </w:pPr>
      <w:r>
        <w:rPr/>
        <w:t>（4）公司对处于恶性通货膨胀经济中的境外经营的财务报表，按照下列方法进行折算： </w:t>
      </w:r>
      <w:r>
        <w:rPr>
          <w:spacing w:val="-2"/>
        </w:rPr>
        <w:t>对资产负债表项目运用一般物价指数予以重述，对利润表项目运用一般物价指数变动予以重述，再按照最近资产负债表日的</w:t>
      </w:r>
      <w:r>
        <w:rPr>
          <w:spacing w:val="-64"/>
        </w:rPr>
        <w:t> </w:t>
      </w:r>
      <w:r>
        <w:rPr>
          <w:spacing w:val="-64"/>
        </w:rPr>
      </w:r>
      <w:r>
        <w:rPr/>
        <w:t>即期汇率进行折算。</w:t>
      </w:r>
    </w:p>
    <w:p>
      <w:pPr>
        <w:pStyle w:val="BodyText"/>
        <w:spacing w:line="240" w:lineRule="auto" w:before="41"/>
        <w:ind w:right="0"/>
        <w:jc w:val="left"/>
      </w:pPr>
      <w:r>
        <w:rPr/>
        <w:t>在境外经营不再处于恶性通货膨胀经济中时，停止重述，按照停止之日的价格水平重述的财务报表进行折算。</w:t>
      </w:r>
    </w:p>
    <w:p>
      <w:pPr>
        <w:pStyle w:val="BodyText"/>
        <w:spacing w:line="316" w:lineRule="auto" w:before="117"/>
        <w:ind w:right="1132"/>
        <w:jc w:val="both"/>
      </w:pPr>
      <w:r>
        <w:rPr/>
        <w:t>（5）公司在处置境外经营时，将资产负债表中所有者权益项目下列示的、与该境外经营相关的外币财务报表折算差额，自</w:t>
      </w:r>
      <w:r>
        <w:rPr>
          <w:spacing w:val="-84"/>
        </w:rPr>
        <w:t> </w:t>
      </w:r>
      <w:r>
        <w:rPr>
          <w:spacing w:val="-84"/>
        </w:rPr>
      </w:r>
      <w:r>
        <w:rPr>
          <w:spacing w:val="-2"/>
        </w:rPr>
        <w:t>所有者权益项目转入处置当期损益；部分处置境外经营的，按处置的比例计算处置部分的外币财务报表折算差额，转入处置</w:t>
      </w:r>
      <w:r>
        <w:rPr>
          <w:spacing w:val="-65"/>
        </w:rPr>
        <w:t> </w:t>
      </w:r>
      <w:r>
        <w:rPr>
          <w:spacing w:val="-65"/>
        </w:rPr>
      </w:r>
      <w:r>
        <w:rPr/>
        <w:t>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（1）金融工具的分类、确认依据和计量方法</w:t>
      </w:r>
    </w:p>
    <w:p>
      <w:pPr>
        <w:pStyle w:val="BodyText"/>
        <w:spacing w:line="316" w:lineRule="auto" w:before="76"/>
        <w:ind w:right="1123"/>
        <w:jc w:val="left"/>
      </w:pPr>
      <w:r>
        <w:rPr/>
        <w:t>①金融资产在初始确认时划分为下列四类： 1）以公允价值计量且其变动计入当期损益的金融资产，包括交易性金融资产和指定为以公允价值计量且其变动计入当期损</w:t>
      </w:r>
      <w:r>
        <w:rPr>
          <w:spacing w:val="-85"/>
        </w:rPr>
        <w:t> </w:t>
      </w:r>
      <w:r>
        <w:rPr>
          <w:spacing w:val="-85"/>
        </w:rPr>
      </w:r>
      <w:r>
        <w:rPr/>
        <w:t>益的金融资产；</w:t>
      </w:r>
    </w:p>
    <w:p>
      <w:pPr>
        <w:pStyle w:val="BodyText"/>
        <w:spacing w:line="240" w:lineRule="auto" w:before="19"/>
        <w:ind w:right="0"/>
        <w:jc w:val="left"/>
      </w:pPr>
      <w:r>
        <w:rPr/>
        <w:t>2）持有至到期投资；</w:t>
      </w:r>
    </w:p>
    <w:p>
      <w:pPr>
        <w:pStyle w:val="BodyText"/>
        <w:spacing w:line="240" w:lineRule="auto" w:before="76"/>
        <w:ind w:right="0"/>
        <w:jc w:val="left"/>
      </w:pPr>
      <w:r>
        <w:rPr/>
        <w:t>3）应收款项；</w:t>
      </w:r>
    </w:p>
    <w:p>
      <w:pPr>
        <w:pStyle w:val="BodyText"/>
        <w:spacing w:line="240" w:lineRule="auto" w:before="76"/>
        <w:ind w:right="0"/>
        <w:jc w:val="left"/>
      </w:pPr>
      <w:r>
        <w:rPr/>
        <w:t>4）可供出售金融资产。</w:t>
      </w:r>
    </w:p>
    <w:p>
      <w:pPr>
        <w:pStyle w:val="BodyText"/>
        <w:spacing w:line="316" w:lineRule="auto" w:before="76"/>
        <w:ind w:right="1123"/>
        <w:jc w:val="left"/>
      </w:pPr>
      <w:r>
        <w:rPr/>
        <w:t>②金融负债在初始确认时划分为下列两类： 1）以公允价值计量且其变动计入当期损益的金融负债，包括交易性金融负债和指定为以公允价值计量且其变动计入当期损</w:t>
      </w:r>
      <w:r>
        <w:rPr>
          <w:spacing w:val="-85"/>
        </w:rPr>
        <w:t> </w:t>
      </w:r>
      <w:r>
        <w:rPr>
          <w:spacing w:val="-85"/>
        </w:rPr>
      </w:r>
      <w:r>
        <w:rPr/>
        <w:t>益的金融负债；</w:t>
      </w:r>
    </w:p>
    <w:p>
      <w:pPr>
        <w:pStyle w:val="BodyText"/>
        <w:spacing w:line="240" w:lineRule="auto" w:before="19"/>
        <w:ind w:right="0"/>
        <w:jc w:val="left"/>
      </w:pPr>
      <w:r>
        <w:rPr/>
        <w:t>2）其他金融负债。</w:t>
      </w:r>
    </w:p>
    <w:p>
      <w:pPr>
        <w:pStyle w:val="BodyText"/>
        <w:spacing w:line="316" w:lineRule="auto" w:before="76"/>
        <w:ind w:right="1168"/>
        <w:jc w:val="left"/>
      </w:pPr>
      <w:r>
        <w:rPr/>
        <w:t>③以公允价值计量且其变动计入当期损益的金融资产或金融负债 此类金融资产或金融负债进一步分为交易性金融资产或金融负债和直接指定为以公允价值计量且其变动计入当期损益的金</w:t>
      </w:r>
      <w:r>
        <w:rPr>
          <w:spacing w:val="-23"/>
        </w:rPr>
        <w:t> </w:t>
      </w:r>
      <w:r>
        <w:rPr>
          <w:spacing w:val="-23"/>
        </w:rPr>
      </w:r>
      <w:r>
        <w:rPr/>
        <w:t>融资产或金融负债。 交易性金融资产或金融负债，主要是指公司为了近期内出售而持有的金融资产或近期内回购而承担的金融负债。</w:t>
      </w:r>
    </w:p>
    <w:p>
      <w:pPr>
        <w:spacing w:after="0" w:line="316"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033"/>
        <w:jc w:val="left"/>
      </w:pPr>
      <w:r>
        <w:rPr>
          <w:spacing w:val="-2"/>
        </w:rPr>
        <w:t>直接指定为以公允价值计量且其变动计入当期损益的金融资产或金融负债，主要是指公司基于风险管理、战略投资需要等所</w:t>
      </w:r>
      <w:r>
        <w:rPr>
          <w:spacing w:val="-64"/>
        </w:rPr>
        <w:t> </w:t>
      </w:r>
      <w:r>
        <w:rPr>
          <w:spacing w:val="-64"/>
        </w:rPr>
      </w:r>
      <w:r>
        <w:rPr/>
        <w:t>作的指定。 </w:t>
      </w:r>
      <w:r>
        <w:rPr>
          <w:spacing w:val="-2"/>
        </w:rPr>
        <w:t>以公允价值计量且其变动计入当期损益的金融资产按照取得时的公允价值作为初始确认金额，相关的交易费用在发生时计入</w:t>
      </w:r>
      <w:r>
        <w:rPr>
          <w:spacing w:val="-64"/>
        </w:rPr>
        <w:t> </w:t>
      </w:r>
      <w:r>
        <w:rPr>
          <w:spacing w:val="-64"/>
        </w:rPr>
      </w:r>
      <w:r>
        <w:rPr/>
        <w:t>当期损益。支付的价款中包含已宣告但尚未发放的现金股利或已到付息期但尚未领取的债券利息，单独确认为应收项目。 </w:t>
      </w:r>
      <w:r>
        <w:rPr>
          <w:spacing w:val="-2"/>
        </w:rPr>
        <w:t>在持有以公允价值计量且其变动计入当期损益的金融资产期间取得的利息或现金股利，确认为投资收益。资产负债表日，将</w:t>
      </w:r>
      <w:r>
        <w:rPr>
          <w:spacing w:val="-64"/>
        </w:rPr>
        <w:t> </w:t>
      </w:r>
      <w:r>
        <w:rPr>
          <w:spacing w:val="-64"/>
        </w:rPr>
      </w:r>
      <w:r>
        <w:rPr/>
        <w:t>以公允价值计量且其变动计入当期损益的金融资产或金融负债的公允价值变动计入当期损益。 </w:t>
      </w:r>
      <w:r>
        <w:rPr>
          <w:spacing w:val="-2"/>
        </w:rPr>
        <w:t>处置以公允价值计量且其变动计入当期损益的金融资产或金融负债时，其公允价值与初始入账金额之间的差额确认为投资收</w:t>
      </w:r>
      <w:r>
        <w:rPr>
          <w:spacing w:val="-64"/>
        </w:rPr>
        <w:t> </w:t>
      </w:r>
      <w:r>
        <w:rPr>
          <w:spacing w:val="-64"/>
        </w:rPr>
      </w:r>
      <w:r>
        <w:rPr/>
        <w:t>益，同时调整公允价值变动损益。</w:t>
      </w:r>
    </w:p>
    <w:p>
      <w:pPr>
        <w:pStyle w:val="BodyText"/>
        <w:spacing w:line="312" w:lineRule="auto" w:before="18"/>
        <w:ind w:right="1033"/>
        <w:jc w:val="left"/>
      </w:pPr>
      <w:r>
        <w:rPr/>
        <w:t>④持有至到期投资 此类金融资产是指到期日固定、回收金额固定或可确定，且公司有明确意图和能力持有至到期的非衍生金融资产。 </w:t>
      </w:r>
      <w:r>
        <w:rPr>
          <w:spacing w:val="-2"/>
        </w:rPr>
        <w:t>持有至到期投资按取得时的公允价值和相关交易费用之和作为初始确认金额。支付的价款中包含的已到付息期但尚未领取的</w:t>
      </w:r>
      <w:r>
        <w:rPr>
          <w:spacing w:val="-64"/>
        </w:rPr>
        <w:t> </w:t>
      </w:r>
      <w:r>
        <w:rPr>
          <w:spacing w:val="-64"/>
        </w:rPr>
      </w:r>
      <w:r>
        <w:rPr/>
        <w:t>债券利息，应单独确认为应收项目。 </w:t>
      </w:r>
      <w:r>
        <w:rPr>
          <w:spacing w:val="-2"/>
        </w:rPr>
        <w:t>持有至到期投资在持有期间按照摊余成本和实际利率计算确认利息收入，计入投资收益。实际利率应当在取得持有至到期投</w:t>
      </w:r>
      <w:r>
        <w:rPr>
          <w:spacing w:val="-64"/>
        </w:rPr>
        <w:t> </w:t>
      </w:r>
      <w:r>
        <w:rPr>
          <w:spacing w:val="-64"/>
        </w:rPr>
      </w:r>
      <w:r>
        <w:rPr/>
        <w:t>资时确定，在该持有至到期投资预期存续期间或适用的更短期间内保持不变。</w:t>
      </w:r>
      <w:r>
        <w:rPr>
          <w:rFonts w:ascii="Times New Roman" w:hAnsi="Times New Roman" w:cs="Times New Roman" w:eastAsia="Times New Roman" w:hint="default"/>
        </w:rPr>
        <w:t>(</w:t>
      </w:r>
      <w:r>
        <w:rPr/>
        <w:t>实际利率与票面利率差别较小的，也可按票</w:t>
      </w:r>
      <w:r>
        <w:rPr>
          <w:spacing w:val="-61"/>
        </w:rPr>
        <w:t> </w:t>
      </w:r>
      <w:r>
        <w:rPr>
          <w:spacing w:val="-61"/>
        </w:rPr>
      </w:r>
      <w:r>
        <w:rPr/>
        <w:t>面利率计算利息收入，计入投资收益。</w:t>
      </w:r>
      <w:r>
        <w:rPr>
          <w:rFonts w:ascii="Times New Roman" w:hAnsi="Times New Roman" w:cs="Times New Roman" w:eastAsia="Times New Roman" w:hint="default"/>
        </w:rPr>
        <w:t>) </w:t>
      </w:r>
      <w:r>
        <w:rPr/>
        <w:t>处置持有至到期投资时，应将所取得价款与该投资账面价值之间的差额计入投资收益。</w:t>
      </w:r>
    </w:p>
    <w:p>
      <w:pPr>
        <w:pStyle w:val="BodyText"/>
        <w:spacing w:line="316" w:lineRule="auto" w:before="22"/>
        <w:ind w:right="1033"/>
        <w:jc w:val="left"/>
      </w:pPr>
      <w:r>
        <w:rPr/>
        <w:t>⑤应收款项 </w:t>
      </w:r>
      <w:r>
        <w:rPr>
          <w:spacing w:val="-2"/>
        </w:rPr>
        <w:t>应收款项主要是指公司销售商品或提供劳务形成的应收款项等债权，通常应按从购货方应收的合同或协议价款作为初始确认</w:t>
      </w:r>
      <w:r>
        <w:rPr>
          <w:spacing w:val="-64"/>
        </w:rPr>
        <w:t> </w:t>
      </w:r>
      <w:r>
        <w:rPr>
          <w:spacing w:val="-64"/>
        </w:rPr>
      </w:r>
      <w:r>
        <w:rPr/>
        <w:t>金额。收回或处置应收款项时，应将取得的价款与应收款项账面价值之间的差额计入当期损益。</w:t>
      </w:r>
    </w:p>
    <w:p>
      <w:pPr>
        <w:pStyle w:val="BodyText"/>
        <w:spacing w:line="316" w:lineRule="auto" w:before="19"/>
        <w:ind w:right="0"/>
        <w:jc w:val="left"/>
      </w:pPr>
      <w:r>
        <w:rPr/>
        <w:t>⑥可供出售金融资产 </w:t>
      </w:r>
      <w:r>
        <w:rPr>
          <w:spacing w:val="-2"/>
        </w:rPr>
        <w:t>可供出售金融资产通常是指企业没有划分为以公允价值计量且其变动计入当期损益的金融资产、持有至到期投资、贷款和应</w:t>
      </w:r>
      <w:r>
        <w:rPr>
          <w:spacing w:val="-64"/>
        </w:rPr>
        <w:t> </w:t>
      </w:r>
      <w:r>
        <w:rPr>
          <w:spacing w:val="-64"/>
        </w:rPr>
      </w:r>
      <w:r>
        <w:rPr/>
        <w:t>收款项的金融资产。 </w:t>
      </w:r>
      <w:r>
        <w:rPr>
          <w:spacing w:val="-2"/>
        </w:rPr>
        <w:t>可供出售金融资产按取得该金融资产的公允价值和相关交易费用之和作为初始确认金额。支付的价款中包含的已到付息期但</w:t>
      </w:r>
      <w:r>
        <w:rPr>
          <w:spacing w:val="-64"/>
        </w:rPr>
        <w:t> </w:t>
      </w:r>
      <w:r>
        <w:rPr>
          <w:spacing w:val="-64"/>
        </w:rPr>
      </w:r>
      <w:r>
        <w:rPr/>
        <w:t>尚未领取的债券利息或已宣告但尚未发放的现金股利，应单独确认为应收项目。 </w:t>
      </w:r>
      <w:r>
        <w:rPr>
          <w:spacing w:val="-2"/>
        </w:rPr>
        <w:t>可供出售金融资产持有期间取得的利息或现金股利，计入投资收益。资产负债表日，可供出售金融资产以公允价值计量，且</w:t>
      </w:r>
      <w:r>
        <w:rPr>
          <w:spacing w:val="-64"/>
        </w:rPr>
        <w:t> </w:t>
      </w:r>
      <w:r>
        <w:rPr>
          <w:spacing w:val="-64"/>
        </w:rPr>
      </w:r>
      <w:r>
        <w:rPr/>
        <w:t>公允价值变动计入其他综合收益。 </w:t>
      </w:r>
      <w:r>
        <w:rPr>
          <w:spacing w:val="-2"/>
        </w:rPr>
        <w:t>处置可供出售金融资产时，应将取得的价款与该金融资产账面价值之间的差额，计入投资损益；同时，将原直接计入所有者</w:t>
      </w:r>
      <w:r>
        <w:rPr>
          <w:spacing w:val="-66"/>
        </w:rPr>
        <w:t> </w:t>
      </w:r>
      <w:r>
        <w:rPr>
          <w:spacing w:val="-66"/>
        </w:rPr>
      </w:r>
      <w:r>
        <w:rPr/>
        <w:t>权益的公允价值变动累计额对应处置部分的金额转出，计入投资损益。</w:t>
      </w:r>
    </w:p>
    <w:p>
      <w:pPr>
        <w:pStyle w:val="BodyText"/>
        <w:spacing w:line="316" w:lineRule="auto" w:before="19"/>
        <w:ind w:right="0"/>
        <w:jc w:val="left"/>
      </w:pPr>
      <w:r>
        <w:rPr/>
        <w:t>⑦其他金融负债 </w:t>
      </w:r>
      <w:r>
        <w:rPr>
          <w:spacing w:val="-2"/>
        </w:rPr>
        <w:t>其他金融负债是指除以公允价值计量且其变动计入当期损益的金融负债以外的金融负债。通常情况下，公司发行的债券、因</w:t>
      </w:r>
      <w:r>
        <w:rPr>
          <w:spacing w:val="-64"/>
        </w:rPr>
        <w:t> </w:t>
      </w:r>
      <w:r>
        <w:rPr>
          <w:spacing w:val="-64"/>
        </w:rPr>
      </w:r>
      <w:r>
        <w:rPr/>
        <w:t>购买商品产生的应付账款、长期应付款等，应当划分为其他金融负债。 其他金融负债应当按其公允价值和相关交易费用之和作为初始确认金额。其他金融负债通常采用摊余成本进行后续计量。</w:t>
      </w:r>
    </w:p>
    <w:p>
      <w:pPr>
        <w:pStyle w:val="BodyText"/>
        <w:spacing w:line="338" w:lineRule="auto" w:before="18"/>
        <w:ind w:right="0"/>
        <w:jc w:val="left"/>
      </w:pPr>
      <w:r>
        <w:rPr/>
        <w:t>（2）金融资产转移的确认依据和计量方法 </w:t>
      </w:r>
      <w:r>
        <w:rPr>
          <w:spacing w:val="-2"/>
        </w:rPr>
        <w:t>公司已将金融资产所有权上几乎所有的风险和报酬转移给转入方的，终止确认该金融资产；保留了金融资产所有权上几乎所</w:t>
      </w:r>
      <w:r>
        <w:rPr>
          <w:spacing w:val="-64"/>
        </w:rPr>
        <w:t> </w:t>
      </w:r>
      <w:r>
        <w:rPr>
          <w:spacing w:val="-64"/>
        </w:rPr>
      </w:r>
      <w:r>
        <w:rPr>
          <w:spacing w:val="-4"/>
        </w:rPr>
        <w:t>有的风险和报酬的，不终止确认该金融资产。终止确认，是指将金融资产或金融负债从公司的账户和资产负债表内予以转销。</w:t>
      </w:r>
    </w:p>
    <w:p>
      <w:pPr>
        <w:pStyle w:val="BodyText"/>
        <w:spacing w:line="240" w:lineRule="auto" w:before="2"/>
        <w:ind w:right="0"/>
        <w:jc w:val="left"/>
      </w:pPr>
      <w:r>
        <w:rPr/>
        <w:t>金融资产整体转移满足终止确认条件的，应当将下列两项金额的差额计入当期损益：</w:t>
      </w:r>
    </w:p>
    <w:p>
      <w:pPr>
        <w:pStyle w:val="BodyText"/>
        <w:spacing w:line="240" w:lineRule="auto" w:before="117"/>
        <w:ind w:right="0"/>
        <w:jc w:val="left"/>
      </w:pPr>
      <w:r>
        <w:rPr/>
        <w:t>①所转移金融资产的账面价值；</w:t>
      </w:r>
    </w:p>
    <w:p>
      <w:pPr>
        <w:pStyle w:val="BodyText"/>
        <w:spacing w:line="300" w:lineRule="auto" w:before="117"/>
        <w:ind w:right="1033"/>
        <w:jc w:val="left"/>
      </w:pPr>
      <w:r>
        <w:rPr>
          <w:spacing w:val="-1"/>
        </w:rPr>
        <w:t>②因转移而收到的对价，与原直接计入所有者权益的公允价值变动累计额</w:t>
      </w:r>
      <w:r>
        <w:rPr>
          <w:rFonts w:ascii="Times New Roman" w:hAnsi="Times New Roman" w:cs="Times New Roman" w:eastAsia="Times New Roman" w:hint="default"/>
          <w:spacing w:val="-1"/>
        </w:rPr>
        <w:t>(</w:t>
      </w:r>
      <w:r>
        <w:rPr>
          <w:spacing w:val="-1"/>
        </w:rPr>
        <w:t>涉及转移的金融资产为可供出售金融资产的情形</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0"/>
        </w:rPr>
        <w:t> </w:t>
      </w:r>
      <w:r>
        <w:rPr/>
        <w:t>之和。</w:t>
      </w:r>
    </w:p>
    <w:p>
      <w:pPr>
        <w:pStyle w:val="BodyText"/>
        <w:spacing w:line="300" w:lineRule="auto" w:before="69"/>
        <w:ind w:right="1132"/>
        <w:jc w:val="both"/>
      </w:pPr>
      <w:r>
        <w:rPr/>
        <w:t>金融资产部分转移满足终止确认条件的，将所转移金融资产整体的账面价值，在终止确认部分和未终止确认部分</w:t>
      </w:r>
      <w:r>
        <w:rPr>
          <w:rFonts w:ascii="Times New Roman" w:hAnsi="Times New Roman" w:cs="Times New Roman" w:eastAsia="Times New Roman" w:hint="default"/>
        </w:rPr>
        <w:t>(</w:t>
      </w:r>
      <w:r>
        <w:rPr/>
        <w:t>在此种情</w:t>
      </w:r>
      <w:r>
        <w:rPr>
          <w:spacing w:val="-58"/>
        </w:rPr>
        <w:t> </w:t>
      </w:r>
      <w:r>
        <w:rPr>
          <w:spacing w:val="-58"/>
        </w:rPr>
      </w:r>
      <w:r>
        <w:rPr/>
        <w:t>况下，所保留的服务资产应当视同未终止确认金融资产的一部分</w:t>
      </w:r>
      <w:r>
        <w:rPr>
          <w:rFonts w:ascii="Times New Roman" w:hAnsi="Times New Roman" w:cs="Times New Roman" w:eastAsia="Times New Roman" w:hint="default"/>
        </w:rPr>
        <w:t>)</w:t>
      </w:r>
      <w:r>
        <w:rPr/>
        <w:t>之间，按照各自的相对公允价值进行分摊，并将下列两项</w:t>
      </w:r>
      <w:r>
        <w:rPr>
          <w:spacing w:val="-63"/>
        </w:rPr>
        <w:t> </w:t>
      </w:r>
      <w:r>
        <w:rPr>
          <w:spacing w:val="-63"/>
        </w:rPr>
      </w:r>
      <w:r>
        <w:rPr/>
        <w:t>金额的差额计入当期损益：</w:t>
      </w:r>
    </w:p>
    <w:p>
      <w:pPr>
        <w:pStyle w:val="BodyText"/>
        <w:spacing w:line="240" w:lineRule="auto" w:before="72"/>
        <w:ind w:right="0"/>
        <w:jc w:val="left"/>
      </w:pPr>
      <w:r>
        <w:rPr/>
        <w:t>1）终止确认部分的账面价值；</w:t>
      </w:r>
    </w:p>
    <w:p>
      <w:pPr>
        <w:pStyle w:val="BodyText"/>
        <w:spacing w:line="240" w:lineRule="auto" w:before="117"/>
        <w:ind w:right="0"/>
        <w:jc w:val="left"/>
      </w:pPr>
      <w:r>
        <w:rPr/>
        <w:t>2）终止确认部分的对价，与原直接计入所有者权益的公允价值变动累计额中对应终止确认部分的金额</w:t>
      </w:r>
      <w:r>
        <w:rPr>
          <w:rFonts w:ascii="Times New Roman" w:hAnsi="Times New Roman" w:cs="Times New Roman" w:eastAsia="Times New Roman" w:hint="default"/>
        </w:rPr>
        <w:t>(</w:t>
      </w:r>
      <w:r>
        <w:rPr/>
        <w:t>涉及转移的金融资产</w:t>
      </w:r>
    </w:p>
    <w:p>
      <w:pPr>
        <w:spacing w:after="0" w:line="240" w:lineRule="auto"/>
        <w:jc w:val="left"/>
        <w:sectPr>
          <w:footerReference w:type="default" r:id="rId26"/>
          <w:pgSz w:w="11910" w:h="16840"/>
          <w:pgMar w:footer="1017" w:header="905" w:top="1100" w:bottom="1200" w:left="1020" w:right="0"/>
          <w:pgNumType w:start="90"/>
        </w:sectPr>
      </w:pPr>
    </w:p>
    <w:p>
      <w:pPr>
        <w:spacing w:line="240" w:lineRule="auto" w:before="13"/>
        <w:rPr>
          <w:rFonts w:ascii="宋体" w:hAnsi="宋体" w:cs="宋体" w:eastAsia="宋体" w:hint="default"/>
          <w:sz w:val="22"/>
          <w:szCs w:val="22"/>
        </w:rPr>
      </w:pPr>
    </w:p>
    <w:p>
      <w:pPr>
        <w:pStyle w:val="BodyText"/>
        <w:spacing w:line="328" w:lineRule="auto" w:before="44"/>
        <w:ind w:right="0"/>
        <w:jc w:val="left"/>
      </w:pPr>
      <w:r>
        <w:rPr/>
        <w:t>为可供出售金融资产的情形</w:t>
      </w:r>
      <w:r>
        <w:rPr>
          <w:rFonts w:ascii="Times New Roman" w:hAnsi="Times New Roman" w:cs="Times New Roman" w:eastAsia="Times New Roman" w:hint="default"/>
        </w:rPr>
        <w:t>)</w:t>
      </w:r>
      <w:r>
        <w:rPr/>
        <w:t>之和。 </w:t>
      </w:r>
      <w:r>
        <w:rPr>
          <w:spacing w:val="-2"/>
        </w:rPr>
        <w:t>公司仍保留与所转移金融资产所有权上几乎所有的风险和报酬的，则继续确认所转移金融资产整体，并将收到的对价确认为</w:t>
      </w:r>
      <w:r>
        <w:rPr>
          <w:spacing w:val="-64"/>
        </w:rPr>
        <w:t> </w:t>
      </w:r>
      <w:r>
        <w:rPr>
          <w:spacing w:val="-64"/>
        </w:rPr>
      </w:r>
      <w:r>
        <w:rPr/>
        <w:t>一项金融负债。</w:t>
      </w:r>
    </w:p>
    <w:p>
      <w:pPr>
        <w:pStyle w:val="BodyText"/>
        <w:spacing w:line="360" w:lineRule="auto" w:before="50"/>
        <w:ind w:right="4093"/>
        <w:jc w:val="left"/>
      </w:pPr>
      <w:r>
        <w:rPr/>
        <w:t>（3）金融负债终止确认条件 金融负债的现时义务全部或部分已经解除的，则应终止确认该金融负债或其一部分。</w:t>
      </w:r>
    </w:p>
    <w:p>
      <w:pPr>
        <w:pStyle w:val="BodyText"/>
        <w:spacing w:line="222" w:lineRule="exact"/>
        <w:ind w:right="0"/>
        <w:jc w:val="left"/>
      </w:pPr>
      <w:r>
        <w:rPr/>
        <w:t>（4）金融资产和金融负债的公允价值确定方法</w:t>
      </w:r>
    </w:p>
    <w:p>
      <w:pPr>
        <w:pStyle w:val="BodyText"/>
        <w:spacing w:line="316" w:lineRule="auto" w:before="76"/>
        <w:ind w:right="1132"/>
        <w:jc w:val="both"/>
      </w:pPr>
      <w:r>
        <w:rPr>
          <w:spacing w:val="-2"/>
        </w:rPr>
        <w:t>公允价值，是指市场参与者在计量日发生的有序交易中，出售一项资产所能收到或者转移一项负债所需支付的价格。公司将</w:t>
      </w:r>
      <w:r>
        <w:rPr>
          <w:spacing w:val="-65"/>
        </w:rPr>
        <w:t> </w:t>
      </w:r>
      <w:r>
        <w:rPr>
          <w:spacing w:val="-65"/>
        </w:rPr>
      </w:r>
      <w:r>
        <w:rPr>
          <w:spacing w:val="-2"/>
        </w:rPr>
        <w:t>公允价值计量所使用的输入值划分为三个层次，并首先使用第一层次输入值，其次使用第二层次输入值，最后使用第三层次</w:t>
      </w:r>
      <w:r>
        <w:rPr>
          <w:spacing w:val="-65"/>
        </w:rPr>
        <w:t> </w:t>
      </w:r>
      <w:r>
        <w:rPr>
          <w:spacing w:val="-65"/>
        </w:rPr>
      </w:r>
      <w:r>
        <w:rPr/>
        <w:t>输入值。</w:t>
      </w:r>
    </w:p>
    <w:p>
      <w:pPr>
        <w:pStyle w:val="BodyText"/>
        <w:spacing w:line="338" w:lineRule="auto" w:before="57"/>
        <w:ind w:right="1033"/>
        <w:jc w:val="left"/>
      </w:pPr>
      <w:r>
        <w:rPr>
          <w:spacing w:val="-2"/>
        </w:rPr>
        <w:t>第一层次输入值是在计量日能够取得的相同资产或负债在活跃市场上未经调整的报价。活跃市场，是指相关资产或负债的交</w:t>
      </w:r>
      <w:r>
        <w:rPr>
          <w:spacing w:val="-64"/>
        </w:rPr>
        <w:t> </w:t>
      </w:r>
      <w:r>
        <w:rPr>
          <w:spacing w:val="-64"/>
        </w:rPr>
      </w:r>
      <w:r>
        <w:rPr/>
        <w:t>易量和交易频率足以持续提供定价信息的市场。 第二层次输入值是除第一层次输入值外相关资产或负债直接或间接可观察的输入值。</w:t>
      </w:r>
    </w:p>
    <w:p>
      <w:pPr>
        <w:pStyle w:val="BodyText"/>
        <w:spacing w:line="240" w:lineRule="auto" w:before="43"/>
        <w:ind w:right="0"/>
        <w:jc w:val="left"/>
      </w:pPr>
      <w:r>
        <w:rPr/>
        <w:t>第三层次输入值是相关资产或负债的不可观察输入值。</w:t>
      </w:r>
    </w:p>
    <w:p>
      <w:pPr>
        <w:pStyle w:val="BodyText"/>
        <w:spacing w:line="240" w:lineRule="auto" w:before="114"/>
        <w:ind w:right="0"/>
        <w:jc w:val="left"/>
      </w:pPr>
      <w:r>
        <w:rPr/>
        <w:t>（5）金融资产</w:t>
      </w:r>
      <w:r>
        <w:rPr>
          <w:rFonts w:ascii="Times New Roman" w:hAnsi="Times New Roman" w:cs="Times New Roman" w:eastAsia="Times New Roman" w:hint="default"/>
        </w:rPr>
        <w:t>(</w:t>
      </w:r>
      <w:r>
        <w:rPr/>
        <w:t>此处不含应收款项</w:t>
      </w:r>
      <w:r>
        <w:rPr>
          <w:rFonts w:ascii="Times New Roman" w:hAnsi="Times New Roman" w:cs="Times New Roman" w:eastAsia="Times New Roman" w:hint="default"/>
        </w:rPr>
        <w:t>)</w:t>
      </w:r>
      <w:r>
        <w:rPr/>
        <w:t>减值测试方法、减值准备计提方法</w:t>
      </w:r>
    </w:p>
    <w:p>
      <w:pPr>
        <w:pStyle w:val="BodyText"/>
        <w:spacing w:line="319" w:lineRule="auto" w:before="103"/>
        <w:ind w:right="0"/>
        <w:jc w:val="left"/>
      </w:pPr>
      <w:r>
        <w:rPr>
          <w:spacing w:val="-2"/>
        </w:rPr>
        <w:t>①对于持有至到期投资和贷款，有客观证据表明其发生了减值的，应当根据其账面价值与预计未来现金流量现值之间的差额</w:t>
      </w:r>
      <w:r>
        <w:rPr>
          <w:spacing w:val="-64"/>
        </w:rPr>
        <w:t> </w:t>
      </w:r>
      <w:r>
        <w:rPr>
          <w:spacing w:val="-64"/>
        </w:rPr>
      </w:r>
      <w:r>
        <w:rPr/>
        <w:t>计算确认减值损失。</w:t>
      </w:r>
    </w:p>
    <w:p>
      <w:pPr>
        <w:pStyle w:val="BodyText"/>
        <w:spacing w:line="316" w:lineRule="auto" w:before="58"/>
        <w:ind w:right="1132"/>
        <w:jc w:val="both"/>
      </w:pPr>
      <w:r>
        <w:rPr>
          <w:spacing w:val="-2"/>
        </w:rPr>
        <w:t>②通常情况下，如果可供出售金融资产的公允价值发生较大幅度下降，或在综合考虑各种相关因素后，预期这种下降趋势属</w:t>
      </w:r>
      <w:r>
        <w:rPr>
          <w:spacing w:val="-65"/>
        </w:rPr>
        <w:t> </w:t>
      </w:r>
      <w:r>
        <w:rPr>
          <w:spacing w:val="-65"/>
        </w:rPr>
      </w:r>
      <w:r>
        <w:rPr>
          <w:spacing w:val="-2"/>
        </w:rPr>
        <w:t>于非暂时性的，可以认定该可供出售金融资产已发生减值，应当确认减值损失。可供出售金融资产发生减值的，在确认减值</w:t>
      </w:r>
      <w:r>
        <w:rPr>
          <w:spacing w:val="-66"/>
        </w:rPr>
        <w:t> </w:t>
      </w:r>
      <w:r>
        <w:rPr>
          <w:spacing w:val="-66"/>
        </w:rPr>
      </w:r>
      <w:r>
        <w:rPr/>
        <w:t>损失时，将原直接计入所有者权益的公允价值下降形成的累计损失一并转出，计入减值损失。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783"/>
        <w:gridCol w:w="4783"/>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应收款项中欠款金额前三名。</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0" w:right="170"/>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 预计未来现金流量现值低于其账面价值的差额计提坏账准 备，计入当期损益。单独测试未发生减值的应收款项，将 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783"/>
        <w:gridCol w:w="4783"/>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t>√ 适用 □ 不适用</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60" w:lineRule="auto" w:before="117"/>
        <w:ind w:right="7513"/>
        <w:jc w:val="left"/>
      </w:pPr>
      <w:r>
        <w:rPr/>
        <w:t>□ 适用 √ 不适用 组合中，采用其他方法计提坏账准备的：</w:t>
      </w:r>
    </w:p>
    <w:p>
      <w:pPr>
        <w:pStyle w:val="BodyText"/>
        <w:spacing w:line="240" w:lineRule="auto" w:before="24"/>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783"/>
        <w:gridCol w:w="4783"/>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w:t>
            </w:r>
          </w:p>
        </w:tc>
      </w:tr>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 </w:t>
            </w:r>
            <w:r>
              <w:rPr>
                <w:rFonts w:ascii="宋体" w:hAnsi="宋体" w:cs="宋体" w:eastAsia="宋体" w:hint="default"/>
                <w:spacing w:val="-1"/>
                <w:sz w:val="18"/>
                <w:szCs w:val="18"/>
              </w:rPr>
              <w:t>值损失，计提坏账准备。单独测试未发生减值的应收款项，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7"/>
        <w:ind w:right="1123"/>
        <w:jc w:val="left"/>
      </w:pPr>
      <w:r>
        <w:rPr/>
        <w:t>（1）存货是指在日常活动中持有以备出售的产成品或商品、处在生产过程中的在产品、在生产过程及提供劳务过程中耗用</w:t>
      </w:r>
      <w:r>
        <w:rPr>
          <w:spacing w:val="-85"/>
        </w:rPr>
        <w:t> </w:t>
      </w:r>
      <w:r>
        <w:rPr>
          <w:spacing w:val="-85"/>
        </w:rPr>
      </w:r>
      <w:r>
        <w:rPr/>
        <w:t>的材料和物料。存货同时满足下列条件的，予以确认：</w:t>
      </w:r>
    </w:p>
    <w:p>
      <w:pPr>
        <w:pStyle w:val="BodyText"/>
        <w:spacing w:line="240" w:lineRule="auto" w:before="19"/>
        <w:ind w:right="0"/>
        <w:jc w:val="left"/>
      </w:pPr>
      <w:r>
        <w:rPr/>
        <w:t>①与该存货有关的经济利益很可能流入企业；</w:t>
      </w:r>
    </w:p>
    <w:p>
      <w:pPr>
        <w:pStyle w:val="BodyText"/>
        <w:spacing w:line="240" w:lineRule="auto" w:before="76"/>
        <w:ind w:right="0"/>
        <w:jc w:val="left"/>
      </w:pPr>
      <w:r>
        <w:rPr/>
        <w:t>②该存货的成本能够可靠地计量。</w:t>
      </w:r>
    </w:p>
    <w:p>
      <w:pPr>
        <w:pStyle w:val="BodyText"/>
        <w:spacing w:line="357" w:lineRule="auto" w:before="76"/>
        <w:ind w:right="5893"/>
        <w:jc w:val="left"/>
      </w:pPr>
      <w:r>
        <w:rPr/>
        <w:t>（2）存货的分类 存货包括原材料、在产品、半成品、库存商品以及周转材料。</w:t>
      </w:r>
    </w:p>
    <w:p>
      <w:pPr>
        <w:pStyle w:val="BodyText"/>
        <w:spacing w:line="316" w:lineRule="auto" w:before="29"/>
        <w:ind w:right="7513"/>
        <w:jc w:val="left"/>
      </w:pPr>
      <w:r>
        <w:rPr/>
        <w:t>（3）发出存货的计价方法 发出存货时按月末一次加权平均法计价。</w:t>
      </w:r>
    </w:p>
    <w:p>
      <w:pPr>
        <w:pStyle w:val="BodyText"/>
        <w:spacing w:line="338" w:lineRule="auto" w:before="19"/>
        <w:ind w:right="0"/>
        <w:jc w:val="left"/>
      </w:pPr>
      <w:r>
        <w:rPr/>
        <w:t>（4）存货可变现净值的确定依据及存货跌价准备的计提方法 </w:t>
      </w:r>
      <w:r>
        <w:rPr>
          <w:spacing w:val="-2"/>
        </w:rPr>
        <w:t>于资产负债表日，存货按照成本与可变现净值孰低计量，存货成本高于其可变现净值的，应当计提存货跌价准备，计入当期</w:t>
      </w:r>
      <w:r>
        <w:rPr>
          <w:spacing w:val="-66"/>
        </w:rPr>
        <w:t> </w:t>
      </w:r>
      <w:r>
        <w:rPr>
          <w:spacing w:val="-66"/>
        </w:rPr>
      </w:r>
      <w:r>
        <w:rPr>
          <w:spacing w:val="-2"/>
        </w:rPr>
        <w:t>损益。可变现净值，是指在日常活动中，存货的估计售价减去至完工时估计将要发生的成本、估计的销售费用以及相关税费</w:t>
      </w:r>
    </w:p>
    <w:p>
      <w:pPr>
        <w:pStyle w:val="BodyText"/>
        <w:spacing w:line="357" w:lineRule="auto" w:before="2"/>
        <w:ind w:right="7693"/>
        <w:jc w:val="left"/>
      </w:pPr>
      <w:r>
        <w:rPr/>
        <w:t>后的金额。 各类存货可变现净值的确定依据如下：</w:t>
      </w:r>
    </w:p>
    <w:p>
      <w:pPr>
        <w:pStyle w:val="BodyText"/>
        <w:spacing w:line="224" w:lineRule="exact"/>
        <w:ind w:right="0"/>
        <w:jc w:val="left"/>
      </w:pPr>
      <w:r>
        <w:rPr/>
        <w:t>①产成品、商品和用于出售的材料等直接用于出售的商品存货，在正常生产经营过程中，以该存货的估计售价减去估计的销</w:t>
      </w:r>
    </w:p>
    <w:p>
      <w:pPr>
        <w:pStyle w:val="BodyText"/>
        <w:spacing w:line="316" w:lineRule="auto" w:before="76"/>
        <w:ind w:right="0"/>
        <w:jc w:val="left"/>
      </w:pPr>
      <w:r>
        <w:rPr>
          <w:spacing w:val="-2"/>
        </w:rPr>
        <w:t>售费用和相关税费后的金额，确定其可变现净值。②需要经过加工的材料存货，在正常生产经营过程中，以所生产的产成品</w:t>
      </w:r>
      <w:r>
        <w:rPr>
          <w:spacing w:val="-66"/>
        </w:rPr>
        <w:t> </w:t>
      </w:r>
      <w:r>
        <w:rPr>
          <w:spacing w:val="-66"/>
        </w:rPr>
      </w:r>
      <w:r>
        <w:rPr/>
        <w:t>的估计售价减去至完工时估计将要发生的成本、估计的销售费用和相关税费后的金额，确定其可变现净值。</w:t>
      </w:r>
    </w:p>
    <w:p>
      <w:pPr>
        <w:pStyle w:val="BodyText"/>
        <w:spacing w:line="319" w:lineRule="auto" w:before="18"/>
        <w:ind w:right="0"/>
        <w:jc w:val="left"/>
      </w:pPr>
      <w:r>
        <w:rPr>
          <w:spacing w:val="-2"/>
        </w:rPr>
        <w:t>③资产负债表日，同一项存货中一部分有合同价格约定、其他部分不存在合同价格的，应当分别确定其可变现净值，并与其</w:t>
      </w:r>
      <w:r>
        <w:rPr>
          <w:spacing w:val="-66"/>
        </w:rPr>
        <w:t> </w:t>
      </w:r>
      <w:r>
        <w:rPr>
          <w:spacing w:val="-66"/>
        </w:rPr>
      </w:r>
      <w:r>
        <w:rPr/>
        <w:t>相对应的成本进行比较，分别确定存货跌价准备的计提或转回的金额。</w:t>
      </w:r>
    </w:p>
    <w:p>
      <w:pPr>
        <w:pStyle w:val="BodyText"/>
        <w:spacing w:line="316" w:lineRule="auto" w:before="58"/>
        <w:ind w:right="0"/>
        <w:jc w:val="left"/>
      </w:pPr>
      <w:r>
        <w:rPr>
          <w:spacing w:val="-2"/>
        </w:rPr>
        <w:t>存货跌价准备按单个存货项目计提，与在同一地区生产和销售的产品系列相关、具有相同或类似最终用途或目的，且难以与</w:t>
      </w:r>
      <w:r>
        <w:rPr>
          <w:spacing w:val="-65"/>
        </w:rPr>
        <w:t> </w:t>
      </w:r>
      <w:r>
        <w:rPr>
          <w:spacing w:val="-65"/>
        </w:rPr>
      </w:r>
      <w:r>
        <w:rPr/>
        <w:t>其他项目分开计量的存货，合并计提存货跌价准备。</w:t>
      </w:r>
    </w:p>
    <w:p>
      <w:pPr>
        <w:pStyle w:val="BodyText"/>
        <w:spacing w:line="316" w:lineRule="auto" w:before="59"/>
        <w:ind w:right="9043"/>
        <w:jc w:val="left"/>
      </w:pPr>
      <w:r>
        <w:rPr/>
        <w:t>（5）存货的盘存制度 采用永续盘存制。</w:t>
      </w:r>
    </w:p>
    <w:p>
      <w:pPr>
        <w:pStyle w:val="BodyText"/>
        <w:spacing w:line="357" w:lineRule="auto" w:before="19"/>
        <w:ind w:right="6793"/>
        <w:jc w:val="left"/>
      </w:pPr>
      <w:r>
        <w:rPr/>
        <w:t>（6）低值易耗品和包装物的摊销方法 对低值易耗品和包装物采用一次转销法进行摊销。</w:t>
      </w:r>
    </w:p>
    <w:p>
      <w:pPr>
        <w:spacing w:after="0" w:line="357"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0"/>
        <w:jc w:val="left"/>
      </w:pPr>
      <w:r>
        <w:rPr/>
        <w:t>（1）持有待售的非流动资产和处置组确认标准 </w:t>
      </w:r>
      <w:r>
        <w:rPr>
          <w:spacing w:val="-2"/>
        </w:rPr>
        <w:t>公司若主要通过出售（包括具有商业实质的非货币性资产交换，下同）而非持续使用一项非流动资产或处置组收回其账面价</w:t>
      </w:r>
      <w:r>
        <w:rPr>
          <w:spacing w:val="-65"/>
        </w:rPr>
        <w:t> </w:t>
      </w:r>
      <w:r>
        <w:rPr>
          <w:spacing w:val="-65"/>
        </w:rPr>
      </w:r>
      <w:r>
        <w:rPr/>
        <w:t>值的，则将其划分为持有待售类别。具体标准为同时满足以下条件：</w:t>
      </w:r>
    </w:p>
    <w:p>
      <w:pPr>
        <w:pStyle w:val="BodyText"/>
        <w:spacing w:line="240" w:lineRule="auto" w:before="41"/>
        <w:ind w:right="0"/>
        <w:jc w:val="left"/>
      </w:pPr>
      <w:r>
        <w:rPr/>
        <w:t>①根据类似交易中出售此类资产或处置组的惯例，在当前状况下即可立即出售；</w:t>
      </w:r>
    </w:p>
    <w:p>
      <w:pPr>
        <w:pStyle w:val="BodyText"/>
        <w:spacing w:line="338" w:lineRule="auto" w:before="117"/>
        <w:ind w:right="1026"/>
        <w:jc w:val="left"/>
      </w:pPr>
      <w:r>
        <w:rPr/>
        <w:t>②出售极可能发生，即企业已经就一项出售计划作出决议且获得确定的购买承诺，预计出售将在一年内完成。 </w:t>
      </w:r>
      <w:r>
        <w:rPr>
          <w:spacing w:val="-2"/>
        </w:rPr>
        <w:t>其中，处置组是指在一项交易中作为整体通过出售或其他方式一并处置的一组资产，以及在该交易中转让的与这些资产直接</w:t>
      </w:r>
      <w:r>
        <w:rPr>
          <w:spacing w:val="-64"/>
        </w:rPr>
        <w:t> </w:t>
      </w:r>
      <w:r>
        <w:rPr>
          <w:spacing w:val="-64"/>
        </w:rPr>
      </w:r>
      <w:r>
        <w:rPr/>
        <w:t>相关的负债。处置组所属的资产组或资产组组合按照《企业会计准则第</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资产减值》分摊了企业合并中取得的商誉的，</w:t>
      </w:r>
    </w:p>
    <w:p>
      <w:pPr>
        <w:pStyle w:val="BodyText"/>
        <w:spacing w:line="217" w:lineRule="exact"/>
        <w:ind w:right="0"/>
        <w:jc w:val="left"/>
      </w:pPr>
      <w:r>
        <w:rPr/>
        <w:t>该处置组应当包含分摊至处置组的商誉。</w:t>
      </w:r>
    </w:p>
    <w:p>
      <w:pPr>
        <w:pStyle w:val="BodyText"/>
        <w:spacing w:line="316" w:lineRule="auto" w:before="115"/>
        <w:ind w:right="1132"/>
        <w:jc w:val="both"/>
      </w:pPr>
      <w:r>
        <w:rPr>
          <w:spacing w:val="-2"/>
        </w:rPr>
        <w:t>因出售对子公司的投资等原因导致丧失对子公司控制权的，无论出售后是否保留部分权益性投资，在拟出售的对子公司投资</w:t>
      </w:r>
      <w:r>
        <w:rPr>
          <w:spacing w:val="-64"/>
        </w:rPr>
        <w:t> </w:t>
      </w:r>
      <w:r>
        <w:rPr>
          <w:spacing w:val="-64"/>
        </w:rPr>
      </w:r>
      <w:r>
        <w:rPr>
          <w:spacing w:val="-2"/>
        </w:rPr>
        <w:t>满足持有待售类别划分条件时，在母公司个别财务报表中将对子公司投资整体划分为持有待售类别，在合并财务报表中将子</w:t>
      </w:r>
      <w:r>
        <w:rPr>
          <w:spacing w:val="-64"/>
        </w:rPr>
        <w:t> </w:t>
      </w:r>
      <w:r>
        <w:rPr>
          <w:spacing w:val="-64"/>
        </w:rPr>
      </w:r>
      <w:r>
        <w:rPr/>
        <w:t>公司所有资产和负债划分为持有待售类别。</w:t>
      </w:r>
    </w:p>
    <w:p>
      <w:pPr>
        <w:pStyle w:val="BodyText"/>
        <w:spacing w:line="338" w:lineRule="auto" w:before="59"/>
        <w:ind w:right="0"/>
        <w:jc w:val="left"/>
      </w:pPr>
      <w:r>
        <w:rPr/>
        <w:t>（2）会计处理方法 </w:t>
      </w:r>
      <w:r>
        <w:rPr>
          <w:spacing w:val="-2"/>
        </w:rPr>
        <w:t>初始计量或在资产负债表日重新计量划分为持有待售的非流动资产和处置组时，其账面价值高于公允价值减去出售费用后的</w:t>
      </w:r>
      <w:r>
        <w:rPr>
          <w:spacing w:val="-64"/>
        </w:rPr>
        <w:t> </w:t>
      </w:r>
      <w:r>
        <w:rPr>
          <w:spacing w:val="-64"/>
        </w:rPr>
      </w:r>
      <w:r>
        <w:rPr>
          <w:spacing w:val="-2"/>
        </w:rPr>
        <w:t>净额的，将账面价值减记至公允价值减去出售费用后的净额，减记的金额确认为资产减值损失，计入当期损益，同时计提持</w:t>
      </w:r>
    </w:p>
    <w:p>
      <w:pPr>
        <w:pStyle w:val="BodyText"/>
        <w:spacing w:line="240" w:lineRule="auto" w:before="2"/>
        <w:ind w:right="0"/>
        <w:jc w:val="left"/>
      </w:pPr>
      <w:r>
        <w:rPr/>
        <w:t>有待售资产减值准备。对于处置组，所确认的资产减值损失先抵减处置组中商誉的账面价值，再按比例抵减该处置组内适用</w:t>
      </w:r>
    </w:p>
    <w:p>
      <w:pPr>
        <w:pStyle w:val="BodyText"/>
        <w:spacing w:line="314" w:lineRule="auto" w:before="76"/>
        <w:ind w:right="1132"/>
        <w:jc w:val="both"/>
      </w:pPr>
      <w:r>
        <w:rPr>
          <w:spacing w:val="-2"/>
          <w:w w:val="100"/>
        </w:rPr>
        <w:t>《企业会计准则第</w:t>
      </w:r>
      <w:r>
        <w:rPr>
          <w:rFonts w:ascii="Times New Roman" w:hAnsi="Times New Roman" w:cs="Times New Roman" w:eastAsia="Times New Roman" w:hint="default"/>
          <w:spacing w:val="-2"/>
          <w:w w:val="100"/>
        </w:rPr>
        <w:t>42</w:t>
      </w:r>
      <w:r>
        <w:rPr>
          <w:spacing w:val="-2"/>
          <w:w w:val="100"/>
        </w:rPr>
        <w:t>号</w:t>
      </w:r>
      <w:r>
        <w:rPr>
          <w:rFonts w:ascii="Times New Roman" w:hAnsi="Times New Roman" w:cs="Times New Roman" w:eastAsia="Times New Roman" w:hint="default"/>
          <w:spacing w:val="-2"/>
          <w:w w:val="100"/>
        </w:rPr>
        <w:t>—</w:t>
      </w:r>
      <w:r>
        <w:rPr>
          <w:spacing w:val="-2"/>
          <w:w w:val="100"/>
        </w:rPr>
        <w:t>持有待售的非流动资产、处置组和终止经营》（以下简称</w:t>
      </w:r>
      <w:r>
        <w:rPr>
          <w:rFonts w:ascii="Times New Roman" w:hAnsi="Times New Roman" w:cs="Times New Roman" w:eastAsia="Times New Roman" w:hint="default"/>
          <w:spacing w:val="-2"/>
          <w:w w:val="100"/>
        </w:rPr>
        <w:t>“</w:t>
      </w:r>
      <w:r>
        <w:rPr>
          <w:spacing w:val="-2"/>
          <w:w w:val="100"/>
        </w:rPr>
        <w:t>持有待售准则</w:t>
      </w:r>
      <w:r>
        <w:rPr>
          <w:rFonts w:ascii="Times New Roman" w:hAnsi="Times New Roman" w:cs="Times New Roman" w:eastAsia="Times New Roman" w:hint="default"/>
          <w:spacing w:val="-2"/>
          <w:w w:val="100"/>
        </w:rPr>
        <w:t>”</w:t>
      </w:r>
      <w:r>
        <w:rPr>
          <w:spacing w:val="-2"/>
          <w:w w:val="100"/>
        </w:rPr>
        <w:t>）的计量规定的各项非流</w:t>
      </w:r>
      <w:r>
        <w:rPr>
          <w:spacing w:val="-48"/>
          <w:w w:val="100"/>
        </w:rPr>
        <w:t> </w:t>
      </w:r>
      <w:r>
        <w:rPr>
          <w:spacing w:val="-48"/>
          <w:w w:val="100"/>
        </w:rPr>
      </w:r>
      <w:r>
        <w:rPr>
          <w:spacing w:val="-2"/>
        </w:rPr>
        <w:t>动资产的账面价值。后续资产负债表日持有待售的处置组公允价值减去出售费用后的净额增加的，以前减记的金额应当予以</w:t>
      </w:r>
      <w:r>
        <w:rPr>
          <w:spacing w:val="-64"/>
        </w:rPr>
        <w:t> </w:t>
      </w:r>
      <w:r>
        <w:rPr>
          <w:spacing w:val="-64"/>
        </w:rPr>
      </w:r>
      <w:r>
        <w:rPr>
          <w:spacing w:val="-2"/>
        </w:rPr>
        <w:t>恢复，并在划分为持有待售类别后适用持有待售准则计量规定的非流动资产确认的资产减值损失金额内转回，转回金额计入</w:t>
      </w:r>
      <w:r>
        <w:rPr>
          <w:spacing w:val="-64"/>
        </w:rPr>
        <w:t> </w:t>
      </w:r>
      <w:r>
        <w:rPr>
          <w:spacing w:val="-64"/>
        </w:rPr>
      </w:r>
      <w:r>
        <w:rPr/>
        <w:t>当期损益，并根据处置组中除商誉外适用持有待售准则计量规定的各项非流动资产账面价值所占比重按比例增加其账面价</w:t>
      </w:r>
      <w:r>
        <w:rPr>
          <w:spacing w:val="-23"/>
        </w:rPr>
        <w:t> </w:t>
      </w:r>
      <w:r>
        <w:rPr>
          <w:spacing w:val="-23"/>
        </w:rPr>
      </w:r>
      <w:r>
        <w:rPr>
          <w:spacing w:val="-2"/>
        </w:rPr>
        <w:t>值；已抵减的商誉账面价值，以及适用持有待售准则计量规定的非流动资产在划分为持有待售类别前确认的资产减值损失不</w:t>
      </w:r>
      <w:r>
        <w:rPr>
          <w:spacing w:val="-64"/>
        </w:rPr>
        <w:t> </w:t>
      </w:r>
      <w:r>
        <w:rPr>
          <w:spacing w:val="-64"/>
        </w:rPr>
      </w:r>
      <w:r>
        <w:rPr/>
        <w:t>得转回。</w:t>
      </w:r>
    </w:p>
    <w:p>
      <w:pPr>
        <w:pStyle w:val="BodyText"/>
        <w:spacing w:line="338" w:lineRule="auto" w:before="59"/>
        <w:ind w:right="1033"/>
        <w:jc w:val="left"/>
      </w:pPr>
      <w:r>
        <w:rPr>
          <w:spacing w:val="-2"/>
        </w:rPr>
        <w:t>持有待售的非流动资产或处置组中的非流动资产不计提折旧或摊销，持有待售的处置组中负债的利息和其他费用继续予以确</w:t>
      </w:r>
      <w:r>
        <w:rPr>
          <w:spacing w:val="-64"/>
        </w:rPr>
        <w:t> </w:t>
      </w:r>
      <w:r>
        <w:rPr>
          <w:spacing w:val="-64"/>
        </w:rPr>
      </w:r>
      <w:r>
        <w:rPr/>
        <w:t>认。 </w:t>
      </w:r>
      <w:r>
        <w:rPr>
          <w:spacing w:val="-2"/>
        </w:rPr>
        <w:t>非流动资产或处置组不再满足持有待售类别的划分条件时，不再将其继续划分为持有待售类别或将非流动资产从持有待售的</w:t>
      </w:r>
    </w:p>
    <w:p>
      <w:pPr>
        <w:pStyle w:val="BodyText"/>
        <w:spacing w:line="240" w:lineRule="auto" w:before="2"/>
        <w:ind w:right="0"/>
        <w:jc w:val="left"/>
      </w:pPr>
      <w:r>
        <w:rPr/>
        <w:t>处置组中移除，并按照以下两者孰低计量：</w:t>
      </w:r>
    </w:p>
    <w:p>
      <w:pPr>
        <w:pStyle w:val="BodyText"/>
        <w:spacing w:line="319" w:lineRule="auto" w:before="117"/>
        <w:ind w:right="1033"/>
        <w:jc w:val="left"/>
      </w:pPr>
      <w:r>
        <w:rPr>
          <w:spacing w:val="-2"/>
        </w:rPr>
        <w:t>①划分为持有待售类别前的账面价值，按照假定不划分为持有待售类别情况下本应确认的折旧、摊销或减值等进行调整后的</w:t>
      </w:r>
      <w:r>
        <w:rPr>
          <w:spacing w:val="-64"/>
        </w:rPr>
        <w:t> </w:t>
      </w:r>
      <w:r>
        <w:rPr>
          <w:spacing w:val="-64"/>
        </w:rPr>
      </w:r>
      <w:r>
        <w:rPr/>
        <w:t>金额；</w:t>
      </w:r>
    </w:p>
    <w:p>
      <w:pPr>
        <w:pStyle w:val="BodyText"/>
        <w:spacing w:line="240" w:lineRule="auto" w:before="55"/>
        <w:ind w:right="0"/>
        <w:jc w:val="left"/>
      </w:pPr>
      <w:r>
        <w:rPr/>
        <w:t>②可收回金额。</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长期股权投资是指公司对被投资单位实施控制、重大影响的权益性投资，以及对其合营企业的投资。</w:t>
      </w:r>
    </w:p>
    <w:p>
      <w:pPr>
        <w:pStyle w:val="BodyText"/>
        <w:spacing w:line="357" w:lineRule="auto" w:before="76"/>
        <w:ind w:right="2293"/>
        <w:jc w:val="left"/>
      </w:pPr>
      <w:r>
        <w:rPr/>
        <w:t>（1）初始投资成本确定 除对外合并形成的长期股权投资以外，其他方式取得的长期股权投资，按照下列规定确定其初始投资成本：</w:t>
      </w:r>
    </w:p>
    <w:p>
      <w:pPr>
        <w:pStyle w:val="BodyText"/>
        <w:spacing w:line="316" w:lineRule="auto" w:before="29"/>
        <w:ind w:right="0"/>
        <w:jc w:val="left"/>
      </w:pPr>
      <w:r>
        <w:rPr>
          <w:spacing w:val="-2"/>
        </w:rPr>
        <w:t>①以支付现金取得的长期股权投资，按照实际支付的购买价款作为初始投资成本。初始投资成本包括与取得长期股权投资直</w:t>
      </w:r>
      <w:r>
        <w:rPr>
          <w:spacing w:val="-64"/>
        </w:rPr>
        <w:t> </w:t>
      </w:r>
      <w:r>
        <w:rPr>
          <w:spacing w:val="-64"/>
        </w:rPr>
      </w:r>
      <w:r>
        <w:rPr/>
        <w:t>接相关的费用、税金及其他必要支出；</w:t>
      </w:r>
    </w:p>
    <w:p>
      <w:pPr>
        <w:pStyle w:val="BodyText"/>
        <w:spacing w:line="240" w:lineRule="auto" w:before="59"/>
        <w:ind w:right="0"/>
        <w:jc w:val="left"/>
      </w:pPr>
      <w:r>
        <w:rPr/>
        <w:t>②以发行权益性证券取得的长期股权投资，按照发行权益性证券的公允价值作为初始投资成本；</w:t>
      </w:r>
    </w:p>
    <w:p>
      <w:pPr>
        <w:pStyle w:val="BodyText"/>
        <w:spacing w:line="240" w:lineRule="auto" w:before="115"/>
        <w:ind w:right="0"/>
        <w:jc w:val="left"/>
      </w:pPr>
      <w:r>
        <w:rPr/>
        <w:t>③通过非货币性资产交换取得的长期股权投资，其初始投资成本应当按照《企业会计准则第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w:t>
      </w:r>
    </w:p>
    <w:p>
      <w:pPr>
        <w:pStyle w:val="BodyText"/>
        <w:spacing w:line="240" w:lineRule="auto" w:before="103"/>
        <w:ind w:right="0"/>
        <w:jc w:val="left"/>
      </w:pPr>
      <w:r>
        <w:rPr/>
        <w:t>④通过债务重组取得的长期股权投资，其初始投资成本应当按照《企业会计准则第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w:t>
      </w:r>
    </w:p>
    <w:p>
      <w:pPr>
        <w:pStyle w:val="BodyText"/>
        <w:spacing w:line="240" w:lineRule="auto" w:before="103"/>
        <w:ind w:right="0"/>
        <w:jc w:val="left"/>
      </w:pPr>
      <w:r>
        <w:rPr/>
        <w:t>（2）后续计量及损益确认方法</w:t>
      </w:r>
    </w:p>
    <w:p>
      <w:pPr>
        <w:spacing w:after="0" w:line="24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right="6793"/>
        <w:jc w:val="left"/>
      </w:pPr>
      <w:r>
        <w:rPr/>
        <w:t>①下列长期股权投资采用成本法核算： 公司能够对被投资单位实施控制的长期股权投资。</w:t>
      </w:r>
    </w:p>
    <w:p>
      <w:pPr>
        <w:pStyle w:val="BodyText"/>
        <w:spacing w:line="316" w:lineRule="auto" w:before="29"/>
        <w:ind w:right="0"/>
        <w:jc w:val="left"/>
      </w:pPr>
      <w:r>
        <w:rPr>
          <w:spacing w:val="-2"/>
        </w:rPr>
        <w:t>采用成本法核算的长期股权投资按照初始投资成本计价。追加或收回投资应当调整长期股权投资的成本。被投资单位宣告分</w:t>
      </w:r>
      <w:r>
        <w:rPr>
          <w:spacing w:val="-64"/>
        </w:rPr>
        <w:t> </w:t>
      </w:r>
      <w:r>
        <w:rPr>
          <w:spacing w:val="-64"/>
        </w:rPr>
      </w:r>
      <w:r>
        <w:rPr/>
        <w:t>派的现金股利或利润，确认为当期投资收益。</w:t>
      </w:r>
    </w:p>
    <w:p>
      <w:pPr>
        <w:pStyle w:val="BodyText"/>
        <w:spacing w:line="324" w:lineRule="auto" w:before="59"/>
        <w:ind w:right="1033"/>
        <w:jc w:val="left"/>
      </w:pPr>
      <w:r>
        <w:rPr/>
        <w:t>②对被投资单位具有共同控制</w:t>
      </w:r>
      <w:r>
        <w:rPr>
          <w:rFonts w:ascii="Times New Roman" w:hAnsi="Times New Roman" w:cs="Times New Roman" w:eastAsia="Times New Roman" w:hint="default"/>
        </w:rPr>
        <w:t>(</w:t>
      </w:r>
      <w:r>
        <w:rPr/>
        <w:t>指合营企业</w:t>
      </w:r>
      <w:r>
        <w:rPr>
          <w:rFonts w:ascii="Times New Roman" w:hAnsi="Times New Roman" w:cs="Times New Roman" w:eastAsia="Times New Roman" w:hint="default"/>
        </w:rPr>
        <w:t>)</w:t>
      </w:r>
      <w:r>
        <w:rPr/>
        <w:t>或重大影响的长期股权投资，采用权益法核算。 长期股权投资采用权益法核算时，对长期股权投资的投资成本大于投资时应享有被投资单位可辨认净资产公允价值份额的， 不调整长期股权投资的投资成本；对长期股权投资的投资成本小于投资时应享有被投资单位可辨认净资产公允价值份额的， 对长期股权投资的账面价值进行调整，差额计入投资当期的损益。</w:t>
      </w:r>
    </w:p>
    <w:p>
      <w:pPr>
        <w:pStyle w:val="BodyText"/>
        <w:spacing w:line="316" w:lineRule="auto" w:before="54"/>
        <w:ind w:right="1132"/>
        <w:jc w:val="both"/>
      </w:pPr>
      <w:r>
        <w:rPr>
          <w:spacing w:val="-2"/>
        </w:rPr>
        <w:t>在权益法核算时，当取得长期股权投资后，按照应享有或应分担的被投资单位实现的净损益和其他综合收益的份额，分别确</w:t>
      </w:r>
      <w:r>
        <w:rPr>
          <w:spacing w:val="-65"/>
        </w:rPr>
        <w:t> </w:t>
      </w:r>
      <w:r>
        <w:rPr>
          <w:spacing w:val="-65"/>
        </w:rPr>
      </w:r>
      <w:r>
        <w:rPr>
          <w:spacing w:val="-2"/>
        </w:rPr>
        <w:t>认投资损益和其他综合收益，并调整长期股权投资的账面价值。投资企业按照被投资单位宣告分派的利润或现金股利计算应</w:t>
      </w:r>
      <w:r>
        <w:rPr>
          <w:spacing w:val="-64"/>
        </w:rPr>
        <w:t> </w:t>
      </w:r>
      <w:r>
        <w:rPr>
          <w:spacing w:val="-64"/>
        </w:rPr>
      </w:r>
      <w:r>
        <w:rPr>
          <w:spacing w:val="-2"/>
        </w:rPr>
        <w:t>分得的部分，相应减少长期股权投资的账面价值。投资方对于被投资单位除净损益、其他综合收益和利润分配以外所有者权</w:t>
      </w:r>
      <w:r>
        <w:rPr>
          <w:spacing w:val="-65"/>
        </w:rPr>
        <w:t> </w:t>
      </w:r>
      <w:r>
        <w:rPr>
          <w:spacing w:val="-65"/>
        </w:rPr>
      </w:r>
      <w:r>
        <w:rPr/>
        <w:t>益的其他变动，应当调整长期股权投资的账面价值并计入所有者权益。</w:t>
      </w:r>
    </w:p>
    <w:p>
      <w:pPr>
        <w:pStyle w:val="BodyText"/>
        <w:spacing w:line="316" w:lineRule="auto" w:before="59"/>
        <w:ind w:right="1132"/>
        <w:jc w:val="both"/>
      </w:pPr>
      <w:r>
        <w:rPr>
          <w:spacing w:val="-2"/>
        </w:rPr>
        <w:t>确认被投资单位发生的净亏损，以长期股权投资的账面价值以及其他实质上构成对被投资单位净投资的长期权益减记至零为</w:t>
      </w:r>
      <w:r>
        <w:rPr>
          <w:spacing w:val="-64"/>
        </w:rPr>
        <w:t> </w:t>
      </w:r>
      <w:r>
        <w:rPr>
          <w:spacing w:val="-64"/>
        </w:rPr>
      </w:r>
      <w:r>
        <w:rPr>
          <w:spacing w:val="-2"/>
        </w:rPr>
        <w:t>限，公司对被投资企业负有承担额外损失义务的除外。被投资单位以后实现净利润的，投资企业在其收益分享额弥补未确认</w:t>
      </w:r>
      <w:r>
        <w:rPr>
          <w:spacing w:val="-65"/>
        </w:rPr>
        <w:t> </w:t>
      </w:r>
      <w:r>
        <w:rPr>
          <w:spacing w:val="-65"/>
        </w:rPr>
      </w:r>
      <w:r>
        <w:rPr/>
        <w:t>的亏损分担额后，恢复确认收益分享额。</w:t>
      </w:r>
    </w:p>
    <w:p>
      <w:pPr>
        <w:pStyle w:val="BodyText"/>
        <w:spacing w:line="338" w:lineRule="auto" w:before="57"/>
        <w:ind w:right="1033"/>
        <w:jc w:val="left"/>
      </w:pPr>
      <w:r>
        <w:rPr>
          <w:spacing w:val="-2"/>
        </w:rPr>
        <w:t>对于被投资单位除净损益、其他综合收益和利润分配以外所有者权益的其他变动，调整长期股权投资的账面价值并计入所有</w:t>
      </w:r>
      <w:r>
        <w:rPr>
          <w:spacing w:val="-64"/>
        </w:rPr>
        <w:t> </w:t>
      </w:r>
      <w:r>
        <w:rPr>
          <w:spacing w:val="-64"/>
        </w:rPr>
      </w:r>
      <w:r>
        <w:rPr/>
        <w:t>者权益。 </w:t>
      </w:r>
      <w:r>
        <w:rPr>
          <w:spacing w:val="-2"/>
        </w:rPr>
        <w:t>长期股权投资按照权益法核算在确认投资损益时，先对被投资单位的净利润进行取得投资时被投资单位各项可辨认资产等的</w:t>
      </w:r>
    </w:p>
    <w:p>
      <w:pPr>
        <w:pStyle w:val="BodyText"/>
        <w:spacing w:line="360" w:lineRule="auto" w:before="2"/>
        <w:ind w:right="1033"/>
        <w:jc w:val="left"/>
      </w:pPr>
      <w:r>
        <w:rPr/>
        <w:t>公允价值、会计政策和会计期间方面的调整，再按应享有或应分担的被投资单位的净损益份额确认当期投资损益。 与联营企业及合营企业之间发生的未实现内部交易损益按照持股比例计算归属于公司的部分，在抵销基础上确认投资损益。</w:t>
      </w:r>
    </w:p>
    <w:p>
      <w:pPr>
        <w:pStyle w:val="BodyText"/>
        <w:spacing w:line="338" w:lineRule="auto" w:before="24"/>
        <w:ind w:right="0"/>
        <w:jc w:val="left"/>
      </w:pPr>
      <w:r>
        <w:rPr/>
        <w:t>（3）确定对被投资单位具有共同控制、重大影响的依据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能决策。在判断是否存在共同控制时，首先判断所有参与方或参与方组合是否集体控制该安排，如果所有参与方或一组参与</w:t>
      </w:r>
    </w:p>
    <w:p>
      <w:pPr>
        <w:pStyle w:val="BodyText"/>
        <w:spacing w:line="316" w:lineRule="auto" w:before="2"/>
        <w:ind w:right="1132"/>
        <w:jc w:val="both"/>
      </w:pPr>
      <w:r>
        <w:rPr>
          <w:spacing w:val="-2"/>
        </w:rPr>
        <w:t>方必须一致行动才能决定某项安排的相关活动，则认为所有参与方或一组参与方集体控制该安排。其次再判断该安排相关活</w:t>
      </w:r>
      <w:r>
        <w:rPr>
          <w:spacing w:val="-64"/>
        </w:rPr>
        <w:t> </w:t>
      </w:r>
      <w:r>
        <w:rPr>
          <w:spacing w:val="-64"/>
        </w:rPr>
      </w:r>
      <w:r>
        <w:rPr>
          <w:spacing w:val="-2"/>
        </w:rPr>
        <w:t>动的决策是否必须经过这些集体控制该安排的参与方一致同意。如果存在两个或两个以上的参与方组合能够集体控制某项安</w:t>
      </w:r>
      <w:r>
        <w:rPr>
          <w:spacing w:val="-64"/>
        </w:rPr>
        <w:t> </w:t>
      </w:r>
      <w:r>
        <w:rPr>
          <w:spacing w:val="-64"/>
        </w:rPr>
      </w:r>
      <w:r>
        <w:rPr/>
        <w:t>排的，不构成共同控制。判断是否存在共同控制时，不考虑享有的保护性权利。</w:t>
      </w:r>
    </w:p>
    <w:p>
      <w:pPr>
        <w:pStyle w:val="BodyText"/>
        <w:spacing w:line="316" w:lineRule="auto" w:before="59"/>
        <w:ind w:right="1132"/>
        <w:jc w:val="both"/>
      </w:pPr>
      <w:r>
        <w:rPr>
          <w:spacing w:val="-2"/>
        </w:rPr>
        <w:t>重大影响，是指对一个企业的财务和经营政策有参与决策的权力，但并不能够控制或者与其他方一起共同控制这些政策的制</w:t>
      </w:r>
      <w:r>
        <w:rPr>
          <w:spacing w:val="-64"/>
        </w:rPr>
        <w:t> </w:t>
      </w:r>
      <w:r>
        <w:rPr>
          <w:spacing w:val="-64"/>
        </w:rPr>
      </w:r>
      <w:r>
        <w:rPr>
          <w:spacing w:val="-2"/>
        </w:rPr>
        <w:t>定。在确定能否对被投资单位施加重大影响时，考虑投资方直接或间接持有被投资单位的表决权股份以及投资方及其他方持</w:t>
      </w:r>
      <w:r>
        <w:rPr>
          <w:spacing w:val="-64"/>
        </w:rPr>
        <w:t> </w:t>
      </w:r>
      <w:r>
        <w:rPr>
          <w:spacing w:val="-64"/>
        </w:rPr>
      </w:r>
      <w:r>
        <w:rPr>
          <w:spacing w:val="-2"/>
        </w:rPr>
        <w:t>有的当期可执行潜在表决权在假定转换为对被投资方单位的股权后产生的影响，包括被投资单位发行的当期可转换的认股权</w:t>
      </w:r>
      <w:r>
        <w:rPr>
          <w:spacing w:val="-64"/>
        </w:rPr>
        <w:t> </w:t>
      </w:r>
      <w:r>
        <w:rPr>
          <w:spacing w:val="-64"/>
        </w:rPr>
      </w:r>
      <w:r>
        <w:rPr/>
        <w:t>证、股份期权及可转换公司债券等的影响。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8953"/>
        <w:jc w:val="left"/>
      </w:pPr>
      <w:r>
        <w:rPr/>
        <w:t>投资性房地产计量模式 不适用</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固定资产指为生产商品、提供劳务、出租或经营管理而持有，并且使用寿命超过一个会计年度的有形资产。固定资产同时满</w:t>
      </w:r>
      <w:r>
        <w:rPr>
          <w:spacing w:val="-66"/>
        </w:rPr>
        <w:t> </w:t>
      </w:r>
      <w:r>
        <w:rPr>
          <w:spacing w:val="-66"/>
        </w:rPr>
      </w:r>
      <w:r>
        <w:rPr/>
        <w:t>足下列条件的，才能予以确认：</w:t>
      </w:r>
    </w:p>
    <w:p>
      <w:pPr>
        <w:spacing w:after="0" w:line="316"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①与该固定资产有关的经济利益很可能流入企业；</w:t>
      </w:r>
    </w:p>
    <w:p>
      <w:pPr>
        <w:pStyle w:val="BodyText"/>
        <w:spacing w:line="240" w:lineRule="auto" w:before="115"/>
        <w:ind w:right="0"/>
        <w:jc w:val="left"/>
      </w:pPr>
      <w:r>
        <w:rPr/>
        <w:t>②该固定资产的成本能够可靠地计量。</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1913"/>
        <w:gridCol w:w="1915"/>
        <w:gridCol w:w="1913"/>
        <w:gridCol w:w="1915"/>
        <w:gridCol w:w="191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1.90%-4.75%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9.50%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jc w:val="left"/>
      </w:pPr>
      <w:r>
        <w:rPr>
          <w:spacing w:val="-2"/>
        </w:rPr>
        <w:t>融资租入固定资产的认定依据：实质上转移了与资产所有权有关的全部风险和报酬的租赁。具体认定依据为符合下列一项或</w:t>
      </w:r>
      <w:r>
        <w:rPr>
          <w:spacing w:val="-64"/>
        </w:rPr>
        <w:t> </w:t>
      </w:r>
      <w:r>
        <w:rPr>
          <w:spacing w:val="-64"/>
        </w:rPr>
      </w:r>
      <w:r>
        <w:rPr/>
        <w:t>数项条件的：</w:t>
      </w:r>
    </w:p>
    <w:p>
      <w:pPr>
        <w:pStyle w:val="BodyText"/>
        <w:spacing w:line="240" w:lineRule="auto" w:before="57"/>
        <w:ind w:right="0"/>
        <w:jc w:val="left"/>
      </w:pPr>
      <w:r>
        <w:rPr/>
        <w:t>①</w:t>
      </w:r>
      <w:r>
        <w:rPr>
          <w:spacing w:val="1"/>
        </w:rPr>
        <w:t> </w:t>
      </w:r>
      <w:r>
        <w:rPr/>
        <w:t>在租赁期届满时，租赁资产的所有权转移给承租人；</w:t>
      </w:r>
    </w:p>
    <w:p>
      <w:pPr>
        <w:pStyle w:val="BodyText"/>
        <w:spacing w:line="316" w:lineRule="auto" w:before="117"/>
        <w:ind w:right="1122"/>
        <w:jc w:val="left"/>
      </w:pPr>
      <w:r>
        <w:rPr/>
        <w:t>②</w:t>
      </w:r>
      <w:r>
        <w:rPr>
          <w:spacing w:val="1"/>
        </w:rPr>
        <w:t> </w:t>
      </w:r>
      <w:r>
        <w:rPr/>
        <w:t>承租人有购买租赁资产的选择权，所订立的购买价款预计将远低于行使选择权时租赁资产的公允价值，因而在租赁开始</w:t>
      </w:r>
      <w:r>
        <w:rPr/>
        <w:t> 日就可以合理确定承租人会行使这种选择权；</w:t>
      </w:r>
    </w:p>
    <w:p>
      <w:pPr>
        <w:pStyle w:val="BodyText"/>
        <w:spacing w:line="240" w:lineRule="auto" w:before="59"/>
        <w:ind w:right="0"/>
        <w:jc w:val="left"/>
      </w:pPr>
      <w:r>
        <w:rPr/>
        <w:t>③</w:t>
      </w:r>
      <w:r>
        <w:rPr>
          <w:spacing w:val="1"/>
        </w:rPr>
        <w:t> </w:t>
      </w:r>
      <w:r>
        <w:rPr/>
        <w:t>即使资产的所有权不转移，但租赁期占租赁资产使用寿命的大部分；</w:t>
      </w:r>
    </w:p>
    <w:p>
      <w:pPr>
        <w:pStyle w:val="BodyText"/>
        <w:spacing w:line="240" w:lineRule="auto" w:before="115"/>
        <w:ind w:right="0"/>
        <w:jc w:val="left"/>
      </w:pPr>
      <w:r>
        <w:rPr/>
        <w:t>④</w:t>
      </w:r>
      <w:r>
        <w:rPr>
          <w:spacing w:val="1"/>
        </w:rPr>
        <w:t> </w:t>
      </w:r>
      <w:r>
        <w:rPr/>
        <w:t>承租人在租赁开始日的最低租赁付款额现值，几乎相当于租赁开始日租赁资产公允价值；</w:t>
      </w:r>
    </w:p>
    <w:p>
      <w:pPr>
        <w:pStyle w:val="BodyText"/>
        <w:spacing w:line="338" w:lineRule="auto" w:before="117"/>
        <w:ind w:right="0"/>
        <w:jc w:val="left"/>
      </w:pPr>
      <w:r>
        <w:rPr/>
        <w:t>⑤</w:t>
      </w:r>
      <w:r>
        <w:rPr>
          <w:spacing w:val="1"/>
        </w:rPr>
        <w:t> </w:t>
      </w:r>
      <w:r>
        <w:rPr/>
        <w:t>租赁资产性质特殊，如不作较大改造只有承租人才能使用。</w:t>
      </w:r>
      <w:r>
        <w:rPr/>
        <w:t> </w:t>
      </w:r>
      <w:r>
        <w:rPr>
          <w:spacing w:val="-2"/>
        </w:rPr>
        <w:t>融资租入固定资产的计价方法：融资租入固定资产初始计价为租赁期开始日租赁资产公允价值与最低租赁付款额现值较低者</w:t>
      </w:r>
      <w:r>
        <w:rPr>
          <w:spacing w:val="-64"/>
        </w:rPr>
        <w:t> </w:t>
      </w:r>
      <w:r>
        <w:rPr>
          <w:spacing w:val="-64"/>
        </w:rPr>
      </w:r>
      <w:r>
        <w:rPr/>
        <w:t>作为入账价值。</w:t>
      </w:r>
    </w:p>
    <w:p>
      <w:pPr>
        <w:pStyle w:val="BodyText"/>
        <w:spacing w:line="240" w:lineRule="auto" w:before="41"/>
        <w:ind w:right="0"/>
        <w:jc w:val="left"/>
      </w:pPr>
      <w:r>
        <w:rPr/>
        <w:t>融资租入固定资产后续计价采用与自有固定资产相一致的折旧政策计提折旧及减值准备。</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5"/>
        <w:ind w:right="5533"/>
        <w:jc w:val="left"/>
      </w:pPr>
      <w:r>
        <w:rPr/>
        <w:t>包括公司基建、更新改造等发生的支出，该项支出包含工程物资； 在建工程达到预定可使用状态时转入固定资产。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both"/>
      </w:pPr>
      <w:r>
        <w:rPr/>
        <w:t>（1）公司发生的借款费用，可直接归属于符合资本化条件的资产的购建或者生产的，予以资本化，计入相关资产成本。符</w:t>
      </w:r>
      <w:r>
        <w:rPr>
          <w:spacing w:val="-84"/>
        </w:rPr>
        <w:t> </w:t>
      </w:r>
      <w:r>
        <w:rPr>
          <w:spacing w:val="-84"/>
        </w:rPr>
      </w:r>
      <w:r>
        <w:rPr>
          <w:spacing w:val="-2"/>
        </w:rPr>
        <w:t>合资本化条件的资产，是指需要经过相当长的时间的(通常是指1年及1年以上)购建或者生产活动才能达到预定可使用可销售</w:t>
      </w:r>
      <w:r>
        <w:rPr>
          <w:spacing w:val="-62"/>
        </w:rPr>
        <w:t> </w:t>
      </w:r>
      <w:r>
        <w:rPr>
          <w:spacing w:val="-62"/>
        </w:rPr>
      </w:r>
      <w:r>
        <w:rPr>
          <w:spacing w:val="-2"/>
        </w:rPr>
        <w:t>状态的固定资产、投资性房地产和存货等资产。其他借款费用，应当在发生时根据其发生额确认为费用，计入当期损益。借</w:t>
      </w:r>
      <w:r>
        <w:rPr>
          <w:spacing w:val="-63"/>
        </w:rPr>
        <w:t> </w:t>
      </w:r>
      <w:r>
        <w:rPr>
          <w:spacing w:val="-63"/>
        </w:rPr>
      </w:r>
      <w:r>
        <w:rPr/>
        <w:t>款费用包括借款利息、折价或者溢价的摊销、辅助费用以及因外币借款而发生的汇兑差额等。</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left"/>
      </w:pPr>
      <w:r>
        <w:rPr/>
        <w:t>（2）借款费用同时满足下列条件的，开始资本化：</w:t>
      </w:r>
    </w:p>
    <w:p>
      <w:pPr>
        <w:pStyle w:val="BodyText"/>
        <w:spacing w:line="240" w:lineRule="auto" w:before="76"/>
        <w:ind w:right="0"/>
        <w:jc w:val="left"/>
      </w:pPr>
      <w:r>
        <w:rPr/>
        <w:t>①资产支出已发生，资产支出包括为购建或者生产符合资本化条件的资产而支付的现金、转移非现金资产或者承担带息债务</w:t>
      </w:r>
    </w:p>
    <w:p>
      <w:pPr>
        <w:spacing w:after="0" w:line="24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both"/>
      </w:pPr>
      <w:r>
        <w:rPr/>
        <w:t>形式发生的支出；</w:t>
      </w:r>
    </w:p>
    <w:p>
      <w:pPr>
        <w:pStyle w:val="BodyText"/>
        <w:spacing w:line="240" w:lineRule="auto" w:before="76"/>
        <w:ind w:right="0"/>
        <w:jc w:val="both"/>
      </w:pPr>
      <w:r>
        <w:rPr/>
        <w:t>②借款费用已经发生；</w:t>
      </w:r>
    </w:p>
    <w:p>
      <w:pPr>
        <w:pStyle w:val="BodyText"/>
        <w:spacing w:line="357" w:lineRule="auto" w:before="76"/>
        <w:ind w:right="0"/>
        <w:jc w:val="left"/>
      </w:pPr>
      <w:r>
        <w:rPr/>
        <w:t>③为使资产达到预定可使用或者可销售状态所必要的购建或者生产活动已经开始。 购建或者生产符合资本化条件的资产达到预定可使用或者可销售状态时，借款费用停止资本化。</w:t>
      </w:r>
    </w:p>
    <w:p>
      <w:pPr>
        <w:pStyle w:val="BodyText"/>
        <w:spacing w:line="316" w:lineRule="auto" w:before="29"/>
        <w:ind w:right="1132"/>
        <w:jc w:val="both"/>
      </w:pPr>
      <w:r>
        <w:rPr/>
        <w:t>符合资本化条件的资产在购建或者生产过程中发生非正常中断，且中断时间连续超过3个月的，暂停借款费用的资本化。在</w:t>
      </w:r>
      <w:r>
        <w:rPr>
          <w:spacing w:val="-85"/>
        </w:rPr>
        <w:t> </w:t>
      </w:r>
      <w:r>
        <w:rPr>
          <w:spacing w:val="-85"/>
        </w:rPr>
      </w:r>
      <w:r>
        <w:rPr>
          <w:spacing w:val="-2"/>
        </w:rPr>
        <w:t>中断期间发生的借款费用确认为费用，计入当期损益，直至资产的购建或者生产活动重新开始。如果中断是所购建或者生产</w:t>
      </w:r>
      <w:r>
        <w:rPr>
          <w:spacing w:val="-65"/>
        </w:rPr>
        <w:t> </w:t>
      </w:r>
      <w:r>
        <w:rPr>
          <w:spacing w:val="-65"/>
        </w:rPr>
      </w:r>
      <w:r>
        <w:rPr/>
        <w:t>的符合资本化条件的资产达到预定可使用或可销售状态必要的程序，借款费用的资本化则继续进行。</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both"/>
      </w:pPr>
      <w:r>
        <w:rPr/>
        <w:t>（3）在资本化期间内，每一会计期间的利息(包括折价或溢价的摊销)资本化金额，按照下列规定确定：</w:t>
      </w:r>
    </w:p>
    <w:p>
      <w:pPr>
        <w:pStyle w:val="BodyText"/>
        <w:spacing w:line="319" w:lineRule="auto" w:before="76"/>
        <w:ind w:right="0"/>
        <w:jc w:val="left"/>
      </w:pPr>
      <w:r>
        <w:rPr>
          <w:spacing w:val="-2"/>
        </w:rPr>
        <w:t>①为购建或者生产符合资本化条件的资产而借入专门借款的，以专门借款当期实际发生的利息费用，减去尚未动用的借款资</w:t>
      </w:r>
      <w:r>
        <w:rPr>
          <w:spacing w:val="-64"/>
        </w:rPr>
        <w:t> </w:t>
      </w:r>
      <w:r>
        <w:rPr>
          <w:spacing w:val="-64"/>
        </w:rPr>
      </w:r>
      <w:r>
        <w:rPr/>
        <w:t>金存入银行取得的利息收入或进行暂时性投资取得的投资收益后的金额确定。</w:t>
      </w:r>
    </w:p>
    <w:p>
      <w:pPr>
        <w:pStyle w:val="BodyText"/>
        <w:spacing w:line="338" w:lineRule="auto" w:before="17"/>
        <w:ind w:right="1033"/>
        <w:jc w:val="left"/>
      </w:pPr>
      <w:r>
        <w:rPr>
          <w:spacing w:val="-2"/>
        </w:rPr>
        <w:t>②为购建或者生产符合资本化条件的资产而占用了一般借款的，根据累计资产支出超过专门借款部分的资产支出加权平均数</w:t>
      </w:r>
      <w:r>
        <w:rPr>
          <w:spacing w:val="-64"/>
        </w:rPr>
        <w:t> </w:t>
      </w:r>
      <w:r>
        <w:rPr>
          <w:spacing w:val="-64"/>
        </w:rPr>
      </w:r>
      <w:r>
        <w:rPr/>
        <w:t>乘以所占用的一般借款的资本化率，计算确定一般借款应予资本化的利息金额。资本化率根据一般借款加权平均利率确定。 借款存在折价或溢价的，按照实际利率法确定每一会计期间相应摊销的折价或者溢价的金额，调整每期利息金额。</w:t>
      </w:r>
    </w:p>
    <w:p>
      <w:pPr>
        <w:pStyle w:val="BodyText"/>
        <w:spacing w:line="240" w:lineRule="auto" w:before="43"/>
        <w:ind w:right="0"/>
        <w:jc w:val="both"/>
      </w:pPr>
      <w:r>
        <w:rPr/>
        <w:t>在资本化期间内，每一会计期间的利息资本化金额，不超过当期相关借款实际发生的利息金额。</w:t>
      </w:r>
    </w:p>
    <w:p>
      <w:pPr>
        <w:pStyle w:val="BodyText"/>
        <w:spacing w:line="316" w:lineRule="auto" w:before="115"/>
        <w:ind w:right="1132"/>
        <w:jc w:val="both"/>
      </w:pPr>
      <w:r>
        <w:rPr/>
        <w:t>（4）专门借款发生的辅助费用，在所购建或者生产的符合资本化条件的资产达到预定可使用或者可销售状态之前发生的，</w:t>
      </w:r>
      <w:r>
        <w:rPr>
          <w:spacing w:val="-84"/>
        </w:rPr>
        <w:t> </w:t>
      </w:r>
      <w:r>
        <w:rPr>
          <w:spacing w:val="-84"/>
        </w:rPr>
      </w:r>
      <w:r>
        <w:rPr>
          <w:spacing w:val="-2"/>
        </w:rPr>
        <w:t>在发生时根据其发生额予以资本化，计入符合资本化条件的资产的成本；在所购建或者生产的符合资本化条件的资产达到预</w:t>
      </w:r>
      <w:r>
        <w:rPr>
          <w:spacing w:val="-64"/>
        </w:rPr>
        <w:t> </w:t>
      </w:r>
      <w:r>
        <w:rPr>
          <w:spacing w:val="-64"/>
        </w:rPr>
      </w:r>
      <w:r>
        <w:rPr>
          <w:spacing w:val="-2"/>
        </w:rPr>
        <w:t>定可使用或者可销售状态之后发生的，在发生时根据其发生额确认为费用，计入当期损益。一般借款发生的辅助费用，在发</w:t>
      </w:r>
      <w:r>
        <w:rPr>
          <w:spacing w:val="-66"/>
        </w:rPr>
        <w:t> </w:t>
      </w:r>
      <w:r>
        <w:rPr>
          <w:spacing w:val="-66"/>
        </w:rPr>
      </w:r>
      <w:r>
        <w:rPr/>
        <w:t>生时根据其发生额确认为费用，计入当期损益。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①无形资产，是指企业拥有或者控制的没有实物形态的可辨认非货币性资产。无形资产按照成本进行初始计量。于取得无形</w:t>
      </w:r>
      <w:r>
        <w:rPr>
          <w:spacing w:val="-65"/>
        </w:rPr>
        <w:t> </w:t>
      </w:r>
      <w:r>
        <w:rPr>
          <w:spacing w:val="-65"/>
        </w:rPr>
      </w:r>
      <w:r>
        <w:rPr/>
        <w:t>资产时分析判断其使用寿命。</w:t>
      </w:r>
    </w:p>
    <w:p>
      <w:pPr>
        <w:pStyle w:val="BodyText"/>
        <w:spacing w:line="240" w:lineRule="auto" w:before="59"/>
        <w:ind w:right="0"/>
        <w:jc w:val="both"/>
      </w:pPr>
      <w:r>
        <w:rPr/>
        <w:t>②公司确定无形资产使用寿命通常考虑的因素：</w:t>
      </w:r>
    </w:p>
    <w:p>
      <w:pPr>
        <w:pStyle w:val="BodyText"/>
        <w:spacing w:line="240" w:lineRule="auto" w:before="76"/>
        <w:ind w:right="0"/>
        <w:jc w:val="both"/>
      </w:pPr>
      <w:r>
        <w:rPr>
          <w:rFonts w:ascii="Times New Roman" w:hAnsi="Times New Roman" w:cs="Times New Roman" w:eastAsia="Times New Roman" w:hint="default"/>
        </w:rPr>
        <w:t>1</w:t>
      </w:r>
      <w:r>
        <w:rPr/>
        <w:t>）运用该资产生产的产品通常的寿命周期、可获得的类似资产使用寿命的信息；</w:t>
      </w:r>
    </w:p>
    <w:p>
      <w:pPr>
        <w:pStyle w:val="BodyText"/>
        <w:spacing w:line="240" w:lineRule="auto" w:before="62"/>
        <w:ind w:right="0"/>
        <w:jc w:val="both"/>
      </w:pPr>
      <w:r>
        <w:rPr>
          <w:rFonts w:ascii="Times New Roman" w:hAnsi="Times New Roman" w:cs="Times New Roman" w:eastAsia="Times New Roman" w:hint="default"/>
        </w:rPr>
        <w:t>2</w:t>
      </w:r>
      <w:r>
        <w:rPr/>
        <w:t>）技术、工艺等方面的现阶段情况及对未来发展趋势的估计；</w:t>
      </w:r>
    </w:p>
    <w:p>
      <w:pPr>
        <w:pStyle w:val="BodyText"/>
        <w:spacing w:line="240" w:lineRule="auto" w:before="62"/>
        <w:ind w:right="0"/>
        <w:jc w:val="both"/>
      </w:pPr>
      <w:r>
        <w:rPr>
          <w:rFonts w:ascii="Times New Roman" w:hAnsi="Times New Roman" w:cs="Times New Roman" w:eastAsia="Times New Roman" w:hint="default"/>
        </w:rPr>
        <w:t>3</w:t>
      </w:r>
      <w:r>
        <w:rPr/>
        <w:t>）以该资产生产的产品或提供服务的市场需求情况；</w:t>
      </w:r>
    </w:p>
    <w:p>
      <w:pPr>
        <w:pStyle w:val="BodyText"/>
        <w:spacing w:line="240" w:lineRule="auto" w:before="63"/>
        <w:ind w:right="0"/>
        <w:jc w:val="both"/>
      </w:pPr>
      <w:r>
        <w:rPr>
          <w:rFonts w:ascii="Times New Roman" w:hAnsi="Times New Roman" w:cs="Times New Roman" w:eastAsia="Times New Roman" w:hint="default"/>
        </w:rPr>
        <w:t>4</w:t>
      </w:r>
      <w:r>
        <w:rPr/>
        <w:t>）现在或潜在的竞争者预期采取的行动；</w:t>
      </w:r>
    </w:p>
    <w:p>
      <w:pPr>
        <w:pStyle w:val="BodyText"/>
        <w:spacing w:line="240" w:lineRule="auto" w:before="62"/>
        <w:ind w:right="0"/>
        <w:jc w:val="both"/>
      </w:pPr>
      <w:r>
        <w:rPr>
          <w:rFonts w:ascii="Times New Roman" w:hAnsi="Times New Roman" w:cs="Times New Roman" w:eastAsia="Times New Roman" w:hint="default"/>
        </w:rPr>
        <w:t>5</w:t>
      </w:r>
      <w:r>
        <w:rPr/>
        <w:t>）为维持该资产带来经济利益能力的预期维护支出，以及公司预计支付有关支出的能力；</w:t>
      </w:r>
    </w:p>
    <w:p>
      <w:pPr>
        <w:pStyle w:val="BodyText"/>
        <w:spacing w:line="240" w:lineRule="auto" w:before="62"/>
        <w:ind w:right="0"/>
        <w:jc w:val="both"/>
      </w:pPr>
      <w:r>
        <w:rPr>
          <w:rFonts w:ascii="Times New Roman" w:hAnsi="Times New Roman" w:cs="Times New Roman" w:eastAsia="Times New Roman" w:hint="default"/>
        </w:rPr>
        <w:t>6</w:t>
      </w:r>
      <w:r>
        <w:rPr/>
        <w:t>）对该资产控制期限的相关法律规定或类似限制，如特许使用期、租赁期等；</w:t>
      </w:r>
    </w:p>
    <w:p>
      <w:pPr>
        <w:pStyle w:val="BodyText"/>
        <w:spacing w:line="240" w:lineRule="auto" w:before="63"/>
        <w:ind w:right="0"/>
        <w:jc w:val="both"/>
      </w:pPr>
      <w:r>
        <w:rPr>
          <w:rFonts w:ascii="Times New Roman" w:hAnsi="Times New Roman" w:cs="Times New Roman" w:eastAsia="Times New Roman" w:hint="default"/>
        </w:rPr>
        <w:t>7</w:t>
      </w:r>
      <w:r>
        <w:rPr/>
        <w:t>）与企业持有其他资产使用寿命的关联性等。</w:t>
      </w:r>
    </w:p>
    <w:p>
      <w:pPr>
        <w:spacing w:after="0" w:line="240" w:lineRule="auto"/>
        <w:jc w:val="both"/>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both"/>
      </w:pPr>
      <w:r>
        <w:rPr/>
        <w:t>无法预见无形资产为公司带来经济利益期限的，视为使用寿命不确定的无形资产。</w:t>
      </w:r>
    </w:p>
    <w:p>
      <w:pPr>
        <w:pStyle w:val="BodyText"/>
        <w:spacing w:line="316" w:lineRule="auto" w:before="115"/>
        <w:ind w:right="1132"/>
        <w:jc w:val="both"/>
      </w:pPr>
      <w:r>
        <w:rPr>
          <w:spacing w:val="-2"/>
        </w:rPr>
        <w:t>③对于使用寿命有限的无形资产，在使用寿命内按直线法摊销。公司于每年年度终了，对使用寿命有限的无形资产的使用寿</w:t>
      </w:r>
      <w:r>
        <w:rPr>
          <w:spacing w:val="-65"/>
        </w:rPr>
        <w:t> </w:t>
      </w:r>
      <w:r>
        <w:rPr>
          <w:spacing w:val="-65"/>
        </w:rPr>
      </w:r>
      <w:r>
        <w:rPr>
          <w:spacing w:val="-2"/>
        </w:rPr>
        <w:t>命及摊销方法进行复核。无形资产的使用寿命及摊销方法与以前估计不同的，将改变摊销期限和摊销方法。使用寿命不确定</w:t>
      </w:r>
      <w:r>
        <w:rPr>
          <w:spacing w:val="-65"/>
        </w:rPr>
        <w:t> </w:t>
      </w:r>
      <w:r>
        <w:rPr>
          <w:spacing w:val="-65"/>
        </w:rPr>
      </w:r>
      <w:r>
        <w:rPr/>
        <w:t>的无形资产不进行摊销。</w:t>
      </w:r>
    </w:p>
    <w:p>
      <w:pPr>
        <w:pStyle w:val="BodyText"/>
        <w:spacing w:line="240" w:lineRule="auto" w:before="59"/>
        <w:ind w:right="0"/>
        <w:jc w:val="both"/>
      </w:pPr>
      <w:r>
        <w:rPr/>
        <w:t>④各类无形资产采用年限平均法摊销：</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846"/>
        <w:gridCol w:w="4848"/>
      </w:tblGrid>
      <w:tr>
        <w:trPr>
          <w:trHeight w:val="42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2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年</w:t>
            </w:r>
          </w:p>
        </w:tc>
      </w:tr>
      <w:tr>
        <w:trPr>
          <w:trHeight w:val="42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年</w:t>
            </w:r>
          </w:p>
        </w:tc>
      </w:tr>
      <w:tr>
        <w:trPr>
          <w:trHeight w:val="42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w w:val="95"/>
                <w:sz w:val="18"/>
                <w:szCs w:val="18"/>
              </w:rPr>
              <w:t>5</w:t>
            </w:r>
            <w:r>
              <w:rPr>
                <w:rFonts w:ascii="宋体" w:hAnsi="宋体" w:cs="宋体" w:eastAsia="宋体" w:hint="default"/>
                <w:spacing w:val="-1"/>
                <w:w w:val="95"/>
                <w:sz w:val="18"/>
                <w:szCs w:val="18"/>
              </w:rPr>
              <w:t>年</w:t>
            </w:r>
          </w:p>
        </w:tc>
      </w:tr>
      <w:tr>
        <w:trPr>
          <w:trHeight w:val="42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5-10</w:t>
            </w:r>
            <w:r>
              <w:rPr>
                <w:rFonts w:ascii="宋体" w:hAnsi="宋体" w:cs="宋体" w:eastAsia="宋体" w:hint="default"/>
                <w:spacing w:val="-1"/>
                <w:sz w:val="18"/>
                <w:szCs w:val="18"/>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4543"/>
        <w:jc w:val="left"/>
      </w:pPr>
      <w:r>
        <w:rPr/>
        <w:t>①内部研究开发项目的支出，包括研究阶段支出与开发阶段支出，其中： 1）研究是指为获取并理解新的科学或技术知识而进行的独创性的有计划调查；</w:t>
      </w:r>
    </w:p>
    <w:p>
      <w:pPr>
        <w:pStyle w:val="BodyText"/>
        <w:spacing w:line="316" w:lineRule="auto" w:before="17"/>
        <w:ind w:right="1123"/>
        <w:jc w:val="left"/>
      </w:pPr>
      <w:r>
        <w:rPr/>
        <w:t>2）开发是指在进行商业性生产或使用前，将研究成果或其他知识应用于某项计划或设计，以生产出新的或具有实质性改进</w:t>
      </w:r>
      <w:r>
        <w:rPr>
          <w:spacing w:val="-85"/>
        </w:rPr>
        <w:t> </w:t>
      </w:r>
      <w:r>
        <w:rPr>
          <w:spacing w:val="-85"/>
        </w:rPr>
      </w:r>
      <w:r>
        <w:rPr/>
        <w:t>的材料、装置、产品等。</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6" w:lineRule="auto"/>
        <w:ind w:right="1033"/>
        <w:jc w:val="left"/>
      </w:pPr>
      <w:r>
        <w:rPr/>
        <w:t>②内部研究开发项目在研究阶段的支出于发生时计入当期损益；开发阶段的支出，同时满足下列条件的，确认为无形资产： 1）完成该无形资产以使其能够使用或出售在技术上具有可行性；</w:t>
      </w:r>
    </w:p>
    <w:p>
      <w:pPr>
        <w:pStyle w:val="BodyText"/>
        <w:spacing w:line="240" w:lineRule="auto" w:before="19"/>
        <w:ind w:right="0"/>
        <w:jc w:val="left"/>
      </w:pPr>
      <w:r>
        <w:rPr/>
        <w:t>2）具有完成该无形资产并使用或出售的意图；</w:t>
      </w:r>
    </w:p>
    <w:p>
      <w:pPr>
        <w:pStyle w:val="BodyText"/>
        <w:spacing w:line="316" w:lineRule="auto" w:before="76"/>
        <w:ind w:right="1123"/>
        <w:jc w:val="left"/>
      </w:pPr>
      <w:r>
        <w:rPr/>
        <w:t>3）无形资产产生经济利益的方式，包括能够证明运用该无形资产生产的产品存在市场或无形资产自身存在市场，无形资产</w:t>
      </w:r>
      <w:r>
        <w:rPr>
          <w:spacing w:val="-84"/>
        </w:rPr>
        <w:t> </w:t>
      </w:r>
      <w:r>
        <w:rPr>
          <w:spacing w:val="-84"/>
        </w:rPr>
      </w:r>
      <w:r>
        <w:rPr/>
        <w:t>将在内部使用的，应当证明其有用性； 4）有足够的技术、财务资源和其他资源支持，以完成该无形资产的开发，并有能力使用或出售该无形资产；</w:t>
      </w:r>
    </w:p>
    <w:p>
      <w:pPr>
        <w:pStyle w:val="BodyText"/>
        <w:spacing w:line="240" w:lineRule="auto" w:before="18"/>
        <w:ind w:right="0"/>
        <w:jc w:val="left"/>
      </w:pPr>
      <w:r>
        <w:rPr/>
        <w:t>5）归属于该无形资产开发阶段的支出能够可靠地计量。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对于固定资产、在建工程、使用寿命有限的无形资产、以成本模式计量的投资性房地产及对子公司、合营企业、联营企业的</w:t>
      </w:r>
      <w:r>
        <w:rPr>
          <w:spacing w:val="-63"/>
        </w:rPr>
        <w:t> </w:t>
      </w:r>
      <w:r>
        <w:rPr>
          <w:spacing w:val="-63"/>
        </w:rPr>
      </w:r>
      <w:r>
        <w:rPr>
          <w:spacing w:val="-4"/>
        </w:rPr>
        <w:t>长期股权投资等非流动非金融资产，公司于资产负债表日判断是否存在减值迹象。如存在减值迹象的，则估计其可收回金额，</w:t>
      </w:r>
      <w:r>
        <w:rPr>
          <w:spacing w:val="-42"/>
        </w:rPr>
        <w:t> </w:t>
      </w:r>
      <w:r>
        <w:rPr>
          <w:spacing w:val="-42"/>
        </w:rPr>
      </w:r>
      <w:r>
        <w:rPr>
          <w:spacing w:val="-2"/>
        </w:rPr>
        <w:t>进行减值测试。商誉、使用寿命不确定的无形资产和尚未达到可使用状态的无形资产，无论是否存在减值迹象，每年均进行</w:t>
      </w:r>
      <w:r>
        <w:rPr>
          <w:spacing w:val="-66"/>
        </w:rPr>
        <w:t> </w:t>
      </w:r>
      <w:r>
        <w:rPr>
          <w:spacing w:val="-66"/>
        </w:rPr>
      </w:r>
      <w:r>
        <w:rPr/>
        <w:t>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2"/>
        </w:rPr>
        <w:t> </w:t>
      </w:r>
      <w:r>
        <w:rPr>
          <w:spacing w:val="-42"/>
        </w:rPr>
      </w:r>
      <w:r>
        <w:rPr>
          <w:spacing w:val="-2"/>
        </w:rPr>
        <w:t>则以可获取的最佳信息为基础估计资产的公允价值。处置费用包括与资产处置有关的法律费用、相关税费、搬运费以及为使</w:t>
      </w:r>
      <w:r>
        <w:rPr>
          <w:spacing w:val="-65"/>
        </w:rPr>
        <w:t> </w:t>
      </w:r>
      <w:r>
        <w:rPr>
          <w:spacing w:val="-65"/>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5"/>
        </w:rPr>
        <w:t> </w:t>
      </w:r>
      <w:r>
        <w:rPr>
          <w:spacing w:val="-65"/>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w:t>
      </w:r>
    </w:p>
    <w:p>
      <w:pPr>
        <w:spacing w:after="0" w:line="316"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spacing w:val="-2"/>
        </w:rPr>
        <w:t>就商誉的减值测试而言，对于因企业合并形成的商誉的账面价值，自购买日起按照合理的方法分摊至相关的资产组；难以分</w:t>
      </w:r>
      <w:r>
        <w:rPr>
          <w:spacing w:val="-65"/>
        </w:rPr>
        <w:t> </w:t>
      </w:r>
      <w:r>
        <w:rPr>
          <w:spacing w:val="-65"/>
        </w:rPr>
      </w:r>
      <w:r>
        <w:rPr>
          <w:spacing w:val="-2"/>
        </w:rPr>
        <w:t>摊至相关的资产组的，将其分摊至相关的资产组组合。相关的资产组或资产组组合，是能够从企业合并的协同效应中受益的</w:t>
      </w:r>
      <w:r>
        <w:rPr>
          <w:spacing w:val="-65"/>
        </w:rPr>
        <w:t> </w:t>
      </w:r>
      <w:r>
        <w:rPr>
          <w:spacing w:val="-65"/>
        </w:rPr>
      </w:r>
      <w:r>
        <w:rPr/>
        <w:t>资产组或者资产组组合，且不大于本集团确定的报告分部。 </w:t>
      </w:r>
      <w:r>
        <w:rPr>
          <w:spacing w:val="-2"/>
        </w:rPr>
        <w:t>对包含商誉的相关资产组或者资产组组合进行减值测试时，如与商誉相关的资产组或者资产组组合存在减值迹象的，首先对</w:t>
      </w:r>
      <w:r>
        <w:rPr>
          <w:spacing w:val="-64"/>
        </w:rPr>
        <w:t> </w:t>
      </w:r>
      <w:r>
        <w:rPr>
          <w:spacing w:val="-64"/>
        </w:rPr>
      </w:r>
      <w:r>
        <w:rPr>
          <w:spacing w:val="-2"/>
        </w:rPr>
        <w:t>不包含商誉的资产组或者资产组组合进行减值测试，计算可收回金额，确认相应的减值损失。然后对包含商誉的资产组或者</w:t>
      </w:r>
      <w:r>
        <w:rPr>
          <w:spacing w:val="-65"/>
        </w:rPr>
        <w:t> </w:t>
      </w:r>
      <w:r>
        <w:rPr>
          <w:spacing w:val="-65"/>
        </w:rPr>
      </w:r>
      <w:r>
        <w:rPr>
          <w:spacing w:val="-2"/>
        </w:rPr>
        <w:t>资产组组合进行减值测试，比较其账面价值与可收回金额，如可收回金额低于账面价值的，减值损失金额首先抵减分摊至资</w:t>
      </w:r>
      <w:r>
        <w:rPr>
          <w:spacing w:val="-65"/>
        </w:rPr>
        <w:t> </w:t>
      </w:r>
      <w:r>
        <w:rPr>
          <w:spacing w:val="-65"/>
        </w:rPr>
      </w:r>
      <w:r>
        <w:rPr>
          <w:spacing w:val="-2"/>
        </w:rPr>
        <w:t>产组或资产组组合中商誉的账面价值，再根据资产组或资产组组合中除商誉之外的其他各项资产的账面价值所占比重，按比</w:t>
      </w:r>
      <w:r>
        <w:rPr>
          <w:spacing w:val="-64"/>
        </w:rPr>
        <w:t> </w:t>
      </w:r>
      <w:r>
        <w:rPr>
          <w:spacing w:val="-64"/>
        </w:rPr>
      </w:r>
      <w:r>
        <w:rPr>
          <w:spacing w:val="-2"/>
        </w:rPr>
        <w:t>例抵减其他各项资产的账面价值，但抵减后的各资产的账面价值不得低于该资产的公允价值减去处置费用后的净额（如可确</w:t>
      </w:r>
      <w:r>
        <w:rPr>
          <w:spacing w:val="-64"/>
        </w:rPr>
        <w:t> </w:t>
      </w:r>
      <w:r>
        <w:rPr>
          <w:spacing w:val="-64"/>
        </w:rPr>
      </w:r>
      <w:r>
        <w:rPr/>
        <w:t>定的）和该资产预计未来现金流量的现值（如可确定的）两者之间较高者，同时也不低于零。</w:t>
      </w:r>
    </w:p>
    <w:p>
      <w:pPr>
        <w:pStyle w:val="BodyText"/>
        <w:spacing w:line="240" w:lineRule="auto" w:before="57"/>
        <w:ind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jc w:val="left"/>
      </w:pPr>
      <w:r>
        <w:rPr>
          <w:spacing w:val="-1"/>
        </w:rPr>
        <w:t>长期待摊费用是公司已经发生但应由本期和以后各期负担的分摊期限在</w:t>
      </w:r>
      <w:r>
        <w:rPr>
          <w:rFonts w:ascii="Times New Roman" w:hAnsi="Times New Roman" w:cs="Times New Roman" w:eastAsia="Times New Roman" w:hint="default"/>
          <w:spacing w:val="-1"/>
        </w:rPr>
        <w:t>1</w:t>
      </w:r>
      <w:r>
        <w:rPr>
          <w:spacing w:val="-1"/>
        </w:rPr>
        <w:t>年以上</w:t>
      </w:r>
      <w:r>
        <w:rPr>
          <w:rFonts w:ascii="Times New Roman" w:hAnsi="Times New Roman" w:cs="Times New Roman" w:eastAsia="Times New Roman" w:hint="default"/>
          <w:spacing w:val="-1"/>
        </w:rPr>
        <w:t>(</w:t>
      </w:r>
      <w:r>
        <w:rPr>
          <w:spacing w:val="-1"/>
        </w:rPr>
        <w:t>不含</w:t>
      </w:r>
      <w:r>
        <w:rPr>
          <w:rFonts w:ascii="Times New Roman" w:hAnsi="Times New Roman" w:cs="Times New Roman" w:eastAsia="Times New Roman" w:hint="default"/>
          <w:spacing w:val="-1"/>
        </w:rPr>
        <w:t>1</w:t>
      </w:r>
      <w:r>
        <w:rPr>
          <w:spacing w:val="-1"/>
        </w:rPr>
        <w:t>年</w:t>
      </w:r>
      <w:r>
        <w:rPr>
          <w:rFonts w:ascii="Times New Roman" w:hAnsi="Times New Roman" w:cs="Times New Roman" w:eastAsia="Times New Roman" w:hint="default"/>
          <w:spacing w:val="-1"/>
        </w:rPr>
        <w:t>)</w:t>
      </w:r>
      <w:r>
        <w:rPr>
          <w:spacing w:val="-1"/>
        </w:rPr>
        <w:t>的各项费用。长期待摊费用在受益</w:t>
      </w:r>
      <w:r>
        <w:rPr>
          <w:spacing w:val="-57"/>
        </w:rPr>
        <w:t> </w:t>
      </w:r>
      <w:r>
        <w:rPr>
          <w:spacing w:val="-57"/>
        </w:rPr>
      </w:r>
      <w:r>
        <w:rPr/>
        <w:t>期内平均摊销，如果长期待摊费用项目不能使以后会计期间受益的，则将其尚未摊销的摊余价值全部转入当期损益。</w:t>
      </w:r>
    </w:p>
    <w:p>
      <w:pPr>
        <w:spacing w:line="240" w:lineRule="auto" w:before="3"/>
        <w:rPr>
          <w:rFonts w:ascii="宋体" w:hAnsi="宋体" w:cs="宋体" w:eastAsia="宋体" w:hint="default"/>
          <w:sz w:val="26"/>
          <w:szCs w:val="26"/>
        </w:rPr>
      </w:pPr>
    </w:p>
    <w:p>
      <w:pPr>
        <w:pStyle w:val="BodyText"/>
        <w:spacing w:line="240" w:lineRule="auto"/>
        <w:ind w:right="0"/>
        <w:jc w:val="left"/>
      </w:pPr>
      <w:r>
        <w:rPr/>
        <w:t>长期待摊费用按照直线法平均摊销，摊销年限如下：</w:t>
      </w: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846"/>
        <w:gridCol w:w="4848"/>
      </w:tblGrid>
      <w:tr>
        <w:trPr>
          <w:trHeight w:val="346"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摊销年限</w:t>
            </w:r>
          </w:p>
        </w:tc>
      </w:tr>
      <w:tr>
        <w:trPr>
          <w:trHeight w:val="42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年</w:t>
            </w:r>
          </w:p>
        </w:tc>
      </w:tr>
      <w:tr>
        <w:trPr>
          <w:trHeight w:val="427" w:hRule="exact"/>
        </w:trPr>
        <w:tc>
          <w:tcPr>
            <w:tcW w:w="4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Times New Roman" w:hAnsi="Times New Roman" w:cs="Times New Roman" w:eastAsia="Times New Roman" w:hint="default"/>
                <w:spacing w:val="-1"/>
                <w:w w:val="95"/>
                <w:sz w:val="18"/>
                <w:szCs w:val="18"/>
              </w:rPr>
              <w:t>3</w:t>
            </w:r>
            <w:r>
              <w:rPr>
                <w:rFonts w:ascii="宋体" w:hAnsi="宋体" w:cs="宋体" w:eastAsia="宋体" w:hint="default"/>
                <w:spacing w:val="-1"/>
                <w:w w:val="95"/>
                <w:sz w:val="18"/>
                <w:szCs w:val="18"/>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4"/>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0"/>
        <w:jc w:val="left"/>
      </w:pPr>
      <w:r>
        <w:rPr/>
        <w:t>短期薪酬是指公司在职工提供相关服务的年度报告期间结束后十二个月内需要全部予以支付的职工薪酬。 </w:t>
      </w:r>
      <w:r>
        <w:rPr>
          <w:spacing w:val="-2"/>
        </w:rPr>
        <w:t>短期薪酬包括职工工资、奖金、津贴和补贴，职工福利费、医疗保险费、工伤保险费和生育保险费等社会保险费，住房公积</w:t>
      </w:r>
      <w:r>
        <w:rPr>
          <w:spacing w:val="-67"/>
        </w:rPr>
        <w:t> </w:t>
      </w:r>
      <w:r>
        <w:rPr>
          <w:spacing w:val="-67"/>
        </w:rPr>
      </w:r>
      <w:r>
        <w:rPr/>
        <w:t>金、工会经费和职工教育经费，短期带薪缺勤、短期利润分享计划，非货币性福利以及其他短期薪酬。</w:t>
      </w:r>
    </w:p>
    <w:p>
      <w:pPr>
        <w:pStyle w:val="BodyText"/>
        <w:spacing w:line="240" w:lineRule="auto" w:before="43"/>
        <w:ind w:right="0"/>
        <w:jc w:val="left"/>
      </w:pPr>
      <w:r>
        <w:rPr/>
        <w:t>短期薪酬在职工为公司提供服务的会计期间，将实际发生的短期薪酬确认为负债，并计入当期损益或相关资产成本。</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spacing w:val="-2"/>
        </w:rPr>
        <w:t>离职后福利是指公司为获得员工提供的服务而在职工退休或与公司解除劳动关系后，提供的各种形式的报酬和福利，短期薪</w:t>
      </w:r>
      <w:r>
        <w:rPr>
          <w:spacing w:val="-64"/>
        </w:rPr>
        <w:t> </w:t>
      </w:r>
      <w:r>
        <w:rPr>
          <w:spacing w:val="-64"/>
        </w:rPr>
      </w:r>
      <w:r>
        <w:rPr/>
        <w:t>酬和辞退福利除外。 </w:t>
      </w:r>
      <w:r>
        <w:rPr>
          <w:spacing w:val="-2"/>
        </w:rPr>
        <w:t>离职后福利计划包括设定提存计划和设定受益计划。其中，设定提存计划，是指向独立的基金缴存固定费用后，公司不再承</w:t>
      </w:r>
    </w:p>
    <w:p>
      <w:pPr>
        <w:pStyle w:val="BodyText"/>
        <w:spacing w:line="338" w:lineRule="auto" w:before="2"/>
        <w:ind w:right="0"/>
        <w:jc w:val="left"/>
      </w:pPr>
      <w:r>
        <w:rPr/>
        <w:t>担进一步支付义务的离职后福利计划；设定受益计划，是指除设定提存计划以外的离职后福利计划。 </w:t>
      </w:r>
      <w:r>
        <w:rPr>
          <w:spacing w:val="-2"/>
        </w:rPr>
        <w:t>设定提存计划包括基本养老保险、失业保险等。在职工提供服务的会计期间，根据设定提存计划计算的应缴存金额确认为负</w:t>
      </w:r>
      <w:r>
        <w:rPr>
          <w:spacing w:val="-65"/>
        </w:rPr>
        <w:t> </w:t>
      </w:r>
      <w:r>
        <w:rPr>
          <w:spacing w:val="-65"/>
        </w:rPr>
      </w:r>
      <w:r>
        <w:rPr/>
        <w:t>债，并计入当期损益或相关资产成本。</w:t>
      </w:r>
    </w:p>
    <w:p>
      <w:pPr>
        <w:pStyle w:val="BodyText"/>
        <w:spacing w:line="240" w:lineRule="auto" w:before="41"/>
        <w:ind w:right="0"/>
        <w:jc w:val="left"/>
      </w:pPr>
      <w:r>
        <w:rPr/>
        <w:t>于报告期末，将设定受益计划产生的职工薪酬成本确认为下列组成部分：</w:t>
      </w:r>
    </w:p>
    <w:p>
      <w:pPr>
        <w:pStyle w:val="BodyText"/>
        <w:spacing w:line="240" w:lineRule="auto" w:before="76"/>
        <w:ind w:right="0"/>
        <w:jc w:val="left"/>
      </w:pPr>
      <w:r>
        <w:rPr/>
        <w:t>①服务成本，包括当期服务成本、过去服务成本和结算利得或损失；</w:t>
      </w:r>
    </w:p>
    <w:p>
      <w:pPr>
        <w:pStyle w:val="BodyText"/>
        <w:spacing w:line="316" w:lineRule="auto" w:before="76"/>
        <w:ind w:right="1033"/>
        <w:jc w:val="left"/>
      </w:pPr>
      <w:r>
        <w:rPr>
          <w:spacing w:val="-2"/>
        </w:rPr>
        <w:t>②设定受益计划净负债或净资产的利息净额，包括计划资产的利息收益、设定受益计划义务的利息费用以及资产上限影响的</w:t>
      </w:r>
      <w:r>
        <w:rPr>
          <w:spacing w:val="-64"/>
        </w:rPr>
        <w:t> </w:t>
      </w:r>
      <w:r>
        <w:rPr>
          <w:spacing w:val="-64"/>
        </w:rPr>
      </w:r>
      <w:r>
        <w:rPr/>
        <w:t>利息；</w:t>
      </w:r>
    </w:p>
    <w:p>
      <w:pPr>
        <w:spacing w:after="0" w:line="316"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t>③重新计量设定受益计划净负债或净资产所产生的变动。 </w:t>
      </w:r>
      <w:r>
        <w:rPr>
          <w:spacing w:val="-2"/>
        </w:rPr>
        <w:t>除非其他会计准则要求或允许职工福利成本计入资产成本，上述第①项和第②项应计入当期损益；第③项应计入其他综合收</w:t>
      </w:r>
      <w:r>
        <w:rPr>
          <w:spacing w:val="-64"/>
        </w:rPr>
        <w:t> </w:t>
      </w:r>
      <w:r>
        <w:rPr>
          <w:spacing w:val="-64"/>
        </w:rPr>
      </w:r>
      <w:r>
        <w:rPr/>
        <w:t>益，并且在后续会计期间不允许转回至损益，但可以在权益范围内转移这些在其他综合收益中确认的金额。 在设定受益计划下，在下列日期孰早日将过去服务成本确认为当期费用：</w:t>
      </w:r>
    </w:p>
    <w:p>
      <w:pPr>
        <w:pStyle w:val="BodyText"/>
        <w:spacing w:line="240" w:lineRule="auto" w:before="19"/>
        <w:ind w:right="0"/>
        <w:jc w:val="left"/>
      </w:pPr>
      <w:r>
        <w:rPr/>
        <w:t>1）修改设定受益计划时；</w:t>
      </w:r>
    </w:p>
    <w:p>
      <w:pPr>
        <w:pStyle w:val="BodyText"/>
        <w:spacing w:line="357" w:lineRule="auto" w:before="76"/>
        <w:ind w:right="6613"/>
        <w:jc w:val="left"/>
      </w:pPr>
      <w:r>
        <w:rPr/>
        <w:t>2）企业确认相关重组费用或辞退福利时。 在设定受益计划结算时，确认一项结算利得或损失。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7"/>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辞退福利是指公司在职工劳动合同到期之前解除与职工的劳动关系，或者为鼓励职工自愿接受裁减而给予职工的补偿。 </w:t>
      </w:r>
      <w:r>
        <w:rPr>
          <w:spacing w:val="-2"/>
        </w:rPr>
        <w:t>公司向职工提供辞退福利的，在下列两者孰早日确认辞退福利产生的职工薪酬负债，并计入当期损益：公司不能单方面撤回</w:t>
      </w:r>
      <w:r>
        <w:rPr>
          <w:spacing w:val="-65"/>
        </w:rPr>
        <w:t> </w:t>
      </w:r>
      <w:r>
        <w:rPr>
          <w:spacing w:val="-65"/>
        </w:rPr>
      </w:r>
      <w:r>
        <w:rPr/>
        <w:t>因解除劳动关系计划或裁减建议所提供的辞退福利时；公司确认与涉及支付辞退福利的重组相关的成本或费用时。</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033"/>
        <w:jc w:val="left"/>
      </w:pPr>
      <w:r>
        <w:rPr>
          <w:spacing w:val="-2"/>
        </w:rPr>
        <w:t>其他长期职工福利是指除短期薪酬、离职后福利、辞退福利之外所有的职工薪酬，包括长期带薪缺勤、长期残疾福利、长期</w:t>
      </w:r>
      <w:r>
        <w:rPr>
          <w:spacing w:val="-63"/>
        </w:rPr>
        <w:t> </w:t>
      </w:r>
      <w:r>
        <w:rPr>
          <w:spacing w:val="-63"/>
        </w:rPr>
      </w:r>
      <w:r>
        <w:rPr/>
        <w:t>利润分享计划等。 企业向职工提供的其他长期职工福利，符合设定提存计划条件的，适用于上述设定提存计划的有关规定进行处理。</w:t>
      </w:r>
    </w:p>
    <w:p>
      <w:pPr>
        <w:pStyle w:val="BodyText"/>
        <w:spacing w:line="316" w:lineRule="auto" w:before="2"/>
        <w:ind w:right="0"/>
        <w:jc w:val="left"/>
      </w:pPr>
      <w:r>
        <w:rPr>
          <w:spacing w:val="-2"/>
        </w:rPr>
        <w:t>除符合设定提存计划条件的情形外，按照设定受益计划的有关规定，确认和计量其他长期职工福利净负债或净资产。在报告</w:t>
      </w:r>
      <w:r>
        <w:rPr>
          <w:spacing w:val="-65"/>
        </w:rPr>
        <w:t> </w:t>
      </w:r>
      <w:r>
        <w:rPr>
          <w:spacing w:val="-65"/>
        </w:rPr>
      </w:r>
      <w:r>
        <w:rPr/>
        <w:t>期末，企业应当将其他长期职工福利产生的职工薪酬成本确认为下列组成部分：</w:t>
      </w:r>
    </w:p>
    <w:p>
      <w:pPr>
        <w:pStyle w:val="BodyText"/>
        <w:spacing w:line="240" w:lineRule="auto" w:before="18"/>
        <w:ind w:right="0"/>
        <w:jc w:val="left"/>
      </w:pPr>
      <w:r>
        <w:rPr/>
        <w:t>①服务成本；</w:t>
      </w:r>
    </w:p>
    <w:p>
      <w:pPr>
        <w:pStyle w:val="BodyText"/>
        <w:spacing w:line="240" w:lineRule="auto" w:before="76"/>
        <w:ind w:right="0"/>
        <w:jc w:val="left"/>
      </w:pPr>
      <w:r>
        <w:rPr/>
        <w:t>②其他长期职工福利净负债或净资产的利息净额；</w:t>
      </w:r>
    </w:p>
    <w:p>
      <w:pPr>
        <w:pStyle w:val="BodyText"/>
        <w:spacing w:line="360" w:lineRule="auto" w:before="76"/>
        <w:ind w:right="4993"/>
        <w:jc w:val="left"/>
      </w:pPr>
      <w:r>
        <w:rPr/>
        <w:t>③重新计量其他长期职工福利净负债或净资产所产生的变动。 为简化相关会计处理，上述项目的总净额计入当期损益或相关资产成本。</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与或有事项相关的义务同时满足下列条件的，确认为预计负债：</w:t>
      </w:r>
    </w:p>
    <w:p>
      <w:pPr>
        <w:pStyle w:val="BodyText"/>
        <w:spacing w:line="240" w:lineRule="auto" w:before="117"/>
        <w:ind w:right="0"/>
        <w:jc w:val="left"/>
      </w:pPr>
      <w:r>
        <w:rPr/>
        <w:t>（1）该义务是企业承担的现时义务；</w:t>
      </w:r>
    </w:p>
    <w:p>
      <w:pPr>
        <w:pStyle w:val="BodyText"/>
        <w:spacing w:line="240" w:lineRule="auto" w:before="76"/>
        <w:ind w:right="0"/>
        <w:jc w:val="left"/>
      </w:pPr>
      <w:r>
        <w:rPr/>
        <w:t>（2）履行该义务很可能导致经济利益流出企业；</w:t>
      </w:r>
    </w:p>
    <w:p>
      <w:pPr>
        <w:pStyle w:val="BodyText"/>
        <w:spacing w:line="360" w:lineRule="auto" w:before="76"/>
        <w:ind w:right="4813"/>
        <w:jc w:val="left"/>
      </w:pPr>
      <w:r>
        <w:rPr/>
        <w:t>（3）该义务的金额能够可靠地计量。 预计负债应当按照履行相关现时义务所需支出的最佳估计数进行初始计量。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5"/>
        <w:ind w:right="0"/>
        <w:jc w:val="left"/>
      </w:pPr>
      <w:r>
        <w:rPr/>
        <w:t>（1）营业收入包括销售商品收入、提供劳务收入以及让渡资产使用权收入。</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57" w:lineRule="auto"/>
        <w:ind w:right="6973"/>
        <w:jc w:val="left"/>
      </w:pPr>
      <w:r>
        <w:rPr/>
        <w:t>（2）销售商品收入的确认 销售商品收入同时满足下列条件的，予以确认：</w:t>
      </w:r>
    </w:p>
    <w:p>
      <w:pPr>
        <w:pStyle w:val="BodyText"/>
        <w:spacing w:line="240" w:lineRule="auto" w:before="29"/>
        <w:ind w:right="0"/>
        <w:jc w:val="left"/>
      </w:pPr>
      <w:r>
        <w:rPr/>
        <w:t>①企业已将商品所有权上的主要风险和报酬转移给购货方；</w:t>
      </w:r>
    </w:p>
    <w:p>
      <w:pPr>
        <w:pStyle w:val="BodyText"/>
        <w:spacing w:line="240" w:lineRule="auto" w:before="117"/>
        <w:ind w:right="0"/>
        <w:jc w:val="left"/>
      </w:pPr>
      <w:r>
        <w:rPr/>
        <w:t>②企业既没有保留通常与所有权相联系的继续管理权，也没有对已售出的商品实施有效控制；</w:t>
      </w:r>
    </w:p>
    <w:p>
      <w:pPr>
        <w:pStyle w:val="BodyText"/>
        <w:spacing w:line="240" w:lineRule="auto" w:before="114"/>
        <w:ind w:right="0"/>
        <w:jc w:val="left"/>
      </w:pPr>
      <w:r>
        <w:rPr/>
        <w:t>③收入的金额能够可靠地计量；</w:t>
      </w:r>
    </w:p>
    <w:p>
      <w:pPr>
        <w:pStyle w:val="BodyText"/>
        <w:spacing w:line="240" w:lineRule="auto" w:before="117"/>
        <w:ind w:right="0"/>
        <w:jc w:val="left"/>
      </w:pPr>
      <w:r>
        <w:rPr/>
        <w:t>④相关的经济利益很可能流入企业；</w:t>
      </w:r>
    </w:p>
    <w:p>
      <w:pPr>
        <w:pStyle w:val="BodyText"/>
        <w:spacing w:line="357" w:lineRule="auto" w:before="117"/>
        <w:ind w:right="3373"/>
        <w:jc w:val="left"/>
      </w:pPr>
      <w:r>
        <w:rPr/>
        <w:t>⑤相关的已发生或将发生的成本能够可靠地计量。 基于以上原则，公司主要风险和报酬转移具体时点和具体原则按以下不同销售模式确认收入： 1)</w:t>
      </w:r>
      <w:r>
        <w:rPr>
          <w:spacing w:val="1"/>
        </w:rPr>
        <w:t> </w:t>
      </w:r>
      <w:r>
        <w:rPr/>
        <w:t>内销收入于产品已经发出，客户验收完成，开具发票确认收入；</w:t>
      </w:r>
    </w:p>
    <w:p>
      <w:pPr>
        <w:pStyle w:val="BodyText"/>
        <w:spacing w:line="240" w:lineRule="auto" w:before="29"/>
        <w:ind w:right="0"/>
        <w:jc w:val="left"/>
      </w:pPr>
      <w:r>
        <w:rPr/>
        <w:t>2)</w:t>
      </w:r>
      <w:r>
        <w:rPr>
          <w:spacing w:val="1"/>
        </w:rPr>
        <w:t> </w:t>
      </w:r>
      <w:r>
        <w:rPr/>
        <w:t>外销收入于货物运至客户指定交货地点，且取得海关审批返回的出口报关单时确认收入。</w:t>
      </w:r>
    </w:p>
    <w:p>
      <w:pPr>
        <w:pStyle w:val="BodyText"/>
        <w:spacing w:line="338" w:lineRule="auto" w:before="115"/>
        <w:ind w:right="1033"/>
        <w:jc w:val="left"/>
      </w:pPr>
      <w:r>
        <w:rPr/>
        <w:t>（3）提供劳务收入的确认 </w:t>
      </w:r>
      <w:r>
        <w:rPr>
          <w:spacing w:val="-2"/>
        </w:rPr>
        <w:t>劳务总收入和总成本能够可靠地计量；与交易相关的经济利益能够流入公司；劳务的完成程度能够可靠地确定时，确认劳务</w:t>
      </w:r>
      <w:r>
        <w:rPr>
          <w:spacing w:val="-65"/>
        </w:rPr>
        <w:t> </w:t>
      </w:r>
      <w:r>
        <w:rPr>
          <w:spacing w:val="-65"/>
        </w:rPr>
      </w:r>
      <w:r>
        <w:rPr/>
        <w:t>收入的实现。</w:t>
      </w:r>
    </w:p>
    <w:p>
      <w:pPr>
        <w:pStyle w:val="BodyText"/>
        <w:spacing w:line="357" w:lineRule="auto" w:before="43"/>
        <w:ind w:right="1933"/>
        <w:jc w:val="left"/>
      </w:pPr>
      <w:r>
        <w:rPr/>
        <w:t>（4）让渡资产使用权收入的确认 让渡资产使用权收入包括利息收入、使用费收入等。让渡资产使用权收入同时满足下列条件的，才能予以确认：</w:t>
      </w:r>
    </w:p>
    <w:p>
      <w:pPr>
        <w:pStyle w:val="BodyText"/>
        <w:spacing w:line="240" w:lineRule="auto" w:before="29"/>
        <w:ind w:right="0"/>
        <w:jc w:val="left"/>
      </w:pPr>
      <w:r>
        <w:rPr/>
        <w:t>①相关的经济利益很可能流入企业；</w:t>
      </w:r>
    </w:p>
    <w:p>
      <w:pPr>
        <w:pStyle w:val="BodyText"/>
        <w:spacing w:line="357" w:lineRule="auto" w:before="117"/>
        <w:ind w:right="4633"/>
        <w:jc w:val="left"/>
      </w:pPr>
      <w:r>
        <w:rPr/>
        <w:t>②收入的金额能够可靠地计量。 基于以上原则，确认让渡资产使用权收入时，公司按以下具体原则确认收入： 使用费收入，按照有关合同或协议约定的收费时间和方法计算确定收入。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政府补助，是公司从政府无偿取得的货币性资产或非货币性资产。分为与资产相关的政府补助和与收益相关的政府补助。</w:t>
      </w:r>
    </w:p>
    <w:p>
      <w:pPr>
        <w:pStyle w:val="BodyText"/>
        <w:spacing w:line="357" w:lineRule="auto" w:before="117"/>
        <w:ind w:right="0"/>
        <w:jc w:val="left"/>
      </w:pPr>
      <w:r>
        <w:rPr/>
        <w:t>（1）与资产相关的政府补助判断依据及会计处理方法 与资产相关的政府补助，是指企业取得的、用于购建或以其他方式形成长期资产的政府补助。</w:t>
      </w:r>
    </w:p>
    <w:p>
      <w:pPr>
        <w:pStyle w:val="BodyText"/>
        <w:spacing w:line="338" w:lineRule="auto" w:before="29"/>
        <w:ind w:right="0"/>
        <w:jc w:val="left"/>
      </w:pPr>
      <w:r>
        <w:rPr>
          <w:spacing w:val="-2"/>
        </w:rPr>
        <w:t>与资产相关的政府补助，应当确认为递延收益。与资产相关的政府补助确认为递延收益的应当在相关资产使用寿命内按照合</w:t>
      </w:r>
      <w:r>
        <w:rPr>
          <w:spacing w:val="-64"/>
        </w:rPr>
        <w:t> </w:t>
      </w:r>
      <w:r>
        <w:rPr>
          <w:spacing w:val="-64"/>
        </w:rPr>
      </w:r>
      <w:r>
        <w:rPr/>
        <w:t>理、系统的方法分期计入损益。按照名义金额计量的政府补助，直接计入当期损益。 </w:t>
      </w:r>
      <w:r>
        <w:rPr>
          <w:spacing w:val="-2"/>
        </w:rPr>
        <w:t>相关资产在使用寿命结束前被出售、转让、报废或发生毁损的，应当将尚未分配的相关递延收益余额转入资产处置当期的损</w:t>
      </w:r>
    </w:p>
    <w:p>
      <w:pPr>
        <w:pStyle w:val="BodyText"/>
        <w:spacing w:line="338" w:lineRule="auto" w:before="2"/>
        <w:ind w:right="1033"/>
        <w:jc w:val="left"/>
      </w:pPr>
      <w:r>
        <w:rPr/>
        <w:t>益。 </w:t>
      </w:r>
      <w:r>
        <w:rPr>
          <w:spacing w:val="-2"/>
        </w:rPr>
        <w:t>与公司日常活动相关的政府补助，应当按照经济业务实质，计入其他收益。与公司日常活动无关的政府补助，应当计入营业</w:t>
      </w:r>
      <w:r>
        <w:rPr>
          <w:spacing w:val="-66"/>
        </w:rPr>
        <w:t> </w:t>
      </w:r>
      <w:r>
        <w:rPr>
          <w:spacing w:val="-66"/>
        </w:rPr>
      </w:r>
      <w:r>
        <w:rPr/>
        <w:t>外收支。</w:t>
      </w:r>
    </w:p>
    <w:p>
      <w:pPr>
        <w:pStyle w:val="BodyText"/>
        <w:spacing w:line="357" w:lineRule="auto" w:before="43"/>
        <w:ind w:right="1033"/>
        <w:jc w:val="left"/>
      </w:pPr>
      <w:r>
        <w:rPr/>
        <w:t>（2）与收益相关的政府补助判断依据及会计处理方法 与收益相关的政府补助，是指除与资产相关的政府补助之外的政府补助。 </w:t>
      </w:r>
      <w:r>
        <w:rPr>
          <w:spacing w:val="-4"/>
        </w:rPr>
        <w:t>企业对于综合性项目的政府补助，需要将其分解为与资产相关的部分和与收益相关的部分，分别进行会计处理；难以区分的，</w:t>
      </w:r>
    </w:p>
    <w:p>
      <w:pPr>
        <w:spacing w:after="0" w:line="357" w:lineRule="auto"/>
        <w:jc w:val="left"/>
        <w:sectPr>
          <w:footerReference w:type="default" r:id="rId27"/>
          <w:pgSz w:w="11910" w:h="16840"/>
          <w:pgMar w:footer="1017" w:header="905" w:top="1100" w:bottom="1200" w:left="1020" w:right="0"/>
          <w:pgNumType w:start="100"/>
        </w:sectPr>
      </w:pPr>
    </w:p>
    <w:p>
      <w:pPr>
        <w:spacing w:line="240" w:lineRule="auto" w:before="13"/>
        <w:rPr>
          <w:rFonts w:ascii="宋体" w:hAnsi="宋体" w:cs="宋体" w:eastAsia="宋体" w:hint="default"/>
          <w:sz w:val="22"/>
          <w:szCs w:val="22"/>
        </w:rPr>
      </w:pPr>
    </w:p>
    <w:p>
      <w:pPr>
        <w:pStyle w:val="BodyText"/>
        <w:spacing w:line="338" w:lineRule="auto" w:before="44"/>
        <w:ind w:right="0"/>
        <w:jc w:val="left"/>
      </w:pPr>
      <w:r>
        <w:rPr/>
        <w:t>应当整体归类为与收益相关的政府补助。 </w:t>
      </w:r>
      <w:r>
        <w:rPr>
          <w:spacing w:val="-2"/>
        </w:rPr>
        <w:t>与收益相关的政府补助，用于补偿企业以后期间的相关费用或损失的，取得时确认为递延收益，并在确认相关成本费用或损</w:t>
      </w:r>
      <w:r>
        <w:rPr>
          <w:spacing w:val="-65"/>
        </w:rPr>
        <w:t> </w:t>
      </w:r>
      <w:r>
        <w:rPr>
          <w:spacing w:val="-65"/>
        </w:rPr>
      </w:r>
      <w:r>
        <w:rPr/>
        <w:t>失的期间计入当期损益；用于补偿企业已发生的相关费用或损失的，直接计入当期损益。</w:t>
      </w:r>
    </w:p>
    <w:p>
      <w:pPr>
        <w:pStyle w:val="BodyText"/>
        <w:spacing w:line="319" w:lineRule="auto" w:before="43"/>
        <w:ind w:right="1033"/>
        <w:jc w:val="left"/>
      </w:pPr>
      <w:r>
        <w:rPr>
          <w:spacing w:val="-2"/>
        </w:rPr>
        <w:t>与公司日常活动相关的政府补助，应当按照经济业务实质计入其他收益。与公司日常活动无关的政府补助，应当计入营业外</w:t>
      </w:r>
      <w:r>
        <w:rPr>
          <w:spacing w:val="-65"/>
        </w:rPr>
        <w:t> </w:t>
      </w:r>
      <w:r>
        <w:rPr>
          <w:spacing w:val="-65"/>
        </w:rPr>
      </w:r>
      <w:r>
        <w:rPr/>
        <w:t>收支。</w:t>
      </w:r>
    </w:p>
    <w:p>
      <w:pPr>
        <w:pStyle w:val="BodyText"/>
        <w:spacing w:line="338" w:lineRule="auto" w:before="58"/>
        <w:ind w:right="0"/>
        <w:jc w:val="left"/>
      </w:pPr>
      <w:r>
        <w:rPr/>
        <w:t>（3）政府补助的确认时点 </w:t>
      </w:r>
      <w:r>
        <w:rPr>
          <w:spacing w:val="-2"/>
        </w:rPr>
        <w:t>政府补助为货币性资产的，应当按照收到或应收的金额计量。按照应收金额计量的政府补助，在期末有确凿证据表明能够符</w:t>
      </w:r>
      <w:r>
        <w:rPr>
          <w:spacing w:val="-65"/>
        </w:rPr>
        <w:t> </w:t>
      </w:r>
      <w:r>
        <w:rPr>
          <w:spacing w:val="-65"/>
        </w:rPr>
      </w:r>
      <w:r>
        <w:rPr>
          <w:spacing w:val="-2"/>
        </w:rPr>
        <w:t>合财政扶持政策规定的相关条件且预计能够收到财政扶持资金时予以确认；政府补助为非货币性资产的，应当按照取得非货</w:t>
      </w:r>
    </w:p>
    <w:p>
      <w:pPr>
        <w:pStyle w:val="BodyText"/>
        <w:spacing w:line="338" w:lineRule="auto" w:before="2"/>
        <w:ind w:right="0"/>
        <w:jc w:val="left"/>
      </w:pPr>
      <w:r>
        <w:rPr>
          <w:spacing w:val="-2"/>
        </w:rPr>
        <w:t>币性资产所有权风险和报酬转移时确认政府补助实现。其中非货币性资产按公允价值计量；公允价值不能可靠取得的，按照</w:t>
      </w:r>
      <w:r>
        <w:rPr>
          <w:spacing w:val="-65"/>
        </w:rPr>
        <w:t> </w:t>
      </w:r>
      <w:r>
        <w:rPr>
          <w:spacing w:val="-65"/>
        </w:rPr>
      </w:r>
      <w:r>
        <w:rPr/>
        <w:t>名义金额计量。 </w:t>
      </w:r>
      <w:r>
        <w:rPr>
          <w:spacing w:val="-2"/>
        </w:rPr>
        <w:t>已确认的政府补助需要返还时，存在相关递延收益余额的，冲减相关递延收益账面余额，超出部分计入当期损益；不存在相</w:t>
      </w:r>
    </w:p>
    <w:p>
      <w:pPr>
        <w:pStyle w:val="BodyText"/>
        <w:spacing w:line="240" w:lineRule="auto" w:before="2"/>
        <w:ind w:right="0"/>
        <w:jc w:val="left"/>
      </w:pPr>
      <w:r>
        <w:rPr/>
        <w:t>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spacing w:val="-2"/>
        </w:rPr>
        <w:t>企业所得税采用资产负债表债务法进行核算。于资产负债表日，分析比较资产、负债的账面价值与其计税基础，两者之间存</w:t>
      </w:r>
      <w:r>
        <w:rPr>
          <w:spacing w:val="-66"/>
        </w:rPr>
        <w:t> </w:t>
      </w:r>
      <w:r>
        <w:rPr>
          <w:spacing w:val="-66"/>
        </w:rPr>
      </w:r>
      <w:r>
        <w:rPr/>
        <w:t>在差异的，确认递延所得税资产、递延所得税负债及相应的递延所得税费用(或收益)。在计算确定当期所得税(即当期应交</w:t>
      </w:r>
      <w:r>
        <w:rPr>
          <w:spacing w:val="-87"/>
        </w:rPr>
        <w:t> </w:t>
      </w:r>
      <w:r>
        <w:rPr>
          <w:spacing w:val="-87"/>
        </w:rPr>
      </w:r>
      <w:r>
        <w:rPr/>
        <w:t>所得税)以及递延所得税费用(或收益)的基础上，将两者之和确认为利润表中的所得税费用(或收益)，但不包括直接计入所</w:t>
      </w:r>
      <w:r>
        <w:rPr>
          <w:spacing w:val="-85"/>
        </w:rPr>
        <w:t> </w:t>
      </w:r>
      <w:r>
        <w:rPr>
          <w:spacing w:val="-85"/>
        </w:rPr>
      </w:r>
      <w:r>
        <w:rPr/>
        <w:t>有者权益的交易或事项的所得税影响。</w:t>
      </w:r>
    </w:p>
    <w:p>
      <w:pPr>
        <w:pStyle w:val="BodyText"/>
        <w:spacing w:line="316" w:lineRule="auto" w:before="59"/>
        <w:ind w:right="0"/>
        <w:jc w:val="left"/>
      </w:pPr>
      <w:r>
        <w:rPr>
          <w:spacing w:val="-2"/>
        </w:rPr>
        <w:t>资产负债表日，对递延所得税资产的账面价值进行复核。如果未来期间很可能无法获得足够的应纳税所得额用以抵扣递延所</w:t>
      </w:r>
      <w:r>
        <w:rPr>
          <w:spacing w:val="-64"/>
        </w:rPr>
        <w:t> </w:t>
      </w:r>
      <w:r>
        <w:rPr>
          <w:spacing w:val="-64"/>
        </w:rPr>
      </w:r>
      <w:r>
        <w:rPr/>
        <w:t>得税资产的利益，应当减记递延所得税资产的账面价值。</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7873"/>
        <w:jc w:val="left"/>
      </w:pPr>
      <w:r>
        <w:rPr/>
        <w:t>①公司作为承租人对经营租赁的处理 1）租金的处理</w:t>
      </w:r>
    </w:p>
    <w:p>
      <w:pPr>
        <w:pStyle w:val="BodyText"/>
        <w:spacing w:line="360" w:lineRule="auto" w:before="55"/>
        <w:ind w:right="5353"/>
        <w:jc w:val="left"/>
      </w:pPr>
      <w:r>
        <w:rPr/>
        <w:t>在经营租赁下需将支付或应付的租金计入相关资产成本或当期损益。 2）初始直接费用的处理 对于承租人在经营租赁中发生的初始直接费用，计入当期损益。 3）或有租金的处理 在经营租赁下，承租人对或有租金在实际发生时计入当期损益。 4）出租人提供激励措施的处理</w:t>
      </w:r>
    </w:p>
    <w:p>
      <w:pPr>
        <w:pStyle w:val="BodyText"/>
        <w:spacing w:line="316" w:lineRule="auto" w:before="25"/>
        <w:ind w:right="1132"/>
        <w:jc w:val="both"/>
      </w:pPr>
      <w:r>
        <w:rPr>
          <w:spacing w:val="-2"/>
        </w:rPr>
        <w:t>出租人提供免租期的，承租人应将租金总额在不扣除免租期的整个租赁期内，按直线法或其他合理的方法进行分摊，免租期</w:t>
      </w:r>
      <w:r>
        <w:rPr>
          <w:spacing w:val="-65"/>
        </w:rPr>
        <w:t> </w:t>
      </w:r>
      <w:r>
        <w:rPr>
          <w:spacing w:val="-65"/>
        </w:rPr>
      </w:r>
      <w:r>
        <w:rPr>
          <w:spacing w:val="-2"/>
        </w:rPr>
        <w:t>内应当确认租金费用及相应的负债。出租人承担了承租人某些费用的，承租人将该费用从租金费用总额中扣除，按扣除后的</w:t>
      </w:r>
      <w:r>
        <w:rPr>
          <w:spacing w:val="-65"/>
        </w:rPr>
        <w:t> </w:t>
      </w:r>
      <w:r>
        <w:rPr>
          <w:spacing w:val="-65"/>
        </w:rPr>
      </w:r>
      <w:r>
        <w:rPr/>
        <w:t>租金费用余额在租赁期内进行分摊。</w:t>
      </w:r>
    </w:p>
    <w:p>
      <w:pPr>
        <w:pStyle w:val="BodyText"/>
        <w:spacing w:line="360" w:lineRule="auto" w:before="59"/>
        <w:ind w:right="7873"/>
        <w:jc w:val="left"/>
      </w:pPr>
      <w:r>
        <w:rPr/>
        <w:t>②公司作为出租人对经营租赁的处理 1）租金的处理</w:t>
      </w:r>
    </w:p>
    <w:p>
      <w:pPr>
        <w:pStyle w:val="BodyText"/>
        <w:spacing w:line="360" w:lineRule="auto" w:before="25"/>
        <w:ind w:right="6073"/>
        <w:jc w:val="left"/>
      </w:pPr>
      <w:r>
        <w:rPr/>
        <w:t>出租人应采用直线法将收到的租金在租赁期内确认为收益。 2）初始直接费用的处理</w:t>
      </w:r>
    </w:p>
    <w:p>
      <w:pPr>
        <w:spacing w:after="0" w:line="36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16" w:lineRule="auto" w:before="44"/>
        <w:ind w:right="1129"/>
        <w:jc w:val="both"/>
      </w:pPr>
      <w:r>
        <w:rPr>
          <w:spacing w:val="-2"/>
        </w:rPr>
        <w:t>经营租赁中出租人发生的初始直接费用，是指在租赁谈判和签订租赁合同的过程中发生的可归属于租赁项目的手续费、律师</w:t>
      </w:r>
      <w:r>
        <w:rPr>
          <w:spacing w:val="-64"/>
        </w:rPr>
        <w:t> </w:t>
      </w:r>
      <w:r>
        <w:rPr>
          <w:spacing w:val="-64"/>
        </w:rPr>
      </w:r>
      <w:r>
        <w:rPr>
          <w:spacing w:val="-2"/>
        </w:rPr>
        <w:t>费、差旅费、印花税等，计入当期损益。金额较大的应当资本化，在整个经营租赁期内按照与确认租金收入相同的基础分期</w:t>
      </w:r>
      <w:r>
        <w:rPr>
          <w:spacing w:val="-63"/>
        </w:rPr>
        <w:t> </w:t>
      </w:r>
      <w:r>
        <w:rPr>
          <w:spacing w:val="-63"/>
        </w:rPr>
      </w:r>
      <w:r>
        <w:rPr/>
        <w:t>计入当期损益。</w:t>
      </w:r>
    </w:p>
    <w:p>
      <w:pPr>
        <w:pStyle w:val="BodyText"/>
        <w:spacing w:line="360" w:lineRule="auto" w:before="57"/>
        <w:ind w:right="3013"/>
        <w:jc w:val="left"/>
      </w:pPr>
      <w:r>
        <w:rPr/>
        <w:t>3）租赁资产折旧的计提 对于经营租赁资产中的固定资产，采用出租人对类似应折旧资产通常所采用的折旧政策计提折旧。 4）或有租金的处理</w:t>
      </w:r>
    </w:p>
    <w:p>
      <w:pPr>
        <w:pStyle w:val="BodyText"/>
        <w:spacing w:line="360" w:lineRule="auto" w:before="24"/>
        <w:ind w:right="7423"/>
        <w:jc w:val="left"/>
      </w:pPr>
      <w:r>
        <w:rPr/>
        <w:t>在实际发生时计入当期收益。 5）出租人对经营租赁提供激励措施的处理</w:t>
      </w:r>
    </w:p>
    <w:p>
      <w:pPr>
        <w:pStyle w:val="BodyText"/>
        <w:spacing w:line="316" w:lineRule="auto" w:before="27"/>
        <w:ind w:right="1132"/>
        <w:jc w:val="both"/>
      </w:pPr>
      <w:r>
        <w:rPr>
          <w:spacing w:val="-2"/>
        </w:rPr>
        <w:t>出租人提供免租期的，出租人将租金总额在不扣除免租期的整个租赁期内，按直线法或其他合理的方法进行分配，免租期内</w:t>
      </w:r>
      <w:r>
        <w:rPr>
          <w:spacing w:val="-65"/>
        </w:rPr>
        <w:t> </w:t>
      </w:r>
      <w:r>
        <w:rPr>
          <w:spacing w:val="-65"/>
        </w:rPr>
      </w:r>
      <w:r>
        <w:rPr>
          <w:spacing w:val="-2"/>
        </w:rPr>
        <w:t>出租人确认租金收入。出租人承担了承租人某些费用的，出租人将该费用自租金收入总额中扣除，按扣除后的租金收入余额</w:t>
      </w:r>
      <w:r>
        <w:rPr>
          <w:spacing w:val="-65"/>
        </w:rPr>
        <w:t> </w:t>
      </w:r>
      <w:r>
        <w:rPr>
          <w:spacing w:val="-65"/>
        </w:rPr>
      </w:r>
      <w:r>
        <w:rPr/>
        <w:t>在租赁期内进行分配。</w:t>
      </w:r>
    </w:p>
    <w:p>
      <w:pPr>
        <w:pStyle w:val="BodyText"/>
        <w:spacing w:line="338" w:lineRule="auto" w:before="57"/>
        <w:ind w:right="0"/>
        <w:jc w:val="left"/>
      </w:pPr>
      <w:r>
        <w:rPr/>
        <w:t>6）经营租赁资产在财务报表中的处理 </w:t>
      </w:r>
      <w:r>
        <w:rPr>
          <w:spacing w:val="-2"/>
        </w:rPr>
        <w:t>在经营租赁下，与资产所有权有关的主要风险和报酬仍然留在出租人一方，因此出租人将出租资产作为自身拥有的资产在资</w:t>
      </w:r>
      <w:r>
        <w:rPr>
          <w:spacing w:val="-64"/>
        </w:rPr>
        <w:t> </w:t>
      </w:r>
      <w:r>
        <w:rPr>
          <w:spacing w:val="-64"/>
        </w:rPr>
      </w:r>
      <w:r>
        <w:rPr>
          <w:spacing w:val="-2"/>
        </w:rPr>
        <w:t>产负债表中列示，如果出租资产属于固定资产，则列在资产负债表固定资产项下，如果出租资产属于流动资产，则列在资产</w:t>
      </w:r>
    </w:p>
    <w:p>
      <w:pPr>
        <w:pStyle w:val="BodyText"/>
        <w:spacing w:line="240" w:lineRule="auto" w:before="2"/>
        <w:ind w:right="0"/>
        <w:jc w:val="left"/>
      </w:pPr>
      <w:r>
        <w:rPr/>
        <w:t>负债表有关流动资产项下。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追溯调整法</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号，对一般企业财务</w:t>
            </w:r>
          </w:p>
        </w:tc>
        <w:tc>
          <w:tcPr>
            <w:tcW w:w="3190"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报表格式进行了修订。</w:t>
            </w:r>
            <w:r>
              <w:rPr>
                <w:rFonts w:ascii="宋体" w:hAnsi="宋体" w:cs="宋体" w:eastAsia="宋体" w:hint="default"/>
                <w:spacing w:val="1"/>
                <w:sz w:val="18"/>
                <w:szCs w:val="18"/>
              </w:rPr>
              <w:t> </w:t>
            </w:r>
            <w:r>
              <w:rPr>
                <w:rFonts w:ascii="宋体" w:hAnsi="宋体" w:cs="宋体" w:eastAsia="宋体" w:hint="default"/>
                <w:sz w:val="18"/>
                <w:szCs w:val="18"/>
              </w:rPr>
              <w:t>“应收票据</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17"/>
              <w:jc w:val="both"/>
              <w:rPr>
                <w:rFonts w:ascii="宋体" w:hAnsi="宋体" w:cs="宋体" w:eastAsia="宋体" w:hint="default"/>
                <w:sz w:val="18"/>
                <w:szCs w:val="18"/>
              </w:rPr>
            </w:pPr>
            <w:r>
              <w:rPr>
                <w:rFonts w:ascii="宋体" w:hAnsi="宋体" w:cs="宋体" w:eastAsia="宋体" w:hint="default"/>
                <w:spacing w:val="-5"/>
                <w:sz w:val="18"/>
                <w:szCs w:val="18"/>
              </w:rPr>
              <w:t>“应收账款”归并到“应收票据及应收</w:t>
            </w:r>
            <w:r>
              <w:rPr>
                <w:rFonts w:ascii="宋体" w:hAnsi="宋体" w:cs="宋体" w:eastAsia="宋体" w:hint="default"/>
                <w:sz w:val="18"/>
                <w:szCs w:val="18"/>
              </w:rPr>
              <w:t> </w:t>
            </w:r>
            <w:r>
              <w:rPr>
                <w:rFonts w:ascii="宋体" w:hAnsi="宋体" w:cs="宋体" w:eastAsia="宋体" w:hint="default"/>
                <w:spacing w:val="-15"/>
                <w:sz w:val="18"/>
                <w:szCs w:val="18"/>
              </w:rPr>
              <w:t>账”列报；“应付票据”、“应付账款”</w:t>
            </w:r>
            <w:r>
              <w:rPr>
                <w:rFonts w:ascii="宋体" w:hAnsi="宋体" w:cs="宋体" w:eastAsia="宋体" w:hint="default"/>
                <w:sz w:val="18"/>
                <w:szCs w:val="18"/>
              </w:rPr>
              <w:t> 归并到“应付票据及应付账款”列报；</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103" w:right="103"/>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日第六届董事会第七 次会议审议通过</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详见下文</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5"/>
                <w:sz w:val="18"/>
                <w:szCs w:val="18"/>
              </w:rPr>
              <w:t>“研发费用”从“管理费用”中分列单</w:t>
            </w:r>
          </w:p>
        </w:tc>
        <w:tc>
          <w:tcPr>
            <w:tcW w:w="3190"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独列报。比较数据相应调整。</w:t>
            </w:r>
          </w:p>
        </w:tc>
        <w:tc>
          <w:tcPr>
            <w:tcW w:w="3190"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734" w:hRule="exact"/>
        </w:trPr>
        <w:tc>
          <w:tcPr>
            <w:tcW w:w="3190" w:type="dxa"/>
            <w:tcBorders>
              <w:top w:val="single" w:sz="4" w:space="0" w:color="000000"/>
              <w:left w:val="single" w:sz="4" w:space="0" w:color="000000"/>
              <w:bottom w:val="nil" w:sz="6" w:space="0" w:color="auto"/>
              <w:right w:val="single" w:sz="4" w:space="0" w:color="000000"/>
            </w:tcBorders>
          </w:tcPr>
          <w:p>
            <w:pPr>
              <w:pStyle w:val="TableParagraph"/>
              <w:spacing w:line="300" w:lineRule="auto" w:before="49"/>
              <w:ind w:left="100"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日发布了《关于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度一般企业财务报表格式有关问题的</w:t>
            </w: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00" w:lineRule="auto"/>
              <w:ind w:left="103" w:right="103"/>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日第六届董事会第七 次会议审议通过</w:t>
            </w: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详见下文</w:t>
            </w:r>
          </w:p>
        </w:tc>
      </w:tr>
      <w:tr>
        <w:trPr>
          <w:trHeight w:val="259" w:hRule="exact"/>
        </w:trPr>
        <w:tc>
          <w:tcPr>
            <w:tcW w:w="3190"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100" w:right="0"/>
              <w:jc w:val="left"/>
              <w:rPr>
                <w:rFonts w:ascii="宋体" w:hAnsi="宋体" w:cs="宋体" w:eastAsia="宋体" w:hint="default"/>
                <w:sz w:val="18"/>
                <w:szCs w:val="18"/>
              </w:rPr>
            </w:pPr>
            <w:r>
              <w:rPr>
                <w:rFonts w:ascii="宋体" w:hAnsi="宋体" w:cs="宋体" w:eastAsia="宋体" w:hint="default"/>
                <w:sz w:val="18"/>
                <w:szCs w:val="18"/>
              </w:rPr>
              <w:t>解读</w:t>
            </w:r>
            <w:r>
              <w:rPr>
                <w:rFonts w:ascii="宋体" w:hAnsi="宋体" w:cs="宋体" w:eastAsia="宋体" w:hint="default"/>
                <w:spacing w:val="-89"/>
                <w:sz w:val="18"/>
                <w:szCs w:val="18"/>
              </w:rPr>
              <w:t>》</w:t>
            </w:r>
            <w:r>
              <w:rPr>
                <w:rFonts w:ascii="宋体" w:hAnsi="宋体" w:cs="宋体" w:eastAsia="宋体" w:hint="default"/>
                <w:sz w:val="18"/>
                <w:szCs w:val="18"/>
              </w:rPr>
              <w:t>，代扣个人所得税手续费返还在</w:t>
            </w:r>
          </w:p>
        </w:tc>
        <w:tc>
          <w:tcPr>
            <w:tcW w:w="3190"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pacing w:val="-89"/>
                <w:sz w:val="18"/>
                <w:szCs w:val="18"/>
              </w:rPr>
              <w:t>”</w:t>
            </w:r>
            <w:r>
              <w:rPr>
                <w:rFonts w:ascii="宋体" w:hAnsi="宋体" w:cs="宋体" w:eastAsia="宋体" w:hint="default"/>
                <w:sz w:val="18"/>
                <w:szCs w:val="18"/>
              </w:rPr>
              <w:t>列报</w:t>
            </w:r>
            <w:r>
              <w:rPr>
                <w:rFonts w:ascii="宋体" w:hAnsi="宋体" w:cs="宋体" w:eastAsia="宋体" w:hint="default"/>
                <w:spacing w:val="-87"/>
                <w:sz w:val="18"/>
                <w:szCs w:val="18"/>
              </w:rPr>
              <w:t>。</w:t>
            </w:r>
            <w:r>
              <w:rPr>
                <w:rFonts w:ascii="宋体" w:hAnsi="宋体" w:cs="宋体" w:eastAsia="宋体" w:hint="default"/>
                <w:sz w:val="18"/>
                <w:szCs w:val="18"/>
              </w:rPr>
              <w:t>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49"/>
        <w:ind w:right="1132"/>
        <w:jc w:val="left"/>
      </w:pPr>
      <w:r>
        <w:rPr>
          <w:spacing w:val="-3"/>
        </w:rPr>
        <w:t>财政部于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15</w:t>
      </w:r>
      <w:r>
        <w:rPr>
          <w:spacing w:val="-3"/>
        </w:rPr>
        <w:t>日发布了《关于修订印发</w:t>
      </w:r>
      <w:r>
        <w:rPr>
          <w:rFonts w:ascii="Times New Roman" w:hAnsi="Times New Roman" w:cs="Times New Roman" w:eastAsia="Times New Roman" w:hint="default"/>
          <w:spacing w:val="-3"/>
        </w:rPr>
        <w:t>2018</w:t>
      </w:r>
      <w:r>
        <w:rPr>
          <w:spacing w:val="-3"/>
        </w:rPr>
        <w:t>年度一般企业财务报表格式的通知》（财会〔</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15</w:t>
      </w:r>
      <w:r>
        <w:rPr>
          <w:spacing w:val="-3"/>
        </w:rPr>
        <w:t>号），公司已按照</w:t>
      </w:r>
      <w:r>
        <w:rPr>
          <w:spacing w:val="-86"/>
        </w:rPr>
        <w:t> </w:t>
      </w:r>
      <w:r>
        <w:rPr>
          <w:spacing w:val="-86"/>
        </w:rPr>
      </w:r>
      <w:r>
        <w:rPr/>
        <w:t>上述通知编制</w:t>
      </w:r>
      <w:r>
        <w:rPr>
          <w:rFonts w:ascii="Times New Roman" w:hAnsi="Times New Roman" w:cs="Times New Roman" w:eastAsia="Times New Roman" w:hint="default"/>
        </w:rPr>
        <w:t>2018</w:t>
      </w:r>
      <w:r>
        <w:rPr/>
        <w:t>年度财务报表。可比期间数据已相应调整，列示如下：</w:t>
      </w:r>
    </w:p>
    <w:p>
      <w:pPr>
        <w:pStyle w:val="BodyText"/>
        <w:spacing w:line="240" w:lineRule="auto" w:before="53"/>
        <w:ind w:left="0" w:right="1410"/>
        <w:jc w:val="right"/>
      </w:pPr>
      <w:r>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42"/>
        <w:gridCol w:w="2030"/>
        <w:gridCol w:w="2342"/>
        <w:gridCol w:w="2479"/>
      </w:tblGrid>
      <w:tr>
        <w:trPr>
          <w:trHeight w:val="427" w:hRule="exact"/>
        </w:trPr>
        <w:tc>
          <w:tcPr>
            <w:tcW w:w="4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26"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8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02"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2,750,838.58</w:t>
            </w:r>
          </w:p>
        </w:tc>
        <w:tc>
          <w:tcPr>
            <w:tcW w:w="2342"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79" w:type="dxa"/>
            <w:vMerge w:val="restart"/>
            <w:tcBorders>
              <w:top w:val="single" w:sz="6" w:space="0" w:color="000000"/>
              <w:left w:val="single" w:sz="6" w:space="0" w:color="000000"/>
              <w:right w:val="single" w:sz="6" w:space="0" w:color="000000"/>
            </w:tcBorders>
          </w:tcPr>
          <w:p>
            <w:pPr>
              <w:pStyle w:val="TableParagraph"/>
              <w:spacing w:line="240" w:lineRule="auto" w:before="101"/>
              <w:ind w:left="1334" w:right="0"/>
              <w:jc w:val="left"/>
              <w:rPr>
                <w:rFonts w:ascii="Times New Roman" w:hAnsi="Times New Roman" w:cs="Times New Roman" w:eastAsia="Times New Roman" w:hint="default"/>
                <w:sz w:val="18"/>
                <w:szCs w:val="18"/>
              </w:rPr>
            </w:pPr>
            <w:r>
              <w:rPr>
                <w:rFonts w:ascii="Times New Roman"/>
                <w:sz w:val="18"/>
              </w:rPr>
              <w:t>218,242,478.81</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215,491,640.23</w:t>
            </w:r>
          </w:p>
        </w:tc>
        <w:tc>
          <w:tcPr>
            <w:tcW w:w="2342" w:type="dxa"/>
            <w:vMerge/>
            <w:tcBorders>
              <w:left w:val="single" w:sz="6" w:space="0" w:color="000000"/>
              <w:bottom w:val="single" w:sz="6" w:space="0" w:color="000000"/>
              <w:right w:val="single" w:sz="6" w:space="0" w:color="000000"/>
            </w:tcBorders>
          </w:tcPr>
          <w:p>
            <w:pPr/>
          </w:p>
        </w:tc>
        <w:tc>
          <w:tcPr>
            <w:tcW w:w="2479" w:type="dxa"/>
            <w:vMerge/>
            <w:tcBorders>
              <w:left w:val="single" w:sz="6" w:space="0" w:color="000000"/>
              <w:bottom w:val="single" w:sz="6" w:space="0" w:color="000000"/>
              <w:right w:val="single" w:sz="6" w:space="0" w:color="000000"/>
            </w:tcBorders>
          </w:tcPr>
          <w:p>
            <w:pP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30" w:type="dxa"/>
            <w:tcBorders>
              <w:top w:val="single" w:sz="6" w:space="0" w:color="000000"/>
              <w:left w:val="single" w:sz="6" w:space="0" w:color="000000"/>
              <w:bottom w:val="single" w:sz="6" w:space="0" w:color="000000"/>
              <w:right w:val="single" w:sz="6" w:space="0" w:color="000000"/>
            </w:tcBorders>
          </w:tcPr>
          <w:p>
            <w:pPr/>
          </w:p>
        </w:tc>
        <w:tc>
          <w:tcPr>
            <w:tcW w:w="2342" w:type="dxa"/>
            <w:vMerge w:val="restart"/>
            <w:tcBorders>
              <w:top w:val="single" w:sz="6" w:space="0" w:color="000000"/>
              <w:left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79" w:type="dxa"/>
            <w:vMerge w:val="restart"/>
            <w:tcBorders>
              <w:top w:val="single" w:sz="6" w:space="0" w:color="000000"/>
              <w:left w:val="single" w:sz="6" w:space="0" w:color="000000"/>
              <w:right w:val="single" w:sz="6" w:space="0" w:color="000000"/>
            </w:tcBorders>
          </w:tcPr>
          <w:p>
            <w:pPr>
              <w:pStyle w:val="TableParagraph"/>
              <w:spacing w:line="240" w:lineRule="auto" w:before="100"/>
              <w:ind w:left="1425" w:right="0"/>
              <w:jc w:val="left"/>
              <w:rPr>
                <w:rFonts w:ascii="Times New Roman" w:hAnsi="Times New Roman" w:cs="Times New Roman" w:eastAsia="Times New Roman" w:hint="default"/>
                <w:sz w:val="18"/>
                <w:szCs w:val="18"/>
              </w:rPr>
            </w:pPr>
            <w:r>
              <w:rPr>
                <w:rFonts w:ascii="Times New Roman"/>
                <w:sz w:val="18"/>
              </w:rPr>
              <w:t>96,091,087.92</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96,091,087.92</w:t>
            </w:r>
          </w:p>
        </w:tc>
        <w:tc>
          <w:tcPr>
            <w:tcW w:w="2342" w:type="dxa"/>
            <w:vMerge/>
            <w:tcBorders>
              <w:left w:val="single" w:sz="6" w:space="0" w:color="000000"/>
              <w:bottom w:val="single" w:sz="6" w:space="0" w:color="000000"/>
              <w:right w:val="single" w:sz="6" w:space="0" w:color="000000"/>
            </w:tcBorders>
          </w:tcPr>
          <w:p>
            <w:pPr/>
          </w:p>
        </w:tc>
        <w:tc>
          <w:tcPr>
            <w:tcW w:w="2479" w:type="dxa"/>
            <w:vMerge/>
            <w:tcBorders>
              <w:left w:val="single" w:sz="6" w:space="0" w:color="000000"/>
              <w:bottom w:val="single" w:sz="6" w:space="0" w:color="000000"/>
              <w:right w:val="single" w:sz="6" w:space="0" w:color="000000"/>
            </w:tcBorders>
          </w:tcPr>
          <w:p>
            <w:pPr/>
          </w:p>
        </w:tc>
      </w:tr>
      <w:tr>
        <w:trPr>
          <w:trHeight w:val="427" w:hRule="exact"/>
        </w:trPr>
        <w:tc>
          <w:tcPr>
            <w:tcW w:w="2842" w:type="dxa"/>
            <w:vMerge w:val="restart"/>
            <w:tcBorders>
              <w:top w:val="single" w:sz="6" w:space="0" w:color="000000"/>
              <w:left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30" w:type="dxa"/>
            <w:vMerge w:val="restart"/>
            <w:tcBorders>
              <w:top w:val="single" w:sz="6" w:space="0" w:color="000000"/>
              <w:left w:val="single" w:sz="6" w:space="0" w:color="000000"/>
              <w:right w:val="single" w:sz="6" w:space="0" w:color="000000"/>
            </w:tcBorders>
          </w:tcPr>
          <w:p>
            <w:pPr>
              <w:pStyle w:val="TableParagraph"/>
              <w:spacing w:line="240" w:lineRule="auto" w:before="100"/>
              <w:ind w:left="888" w:right="-2"/>
              <w:jc w:val="left"/>
              <w:rPr>
                <w:rFonts w:ascii="Times New Roman" w:hAnsi="Times New Roman" w:cs="Times New Roman" w:eastAsia="Times New Roman" w:hint="default"/>
                <w:sz w:val="18"/>
                <w:szCs w:val="18"/>
              </w:rPr>
            </w:pPr>
            <w:r>
              <w:rPr>
                <w:rFonts w:ascii="Times New Roman"/>
                <w:sz w:val="18"/>
              </w:rPr>
              <w:t>210,942,575.86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89,158,810.04</w:t>
            </w:r>
          </w:p>
        </w:tc>
      </w:tr>
      <w:tr>
        <w:trPr>
          <w:trHeight w:val="427" w:hRule="exact"/>
        </w:trPr>
        <w:tc>
          <w:tcPr>
            <w:tcW w:w="2842" w:type="dxa"/>
            <w:vMerge/>
            <w:tcBorders>
              <w:left w:val="single" w:sz="6" w:space="0" w:color="000000"/>
              <w:bottom w:val="single" w:sz="6" w:space="0" w:color="000000"/>
              <w:right w:val="single" w:sz="6" w:space="0" w:color="000000"/>
            </w:tcBorders>
          </w:tcPr>
          <w:p>
            <w:pPr/>
          </w:p>
        </w:tc>
        <w:tc>
          <w:tcPr>
            <w:tcW w:w="2030" w:type="dxa"/>
            <w:vMerge/>
            <w:tcBorders>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121,783,765.82</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54,455,331.80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54,234,533.80</w:t>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40,871,580.76</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41,092,378.76</w:t>
            </w:r>
          </w:p>
        </w:tc>
      </w:tr>
    </w:tbl>
    <w:p>
      <w:pPr>
        <w:spacing w:line="240" w:lineRule="auto" w:before="2"/>
        <w:rPr>
          <w:rFonts w:ascii="宋体" w:hAnsi="宋体" w:cs="宋体" w:eastAsia="宋体" w:hint="default"/>
          <w:sz w:val="27"/>
          <w:szCs w:val="27"/>
        </w:rPr>
      </w:pPr>
    </w:p>
    <w:p>
      <w:pPr>
        <w:pStyle w:val="BodyText"/>
        <w:spacing w:line="316" w:lineRule="auto" w:before="44"/>
        <w:ind w:right="1033"/>
        <w:jc w:val="left"/>
      </w:pPr>
      <w:r>
        <w:rPr>
          <w:spacing w:val="-2"/>
        </w:rPr>
        <w:t>本次会计政策变更，仅对上述财务报表项目列示产生影响，对公司可比期间资产总额、负债总额、净资产以及净利润未产生</w:t>
      </w:r>
      <w:r>
        <w:rPr>
          <w:spacing w:val="-66"/>
        </w:rPr>
        <w:t> </w:t>
      </w:r>
      <w:r>
        <w:rPr>
          <w:spacing w:val="-66"/>
        </w:rPr>
      </w:r>
      <w:r>
        <w:rPr/>
        <w:t>影响。</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4"/>
              <w:jc w:val="left"/>
              <w:rPr>
                <w:rFonts w:ascii="宋体" w:hAnsi="宋体" w:cs="宋体" w:eastAsia="宋体" w:hint="default"/>
                <w:sz w:val="18"/>
                <w:szCs w:val="18"/>
              </w:rPr>
            </w:pPr>
            <w:r>
              <w:rPr>
                <w:rFonts w:ascii="宋体" w:hAnsi="宋体" w:cs="宋体" w:eastAsia="宋体" w:hint="default"/>
                <w:sz w:val="18"/>
                <w:szCs w:val="18"/>
              </w:rPr>
              <w:t>按销项税额扣除可抵扣进项税额后的 差额部分计缴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按应交增值税计缴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12.5%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按应交增值税计缴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1296"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0" w:right="12"/>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：据《财政部、国家税务总局关于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调整增值税税率的通知》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财税〔</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规定，自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 纳税人发生增值税应税销售行为或者</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7"/>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67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0" w:right="360"/>
              <w:jc w:val="left"/>
              <w:rPr>
                <w:rFonts w:ascii="宋体" w:hAnsi="宋体" w:cs="宋体" w:eastAsia="宋体" w:hint="default"/>
                <w:sz w:val="18"/>
                <w:szCs w:val="18"/>
              </w:rPr>
            </w:pPr>
            <w:r>
              <w:rPr>
                <w:rFonts w:ascii="宋体" w:hAnsi="宋体" w:cs="宋体" w:eastAsia="宋体" w:hint="default"/>
                <w:sz w:val="18"/>
                <w:szCs w:val="18"/>
              </w:rPr>
              <w:t>进口货物，原税率为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的调整为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0" w:right="10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：新加坡境内子公司所得税按照应</w:t>
            </w:r>
            <w:r>
              <w:rPr>
                <w:rFonts w:ascii="宋体" w:hAnsi="宋体" w:cs="宋体" w:eastAsia="宋体" w:hint="default"/>
                <w:sz w:val="18"/>
                <w:szCs w:val="18"/>
              </w:rPr>
              <w:t> 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计缴；肯尼亚境内 子公司所得税按照应纳税所得额的 </w:t>
            </w:r>
            <w:r>
              <w:rPr>
                <w:rFonts w:ascii="Times New Roman" w:hAnsi="Times New Roman" w:cs="Times New Roman" w:eastAsia="Times New Roman" w:hint="default"/>
                <w:sz w:val="18"/>
                <w:szCs w:val="18"/>
              </w:rPr>
              <w:t>30%</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81"/>
        <w:gridCol w:w="4786"/>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云宝金服（北京）科技有限公司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江苏恒宝智能系统技术有限公司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北京东方英卡数字信息技术有限公司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恒宝国际有限责任公司（注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深圳一卡易网络科技有限公司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深圳钱客多信息科技有限公司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恒宝（中东非洲）有限责任公司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w:t>
            </w:r>
          </w:p>
        </w:tc>
      </w:tr>
      <w:tr>
        <w:trPr>
          <w:trHeight w:val="71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0" w:right="10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：公司下属子公司恒宝国际有限责任公司系注册地在新</w:t>
            </w:r>
            <w:r>
              <w:rPr>
                <w:rFonts w:ascii="宋体" w:hAnsi="宋体" w:cs="宋体" w:eastAsia="宋体" w:hint="default"/>
                <w:sz w:val="18"/>
                <w:szCs w:val="18"/>
              </w:rPr>
              <w:t> 加坡的境外子公司。</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0" w:right="10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：公司下属子公司恒宝科技（印度）私人有限公司系注</w:t>
            </w:r>
            <w:r>
              <w:rPr>
                <w:rFonts w:ascii="宋体" w:hAnsi="宋体" w:cs="宋体" w:eastAsia="宋体" w:hint="default"/>
                <w:sz w:val="18"/>
                <w:szCs w:val="18"/>
              </w:rPr>
              <w:t> 册地在印度的境外子公司。</w:t>
            </w:r>
          </w:p>
        </w:tc>
        <w:tc>
          <w:tcPr>
            <w:tcW w:w="47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0" w:right="10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：公司下属子公司恒宝（中东非洲）有限责任公司系注</w:t>
            </w:r>
            <w:r>
              <w:rPr>
                <w:rFonts w:ascii="宋体" w:hAnsi="宋体" w:cs="宋体" w:eastAsia="宋体" w:hint="default"/>
                <w:sz w:val="18"/>
                <w:szCs w:val="18"/>
              </w:rPr>
              <w:t> 册地在中东非洲的境外子公司。</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2"/>
        <w:jc w:val="both"/>
      </w:pPr>
      <w:r>
        <w:rPr/>
        <w:t>（1）公司及下属子公司深圳一卡易科技股份有限公司、深圳一卡易网络科技有限公司根据财政部、国家税务总局关于软件</w:t>
      </w:r>
      <w:r>
        <w:rPr>
          <w:spacing w:val="-84"/>
        </w:rPr>
        <w:t> </w:t>
      </w:r>
      <w:r>
        <w:rPr>
          <w:spacing w:val="-84"/>
        </w:rPr>
      </w:r>
      <w:r>
        <w:rPr/>
        <w:t>产品增值税政策的通知（财税</w:t>
      </w:r>
      <w:r>
        <w:rPr>
          <w:rFonts w:ascii="Times New Roman" w:hAnsi="Times New Roman" w:cs="Times New Roman" w:eastAsia="Times New Roman" w:hint="default"/>
        </w:rPr>
        <w:t>[2011]100</w:t>
      </w:r>
      <w:r>
        <w:rPr/>
        <w:t>号）的相关规定，软件产品按</w:t>
      </w:r>
      <w:r>
        <w:rPr>
          <w:rFonts w:ascii="Times New Roman" w:hAnsi="Times New Roman" w:cs="Times New Roman" w:eastAsia="Times New Roman" w:hint="default"/>
        </w:rPr>
        <w:t>17</w:t>
      </w:r>
      <w:r>
        <w:rPr/>
        <w:t>％的法定税率征收增值税后，对其增值税实际税负</w:t>
      </w:r>
      <w:r>
        <w:rPr>
          <w:spacing w:val="-42"/>
        </w:rPr>
        <w:t> </w:t>
      </w:r>
      <w:r>
        <w:rPr>
          <w:spacing w:val="-42"/>
        </w:rPr>
      </w:r>
      <w:r>
        <w:rPr/>
        <w:t>超过</w:t>
      </w:r>
      <w:r>
        <w:rPr>
          <w:rFonts w:ascii="Times New Roman" w:hAnsi="Times New Roman" w:cs="Times New Roman" w:eastAsia="Times New Roman" w:hint="default"/>
        </w:rPr>
        <w:t>3%</w:t>
      </w:r>
      <w:r>
        <w:rPr/>
        <w:t>的部分享受即征即退政策。</w:t>
      </w:r>
    </w:p>
    <w:p>
      <w:pPr>
        <w:spacing w:line="240" w:lineRule="auto" w:before="0"/>
        <w:rPr>
          <w:rFonts w:ascii="宋体" w:hAnsi="宋体" w:cs="宋体" w:eastAsia="宋体" w:hint="default"/>
          <w:sz w:val="18"/>
          <w:szCs w:val="18"/>
        </w:rPr>
      </w:pPr>
    </w:p>
    <w:p>
      <w:pPr>
        <w:pStyle w:val="BodyText"/>
        <w:spacing w:line="300" w:lineRule="auto" w:before="160"/>
        <w:ind w:right="1139"/>
        <w:jc w:val="both"/>
      </w:pPr>
      <w:r>
        <w:rPr/>
        <w:t>（2）根据财税</w:t>
      </w:r>
      <w:r>
        <w:rPr>
          <w:rFonts w:ascii="Times New Roman" w:hAnsi="Times New Roman" w:cs="Times New Roman" w:eastAsia="Times New Roman" w:hint="default"/>
        </w:rPr>
        <w:t>[2012]27</w:t>
      </w:r>
      <w:r>
        <w:rPr/>
        <w:t>号及财税[2016]49号规定，国家规划布局内的重点软件企业和集成电路设计企业，当年未享受免税</w:t>
      </w:r>
      <w:r>
        <w:rPr>
          <w:spacing w:val="-46"/>
        </w:rPr>
        <w:t> </w:t>
      </w:r>
      <w:r>
        <w:rPr>
          <w:spacing w:val="-46"/>
        </w:rPr>
      </w:r>
      <w:r>
        <w:rPr/>
        <w:t>优惠，减按</w:t>
      </w:r>
      <w:r>
        <w:rPr>
          <w:rFonts w:ascii="Times New Roman" w:hAnsi="Times New Roman" w:cs="Times New Roman" w:eastAsia="Times New Roman" w:hint="default"/>
        </w:rPr>
        <w:t>10%</w:t>
      </w:r>
      <w:r>
        <w:rPr/>
        <w:t>的税率征收企业所得税。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00" w:lineRule="auto"/>
        <w:ind w:right="1127"/>
        <w:jc w:val="both"/>
      </w:pPr>
      <w:r>
        <w:rPr>
          <w:spacing w:val="-1"/>
        </w:rPr>
        <w:t>（3）根据财税</w:t>
      </w:r>
      <w:r>
        <w:rPr>
          <w:rFonts w:ascii="Times New Roman" w:hAnsi="Times New Roman" w:cs="Times New Roman" w:eastAsia="Times New Roman" w:hint="default"/>
          <w:spacing w:val="-1"/>
        </w:rPr>
        <w:t>[2012]27</w:t>
      </w:r>
      <w:r>
        <w:rPr>
          <w:spacing w:val="-1"/>
        </w:rPr>
        <w:t>号及财税[2016]49号规定，我国境内新办的符合条件的软件企业，经认定后，自获利年度起，第</w:t>
      </w:r>
      <w:r>
        <w:rPr>
          <w:rFonts w:ascii="Times New Roman" w:hAnsi="Times New Roman" w:cs="Times New Roman" w:eastAsia="Times New Roman" w:hint="default"/>
          <w:spacing w:val="-1"/>
        </w:rPr>
        <w:t>1</w:t>
      </w:r>
      <w:r>
        <w:rPr>
          <w:spacing w:val="-1"/>
        </w:rPr>
        <w:t>年</w:t>
      </w:r>
      <w:r>
        <w:rPr>
          <w:spacing w:val="-54"/>
        </w:rPr>
        <w:t> </w:t>
      </w:r>
      <w:r>
        <w:rPr/>
        <w:t>至第</w:t>
      </w:r>
      <w:r>
        <w:rPr>
          <w:rFonts w:ascii="Times New Roman" w:hAnsi="Times New Roman" w:cs="Times New Roman" w:eastAsia="Times New Roman" w:hint="default"/>
        </w:rPr>
        <w:t>2</w:t>
      </w:r>
      <w:r>
        <w:rPr/>
        <w:t>年免征企业所得税，第</w:t>
      </w:r>
      <w:r>
        <w:rPr>
          <w:rFonts w:ascii="Times New Roman" w:hAnsi="Times New Roman" w:cs="Times New Roman" w:eastAsia="Times New Roman" w:hint="default"/>
        </w:rPr>
        <w:t>3</w:t>
      </w:r>
      <w:r>
        <w:rPr/>
        <w:t>年至第</w:t>
      </w:r>
      <w:r>
        <w:rPr>
          <w:rFonts w:ascii="Times New Roman" w:hAnsi="Times New Roman" w:cs="Times New Roman" w:eastAsia="Times New Roman" w:hint="default"/>
        </w:rPr>
        <w:t>5</w:t>
      </w:r>
      <w:r>
        <w:rPr/>
        <w:t>年按照</w:t>
      </w:r>
      <w:r>
        <w:rPr>
          <w:rFonts w:ascii="Times New Roman" w:hAnsi="Times New Roman" w:cs="Times New Roman" w:eastAsia="Times New Roman" w:hint="default"/>
        </w:rPr>
        <w:t>25%</w:t>
      </w:r>
      <w:r>
        <w:rPr/>
        <w:t>的法定税率减半征收企业所得税，并享受至期满为止。据此，公司下属子</w:t>
      </w:r>
      <w:r>
        <w:rPr>
          <w:spacing w:val="-62"/>
        </w:rPr>
        <w:t> </w:t>
      </w:r>
      <w:r>
        <w:rPr>
          <w:spacing w:val="-62"/>
        </w:rPr>
      </w:r>
      <w:r>
        <w:rPr>
          <w:spacing w:val="-2"/>
        </w:rPr>
        <w:t>公司深圳一卡易科技股份有限公司及深圳一卡易网络科技有限公司自获利年度起</w:t>
      </w:r>
      <w:r>
        <w:rPr>
          <w:rFonts w:ascii="Times New Roman" w:hAnsi="Times New Roman" w:cs="Times New Roman" w:eastAsia="Times New Roman" w:hint="default"/>
          <w:spacing w:val="-2"/>
        </w:rPr>
        <w:t>2</w:t>
      </w:r>
      <w:r>
        <w:rPr>
          <w:spacing w:val="-2"/>
        </w:rPr>
        <w:t>年内免征企业所得税，之后</w:t>
      </w:r>
      <w:r>
        <w:rPr>
          <w:rFonts w:ascii="Times New Roman" w:hAnsi="Times New Roman" w:cs="Times New Roman" w:eastAsia="Times New Roman" w:hint="default"/>
          <w:spacing w:val="-2"/>
        </w:rPr>
        <w:t>3</w:t>
      </w:r>
      <w:r>
        <w:rPr>
          <w:spacing w:val="-2"/>
        </w:rPr>
        <w:t>年内减半征收</w:t>
      </w:r>
      <w:r>
        <w:rPr>
          <w:spacing w:val="-63"/>
        </w:rPr>
        <w:t> </w:t>
      </w:r>
      <w:r>
        <w:rPr/>
        <w:t>企业所得税。</w:t>
      </w:r>
    </w:p>
    <w:p>
      <w:pPr>
        <w:spacing w:after="0" w:line="300" w:lineRule="auto"/>
        <w:jc w:val="both"/>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19" w:lineRule="auto" w:before="44"/>
        <w:ind w:right="0"/>
        <w:jc w:val="left"/>
      </w:pPr>
      <w:r>
        <w:rPr>
          <w:spacing w:val="-2"/>
        </w:rPr>
        <w:t>（4）公司下属子公司北京东方英卡数字信息技术有限公司于2016年12月22日获得《高新技术企业证书》，减按15%的税率征</w:t>
      </w:r>
      <w:r>
        <w:rPr>
          <w:spacing w:val="-62"/>
        </w:rPr>
        <w:t> </w:t>
      </w:r>
      <w:r>
        <w:rPr>
          <w:spacing w:val="-62"/>
        </w:rPr>
      </w:r>
      <w:r>
        <w:rPr/>
        <w:t>收企业所得税。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388,744.51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238,477.45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765,681,496.00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350,687,263.55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8,925,675.42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4,929,873.47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774,995,915.93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355,855,614.47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27,738,684.52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13,224,188.86</w:t>
            </w:r>
          </w:p>
        </w:tc>
      </w:tr>
    </w:tbl>
    <w:p>
      <w:pPr>
        <w:pStyle w:val="BodyText"/>
        <w:spacing w:line="360" w:lineRule="auto" w:before="46"/>
        <w:ind w:right="6253"/>
        <w:jc w:val="left"/>
      </w:pPr>
      <w:r>
        <w:rPr/>
        <w:t>其他说明 期末使用权有限制的货币资金情况，详见附注七、</w:t>
      </w:r>
      <w:r>
        <w:rPr>
          <w:rFonts w:ascii="Times New Roman" w:hAnsi="Times New Roman" w:cs="Times New Roman" w:eastAsia="Times New Roman" w:hint="default"/>
        </w:rPr>
        <w:t>70</w:t>
      </w:r>
      <w:r>
        <w:rPr/>
        <w:t>。</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51,820.94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2,750,838.58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90,851,198.76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215,491,640.23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90,903,019.70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218,242,478.81</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51,820.94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2,750,838.58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51,820.94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2,750,838.58</w:t>
            </w:r>
          </w:p>
        </w:tc>
      </w:tr>
    </w:tbl>
    <w:p>
      <w:pPr>
        <w:pStyle w:val="BodyText"/>
        <w:spacing w:line="240" w:lineRule="auto" w:before="49"/>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5"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8pt;mso-position-horizontal-relative:char;mso-position-vertical-relative:line" coordorigin="0,0" coordsize="9586,416">
            <v:group style="position:absolute;left:12;top:12;width:4779;height:399" coordorigin="12,12" coordsize="4779,399">
              <v:shape style="position:absolute;left:12;top:12;width:4779;height:399" coordorigin="12,12" coordsize="4779,399" path="m12,12l4790,12,4790,410,12,410,12,12xe" filled="true" fillcolor="#d3d3d3" stroked="false">
                <v:path arrowok="t"/>
                <v:fill type="solid"/>
              </v:shape>
            </v:group>
            <v:group style="position:absolute;left:4795;top:12;width:4779;height:399" coordorigin="4795,12" coordsize="4779,399">
              <v:shape style="position:absolute;left:4795;top:12;width:4779;height:399" coordorigin="4795,12" coordsize="4779,399" path="m4795,12l9574,12,9574,410,4795,410,4795,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0;width:9576;height:2" coordorigin="5,410" coordsize="9576,2">
              <v:shape style="position:absolute;left:5;top:410;width:9576;height:2" coordorigin="5,410" coordsize="9576,0" path="m5,410l9581,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4793;top:5;width:2;height:401" coordorigin="4793,5" coordsize="2,401">
              <v:shape style="position:absolute;left:4793;top:5;width:2;height:401" coordorigin="4793,5" coordsize="0,401" path="m4793,5l4793,406e" filled="false" stroked="true" strokeweight=".48pt" strokecolor="#000000">
                <v:path arrowok="t"/>
              </v:shape>
            </v:group>
            <v:group style="position:absolute;left:9576;top:5;width:2;height:401" coordorigin="9576,5" coordsize="2,401">
              <v:shape style="position:absolute;left:9576;top:5;width:2;height:401" coordorigin="9576,5" coordsize="0,401" path="m9576,5l9576,406e" filled="false" stroked="true" strokeweight=".48pt" strokecolor="#000000">
                <v:path arrowok="t"/>
              </v:shape>
              <v:shape style="position:absolute;left:22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4;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49"/>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4;width:4779;height:396" coordorigin="12,14" coordsize="4779,396">
              <v:shape style="position:absolute;left:12;top:14;width:4779;height:396" coordorigin="12,14" coordsize="4779,396" path="m12,14l4790,14,4790,410,12,410,12,14xe" filled="true" fillcolor="#d3d3d3" stroked="false">
                <v:path arrowok="t"/>
                <v:fill type="solid"/>
              </v:shape>
            </v:group>
            <v:group style="position:absolute;left:4795;top:14;width:4779;height:396" coordorigin="4795,14" coordsize="4779,396">
              <v:shape style="position:absolute;left:4795;top:14;width:4779;height:396" coordorigin="4795,14" coordsize="4779,396" path="m4795,14l9574,14,9574,410,4795,410,4795,14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793;top:5;width:2;height:404" coordorigin="4793,5" coordsize="2,404">
              <v:shape style="position:absolute;left:4793;top:5;width:2;height:404" coordorigin="4793,5" coordsize="0,404" path="m4793,5l4793,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shape style="position:absolute;left:22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4;height:404" type="#_x0000_t202" filled="false" stroked="false">
                <v:textbox inset="0,0,0,0">
                  <w:txbxContent>
                    <w:p>
                      <w:pPr>
                        <w:spacing w:before="53"/>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32"/>
        <w:gridCol w:w="763"/>
        <w:gridCol w:w="763"/>
        <w:gridCol w:w="761"/>
        <w:gridCol w:w="763"/>
        <w:gridCol w:w="790"/>
        <w:gridCol w:w="653"/>
        <w:gridCol w:w="763"/>
        <w:gridCol w:w="814"/>
        <w:gridCol w:w="931"/>
        <w:gridCol w:w="931"/>
      </w:tblGrid>
      <w:tr>
        <w:trPr>
          <w:trHeight w:val="401"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7" w:right="120"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69"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369"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105,31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9,392.5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14,468,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193.79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90,851,</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198.76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4" w:right="0"/>
              <w:jc w:val="left"/>
              <w:rPr>
                <w:rFonts w:ascii="Times New Roman" w:hAnsi="Times New Roman" w:cs="Times New Roman" w:eastAsia="Times New Roman" w:hint="default"/>
                <w:sz w:val="18"/>
                <w:szCs w:val="18"/>
              </w:rPr>
            </w:pPr>
            <w:r>
              <w:rPr>
                <w:rFonts w:ascii="Times New Roman"/>
                <w:sz w:val="18"/>
              </w:rPr>
              <w:t>236,4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1.02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20,999,</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930.79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215,491,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640.23</w:t>
            </w:r>
          </w:p>
        </w:tc>
      </w:tr>
      <w:tr>
        <w:trPr>
          <w:trHeight w:val="102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105,31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9,392.5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14,468,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193.79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13.74</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90,851,</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198.76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4" w:right="0"/>
              <w:jc w:val="left"/>
              <w:rPr>
                <w:rFonts w:ascii="Times New Roman" w:hAnsi="Times New Roman" w:cs="Times New Roman" w:eastAsia="Times New Roman" w:hint="default"/>
                <w:sz w:val="18"/>
                <w:szCs w:val="18"/>
              </w:rPr>
            </w:pPr>
            <w:r>
              <w:rPr>
                <w:rFonts w:ascii="Times New Roman"/>
                <w:sz w:val="18"/>
              </w:rPr>
              <w:t>236,4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1.02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20,999,</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930.79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215,491,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640.23</w:t>
            </w:r>
          </w:p>
        </w:tc>
      </w:tr>
    </w:tbl>
    <w:p>
      <w:pPr>
        <w:spacing w:after="0" w:line="240" w:lineRule="auto"/>
        <w:jc w:val="center"/>
        <w:rPr>
          <w:rFonts w:ascii="Times New Roman" w:hAnsi="Times New Roman" w:cs="Times New Roman" w:eastAsia="Times New Roman" w:hint="default"/>
          <w:sz w:val="18"/>
          <w:szCs w:val="18"/>
        </w:rPr>
        <w:sectPr>
          <w:pgSz w:w="11910" w:h="16840"/>
          <w:pgMar w:header="905" w:footer="1017" w:top="1100" w:bottom="1200" w:left="1020" w:right="0"/>
        </w:sectPr>
      </w:pPr>
    </w:p>
    <w:p>
      <w:pPr>
        <w:pStyle w:val="BodyText"/>
        <w:spacing w:line="240" w:lineRule="auto" w:before="49"/>
        <w:ind w:right="-20"/>
        <w:jc w:val="left"/>
      </w:pPr>
      <w:r>
        <w:rPr/>
        <w:t>期末单项金额重大并单项计提坏账准备的应收账款：</w:t>
      </w:r>
    </w:p>
    <w:p>
      <w:pPr>
        <w:pStyle w:val="BodyText"/>
        <w:spacing w:line="360" w:lineRule="auto" w:before="115"/>
        <w:ind w:right="160"/>
        <w:jc w:val="left"/>
      </w:pPr>
      <w:r>
        <w:rPr/>
        <w:t>□ 适用 √ 不适用 组合中，按账龄分析法计提坏账准备的应收账款：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4253" w:space="4574"/>
            <w:col w:w="2063"/>
          </w:cols>
        </w:sectPr>
      </w:pPr>
    </w:p>
    <w:p>
      <w:pPr>
        <w:spacing w:line="240" w:lineRule="auto" w:before="13"/>
        <w:rPr>
          <w:rFonts w:ascii="宋体" w:hAnsi="宋体" w:cs="宋体" w:eastAsia="宋体" w:hint="default"/>
          <w:sz w:val="7"/>
          <w:szCs w:val="7"/>
        </w:rPr>
      </w:pPr>
    </w:p>
    <w:p>
      <w:pPr>
        <w:spacing w:line="415"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8pt;mso-position-horizontal-relative:char;mso-position-vertical-relative:line" coordorigin="0,0" coordsize="9586,416">
            <v:group style="position:absolute;left:12;top:12;width:2386;height:396" coordorigin="12,12" coordsize="2386,396">
              <v:shape style="position:absolute;left:12;top:12;width:2386;height:396" coordorigin="12,12" coordsize="2386,396" path="m12,12l2398,12,2398,408,12,408,12,12xe" filled="true" fillcolor="#d3d3d3" stroked="false">
                <v:path arrowok="t"/>
                <v:fill type="solid"/>
              </v:shape>
            </v:group>
            <v:group style="position:absolute;left:2402;top:12;width:7172;height:396" coordorigin="2402,12" coordsize="7172,396">
              <v:shape style="position:absolute;left:2402;top:12;width:7172;height:396" coordorigin="2402,12" coordsize="7172,396" path="m2402,12l9574,12,9574,408,2402,408,2402,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0;width:9576;height:2" coordorigin="5,410" coordsize="9576,2">
              <v:shape style="position:absolute;left:5;top:410;width:9576;height:2" coordorigin="5,410" coordsize="9576,0" path="m5,410l9581,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2400;top:5;width:2;height:401" coordorigin="2400,5" coordsize="2,401">
              <v:shape style="position:absolute;left:2400;top:5;width:2;height:401" coordorigin="2400,5" coordsize="0,401" path="m2400,5l2400,406e" filled="false" stroked="true" strokeweight=".48pt" strokecolor="#000000">
                <v:path arrowok="t"/>
              </v:shape>
            </v:group>
            <v:group style="position:absolute;left:9576;top:5;width:2;height:401" coordorigin="9576,5" coordsize="2,401">
              <v:shape style="position:absolute;left:9576;top:5;width:2;height:401" coordorigin="9576,5" coordsize="0,401" path="m9576,5l9576,406e" filled="false" stroked="true" strokeweight=".48pt" strokecolor="#000000">
                <v:path arrowok="t"/>
              </v:shape>
              <v:shape style="position:absolute;left:10;top:10;width:2391;height:401" type="#_x0000_t202" filled="false" stroked="false">
                <v:textbox inset="0,0,0,0">
                  <w:txbxContent>
                    <w:p>
                      <w:pPr>
                        <w:spacing w:before="53"/>
                        <w:ind w:left="0" w:right="2" w:firstLine="0"/>
                        <w:jc w:val="center"/>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628;top:11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15" w:lineRule="exact"/>
        <w:rPr>
          <w:rFonts w:ascii="宋体" w:hAnsi="宋体" w:cs="宋体" w:eastAsia="宋体" w:hint="default"/>
          <w:sz w:val="20"/>
          <w:szCs w:val="20"/>
        </w:rPr>
        <w:sectPr>
          <w:type w:val="continuous"/>
          <w:pgSz w:w="11910" w:h="16840"/>
          <w:pgMar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86,205,208.73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4,310,260.44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8,623,164.80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1,724,632.96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4,115,437.26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2,057,718.63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6,375,581.76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6,375,581.76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6,375,581.76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6,375,581.76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105,319,392.55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14,468,193.79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pStyle w:val="BodyText"/>
        <w:spacing w:line="360" w:lineRule="auto" w:before="49"/>
        <w:ind w:right="2455"/>
        <w:jc w:val="left"/>
      </w:pPr>
      <w:r>
        <w:rPr/>
        <w:t>确定该组合依据的说明： 组合中，采用余额百分比法计提坏账准备的应收账款：</w:t>
      </w:r>
    </w:p>
    <w:p>
      <w:pPr>
        <w:pStyle w:val="BodyText"/>
        <w:spacing w:line="357" w:lineRule="auto" w:before="27"/>
        <w:ind w:right="2815"/>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6"/>
        <w:ind w:right="-5"/>
        <w:jc w:val="left"/>
      </w:pPr>
      <w:r>
        <w:rPr/>
        <w:t>本期计提坏账准备金额</w:t>
      </w:r>
      <w:r>
        <w:rPr>
          <w:spacing w:val="-48"/>
        </w:rPr>
        <w:t> </w:t>
      </w:r>
      <w:r>
        <w:rPr>
          <w:rFonts w:ascii="Times New Roman" w:hAnsi="Times New Roman" w:cs="Times New Roman" w:eastAsia="Times New Roman" w:hint="default"/>
        </w:rPr>
        <w:t>439,557.47</w:t>
      </w:r>
      <w:r>
        <w:rPr>
          <w:rFonts w:ascii="Times New Roman" w:hAnsi="Times New Roman" w:cs="Times New Roman" w:eastAsia="Times New Roman" w:hint="default"/>
          <w:spacing w:val="-4"/>
        </w:rPr>
        <w:t> </w:t>
      </w:r>
      <w:r>
        <w:rPr/>
        <w:t>元；本期收回或转回坏账准备金额</w:t>
      </w:r>
      <w:r>
        <w:rPr>
          <w:spacing w:val="-48"/>
        </w:rPr>
        <w:t> </w:t>
      </w:r>
      <w:r>
        <w:rPr>
          <w:rFonts w:ascii="Times New Roman" w:hAnsi="Times New Roman" w:cs="Times New Roman" w:eastAsia="Times New Roman" w:hint="default"/>
        </w:rPr>
        <w:t>6,971,294.47</w:t>
      </w:r>
      <w:r>
        <w:rPr>
          <w:rFonts w:ascii="Times New Roman" w:hAnsi="Times New Roman" w:cs="Times New Roman" w:eastAsia="Times New Roman" w:hint="default"/>
          <w:spacing w:val="-5"/>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6908" w:space="1919"/>
            <w:col w:w="2063"/>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1,300,048.59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收回货款</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343,000.95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收回货款</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241,172.58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收回货款</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1,884,222.12</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4;width:4779;height:396" coordorigin="12,14" coordsize="4779,396">
              <v:shape style="position:absolute;left:12;top:14;width:4779;height:396" coordorigin="12,14" coordsize="4779,396" path="m12,14l4790,14,4790,410,12,410,12,14xe" filled="true" fillcolor="#d3d3d3" stroked="false">
                <v:path arrowok="t"/>
                <v:fill type="solid"/>
              </v:shape>
            </v:group>
            <v:group style="position:absolute;left:4795;top:14;width:4779;height:396" coordorigin="4795,14" coordsize="4779,396">
              <v:shape style="position:absolute;left:4795;top:14;width:4779;height:396" coordorigin="4795,14" coordsize="4779,396" path="m4795,14l9574,14,9574,410,4795,410,4795,14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793;top:5;width:2;height:404" coordorigin="4793,5" coordsize="2,404">
              <v:shape style="position:absolute;left:4793;top:5;width:2;height:404" coordorigin="4793,5" coordsize="0,404" path="m4793,5l4793,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shape style="position:absolute;left:22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4;height:404"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其中重要的应收账款核销情况：</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431" w:right="161"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49"/>
        <w:ind w:right="0"/>
        <w:jc w:val="left"/>
      </w:pPr>
      <w:r>
        <w:rPr/>
        <w:t>应收账款核销说明：</w:t>
      </w:r>
    </w:p>
    <w:p>
      <w:pPr>
        <w:pStyle w:val="BodyText"/>
        <w:spacing w:line="640" w:lineRule="auto" w:before="117"/>
        <w:ind w:right="6823"/>
        <w:jc w:val="left"/>
      </w:pPr>
      <w:r>
        <w:rPr/>
        <w:pict>
          <v:shape style="position:absolute;margin-left:56.399998pt;margin-top:56.204704pt;width:485.3pt;height:86.0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7"/>
                    <w:gridCol w:w="1889"/>
                    <w:gridCol w:w="1728"/>
                    <w:gridCol w:w="1414"/>
                    <w:gridCol w:w="941"/>
                    <w:gridCol w:w="1356"/>
                  </w:tblGrid>
                  <w:tr>
                    <w:trPr>
                      <w:trHeight w:val="42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9" w:right="0"/>
                          <w:jc w:val="left"/>
                          <w:rPr>
                            <w:rFonts w:ascii="宋体" w:hAnsi="宋体" w:cs="宋体" w:eastAsia="宋体" w:hint="default"/>
                            <w:sz w:val="18"/>
                            <w:szCs w:val="18"/>
                          </w:rPr>
                        </w:pPr>
                        <w:r>
                          <w:rPr>
                            <w:rFonts w:ascii="宋体" w:hAnsi="宋体" w:cs="宋体" w:eastAsia="宋体" w:hint="default"/>
                            <w:sz w:val="18"/>
                            <w:szCs w:val="18"/>
                          </w:rPr>
                          <w:t>占总金额比例</w:t>
                        </w:r>
                      </w:p>
                    </w:tc>
                  </w:tr>
                  <w:tr>
                    <w:trPr>
                      <w:trHeight w:val="42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11,213,486.76</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560,674.34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10.65%</w:t>
                        </w:r>
                      </w:p>
                    </w:tc>
                  </w:tr>
                  <w:tr>
                    <w:trPr>
                      <w:trHeight w:val="42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9,504,452.34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475,222.62</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9.02%</w:t>
                        </w:r>
                      </w:p>
                    </w:tc>
                  </w:tr>
                  <w:tr>
                    <w:trPr>
                      <w:trHeight w:val="425"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7,083,397.04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354,169.85</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6.73%</w:t>
                        </w:r>
                      </w:p>
                    </w:tc>
                  </w:tr>
                </w:tbl>
                <w:p>
                  <w:pPr/>
                </w:p>
              </w:txbxContent>
            </v:textbox>
            <w10:wrap type="none"/>
          </v:shape>
        </w:pict>
      </w:r>
      <w:r>
        <w:rPr>
          <w:rFonts w:ascii="Times New Roman" w:hAnsi="Times New Roman" w:cs="Times New Roman" w:eastAsia="Times New Roman" w:hint="default"/>
        </w:rPr>
        <w:t>4)</w:t>
      </w:r>
      <w:r>
        <w:rPr/>
        <w:t>按欠款方归集的期末余额前五名的应收账款情况 单位：元</w:t>
      </w:r>
    </w:p>
    <w:p>
      <w:pPr>
        <w:spacing w:after="0" w:line="640" w:lineRule="auto"/>
        <w:jc w:val="left"/>
        <w:sectPr>
          <w:type w:val="continuous"/>
          <w:pgSz w:w="11910" w:h="16840"/>
          <w:pgMar w:top="1100" w:bottom="1200" w:left="1020" w:right="0"/>
        </w:sectPr>
      </w:pPr>
    </w:p>
    <w:p>
      <w:pPr>
        <w:spacing w:line="240" w:lineRule="auto" w:before="7"/>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2357"/>
        <w:gridCol w:w="1889"/>
        <w:gridCol w:w="1728"/>
        <w:gridCol w:w="1414"/>
        <w:gridCol w:w="941"/>
        <w:gridCol w:w="1356"/>
      </w:tblGrid>
      <w:tr>
        <w:trPr>
          <w:trHeight w:val="42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5,508,960.00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275,448.00</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5.23%</w:t>
            </w:r>
          </w:p>
        </w:tc>
      </w:tr>
      <w:tr>
        <w:trPr>
          <w:trHeight w:val="42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3,728,245.60</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745,649.12</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至</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年</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3.54%</w:t>
            </w:r>
          </w:p>
        </w:tc>
      </w:tr>
      <w:tr>
        <w:trPr>
          <w:trHeight w:val="427" w:hRule="exact"/>
        </w:trPr>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89"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37,038,541.74</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2,411,163.93</w:t>
            </w:r>
          </w:p>
        </w:tc>
        <w:tc>
          <w:tcPr>
            <w:tcW w:w="941"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35.17%</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3"/>
        <w:ind w:right="6823"/>
        <w:jc w:val="left"/>
      </w:pPr>
      <w:r>
        <w:rPr>
          <w:rFonts w:ascii="Times New Roman" w:hAnsi="Times New Roman" w:cs="Times New Roman" w:eastAsia="Times New Roman" w:hint="default"/>
        </w:rPr>
        <w:t>6)</w:t>
      </w:r>
      <w:r>
        <w:rPr/>
        <w:t>转移应收账款且继续涉入形成的资产、负债金额 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5"/>
        <w:gridCol w:w="1915"/>
        <w:gridCol w:w="1913"/>
        <w:gridCol w:w="1915"/>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0"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308,749,781.77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609,906,788.12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23,363.99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10,258.00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10,258.00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308,783,403.76</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609,917,046.12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Heading3"/>
        <w:spacing w:line="240" w:lineRule="auto" w:before="34"/>
        <w:ind w:left="0" w:right="1132"/>
        <w:jc w:val="right"/>
        <w:rPr>
          <w:b w:val="0"/>
          <w:bCs w:val="0"/>
        </w:rPr>
      </w:pPr>
      <w:r>
        <w:rPr>
          <w:w w:val="95"/>
        </w:rPr>
        <w:t>单位：元</w:t>
      </w:r>
      <w:r>
        <w:rPr>
          <w:b w:val="0"/>
          <w:bCs w:val="0"/>
        </w:rPr>
      </w:r>
    </w:p>
    <w:p>
      <w:pPr>
        <w:spacing w:line="240" w:lineRule="auto" w:before="1"/>
        <w:rPr>
          <w:rFonts w:ascii="宋体" w:hAnsi="宋体" w:cs="宋体" w:eastAsia="宋体" w:hint="default"/>
          <w:b/>
          <w:bCs/>
          <w:sz w:val="27"/>
          <w:szCs w:val="27"/>
        </w:rPr>
      </w:pPr>
    </w:p>
    <w:tbl>
      <w:tblPr>
        <w:tblW w:w="0" w:type="auto"/>
        <w:jc w:val="left"/>
        <w:tblInd w:w="107" w:type="dxa"/>
        <w:tblLayout w:type="fixed"/>
        <w:tblCellMar>
          <w:top w:w="0" w:type="dxa"/>
          <w:left w:w="0" w:type="dxa"/>
          <w:bottom w:w="0" w:type="dxa"/>
          <w:right w:w="0" w:type="dxa"/>
        </w:tblCellMar>
        <w:tblLook w:val="01E0"/>
      </w:tblPr>
      <w:tblGrid>
        <w:gridCol w:w="1589"/>
        <w:gridCol w:w="1558"/>
        <w:gridCol w:w="1560"/>
        <w:gridCol w:w="1843"/>
        <w:gridCol w:w="1274"/>
        <w:gridCol w:w="1860"/>
      </w:tblGrid>
      <w:tr>
        <w:trPr>
          <w:trHeight w:val="739"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与公司关系</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6"/>
              <w:ind w:left="463" w:right="14" w:hanging="452"/>
              <w:jc w:val="left"/>
              <w:rPr>
                <w:rFonts w:ascii="宋体" w:hAnsi="宋体" w:cs="宋体" w:eastAsia="宋体" w:hint="default"/>
                <w:sz w:val="18"/>
                <w:szCs w:val="18"/>
              </w:rPr>
            </w:pPr>
            <w:r>
              <w:rPr>
                <w:rFonts w:ascii="宋体" w:hAnsi="宋体" w:cs="宋体" w:eastAsia="宋体" w:hint="default"/>
                <w:sz w:val="18"/>
                <w:szCs w:val="18"/>
              </w:rPr>
              <w:t>占预付款项期末余额合 计数的比例</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561"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73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197,898,500.00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64.09%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宋体" w:hAnsi="宋体" w:cs="宋体" w:eastAsia="宋体" w:hint="default"/>
                <w:sz w:val="18"/>
                <w:szCs w:val="18"/>
              </w:rPr>
            </w:pPr>
            <w:r>
              <w:rPr>
                <w:rFonts w:ascii="宋体" w:hAnsi="宋体" w:cs="宋体" w:eastAsia="宋体" w:hint="default"/>
                <w:spacing w:val="-1"/>
                <w:sz w:val="18"/>
                <w:szCs w:val="18"/>
              </w:rPr>
              <w:t>1年以内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宋体" w:hAnsi="宋体" w:cs="宋体" w:eastAsia="宋体" w:hint="default"/>
                <w:sz w:val="18"/>
                <w:szCs w:val="18"/>
              </w:rPr>
            </w:pPr>
            <w:r>
              <w:rPr>
                <w:rFonts w:ascii="宋体" w:hAnsi="宋体" w:cs="宋体" w:eastAsia="宋体" w:hint="default"/>
                <w:sz w:val="18"/>
                <w:szCs w:val="18"/>
              </w:rPr>
              <w:t>预付特种物联网业务货</w:t>
            </w:r>
          </w:p>
          <w:p>
            <w:pPr>
              <w:pStyle w:val="TableParagraph"/>
              <w:spacing w:line="240" w:lineRule="auto" w:before="76"/>
              <w:ind w:right="2"/>
              <w:jc w:val="right"/>
              <w:rPr>
                <w:rFonts w:ascii="宋体" w:hAnsi="宋体" w:cs="宋体" w:eastAsia="宋体" w:hint="default"/>
                <w:sz w:val="18"/>
                <w:szCs w:val="18"/>
              </w:rPr>
            </w:pPr>
            <w:r>
              <w:rPr>
                <w:rFonts w:ascii="宋体" w:hAnsi="宋体" w:cs="宋体" w:eastAsia="宋体" w:hint="default"/>
                <w:sz w:val="18"/>
                <w:szCs w:val="18"/>
              </w:rPr>
              <w:t>款</w:t>
            </w:r>
          </w:p>
        </w:tc>
      </w:tr>
      <w:tr>
        <w:trPr>
          <w:trHeight w:val="739"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99,372,000.00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32.18%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pacing w:val="-1"/>
                <w:sz w:val="18"/>
                <w:szCs w:val="18"/>
              </w:rPr>
              <w:t>1年以内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预付特种物联网业务货</w:t>
            </w:r>
          </w:p>
          <w:p>
            <w:pPr>
              <w:pStyle w:val="TableParagraph"/>
              <w:spacing w:line="240" w:lineRule="auto" w:before="76"/>
              <w:ind w:right="2"/>
              <w:jc w:val="right"/>
              <w:rPr>
                <w:rFonts w:ascii="宋体" w:hAnsi="宋体" w:cs="宋体" w:eastAsia="宋体" w:hint="default"/>
                <w:sz w:val="18"/>
                <w:szCs w:val="18"/>
              </w:rPr>
            </w:pPr>
            <w:r>
              <w:rPr>
                <w:rFonts w:ascii="宋体" w:hAnsi="宋体" w:cs="宋体" w:eastAsia="宋体" w:hint="default"/>
                <w:sz w:val="18"/>
                <w:szCs w:val="18"/>
              </w:rPr>
              <w:t>款</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4,152,400.38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1.34%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pacing w:val="-1"/>
                <w:sz w:val="18"/>
                <w:szCs w:val="18"/>
              </w:rPr>
              <w:t>1年以内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预付关税、增值税</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1,784,748.15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0.58%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pacing w:val="-1"/>
                <w:sz w:val="18"/>
                <w:szCs w:val="18"/>
              </w:rPr>
              <w:t>1年以内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预付制卡类业务货款</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685,102.15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0.22%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pacing w:val="-1"/>
                <w:sz w:val="18"/>
                <w:szCs w:val="18"/>
              </w:rPr>
              <w:t>1年以内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预付制卡类业务货款</w:t>
            </w:r>
          </w:p>
        </w:tc>
      </w:tr>
      <w:tr>
        <w:trPr>
          <w:trHeight w:val="427" w:hRule="exact"/>
        </w:trPr>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303,892,750.68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98.41%</w:t>
            </w:r>
          </w:p>
        </w:tc>
        <w:tc>
          <w:tcPr>
            <w:tcW w:w="1274"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24"/>
          <w:szCs w:val="24"/>
        </w:rPr>
      </w:pPr>
    </w:p>
    <w:p>
      <w:pPr>
        <w:pStyle w:val="BodyText"/>
        <w:spacing w:line="240" w:lineRule="auto" w:before="44"/>
        <w:ind w:right="0"/>
        <w:jc w:val="left"/>
      </w:pPr>
      <w:r>
        <w:rPr/>
        <w:t>其他说明：</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8,364,104.07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7,696,399.46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8,364,104.07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7,696,399.46</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6"/>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915"/>
        <w:gridCol w:w="1913"/>
        <w:gridCol w:w="1915"/>
        <w:gridCol w:w="1913"/>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679"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46"/>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6"/>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915"/>
        <w:gridCol w:w="1913"/>
        <w:gridCol w:w="1915"/>
        <w:gridCol w:w="1913"/>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679"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32"/>
        <w:gridCol w:w="763"/>
        <w:gridCol w:w="763"/>
        <w:gridCol w:w="761"/>
        <w:gridCol w:w="763"/>
        <w:gridCol w:w="790"/>
        <w:gridCol w:w="653"/>
        <w:gridCol w:w="763"/>
        <w:gridCol w:w="814"/>
        <w:gridCol w:w="931"/>
        <w:gridCol w:w="931"/>
      </w:tblGrid>
      <w:tr>
        <w:trPr>
          <w:trHeight w:val="401"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7" w:right="120"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69"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69"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100" w:right="259"/>
              <w:jc w:val="left"/>
              <w:rPr>
                <w:rFonts w:ascii="宋体" w:hAnsi="宋体" w:cs="宋体" w:eastAsia="宋体" w:hint="default"/>
                <w:sz w:val="18"/>
                <w:szCs w:val="18"/>
              </w:rPr>
            </w:pPr>
            <w:r>
              <w:rPr>
                <w:rFonts w:ascii="宋体" w:hAnsi="宋体" w:cs="宋体" w:eastAsia="宋体" w:hint="default"/>
                <w:sz w:val="18"/>
                <w:szCs w:val="18"/>
              </w:rPr>
              <w:t>按信用风险特征 组合计提坏账准</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17,747,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984.72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9,383,8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80.65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8,364,1</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04.07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16,34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7,097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8,650,6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97.77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52.92%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7,696,39</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9.46</w:t>
            </w:r>
          </w:p>
        </w:tc>
      </w:tr>
    </w:tbl>
    <w:p>
      <w:pPr>
        <w:spacing w:after="0" w:line="240" w:lineRule="auto"/>
        <w:jc w:val="lef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632"/>
        <w:gridCol w:w="763"/>
        <w:gridCol w:w="763"/>
        <w:gridCol w:w="761"/>
        <w:gridCol w:w="763"/>
        <w:gridCol w:w="790"/>
        <w:gridCol w:w="653"/>
        <w:gridCol w:w="763"/>
        <w:gridCol w:w="814"/>
        <w:gridCol w:w="931"/>
        <w:gridCol w:w="931"/>
      </w:tblGrid>
      <w:tr>
        <w:trPr>
          <w:trHeight w:val="362"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4" w:right="0"/>
              <w:jc w:val="left"/>
              <w:rPr>
                <w:rFonts w:ascii="Times New Roman" w:hAnsi="Times New Roman" w:cs="Times New Roman" w:eastAsia="Times New Roman" w:hint="default"/>
                <w:sz w:val="18"/>
                <w:szCs w:val="18"/>
              </w:rPr>
            </w:pPr>
            <w:r>
              <w:rPr>
                <w:rFonts w:ascii="Times New Roman"/>
                <w:sz w:val="18"/>
              </w:rPr>
              <w:t>.23</w:t>
            </w:r>
          </w:p>
        </w:tc>
        <w:tc>
          <w:tcPr>
            <w:tcW w:w="76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17,747,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984.72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9,383,8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80.65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52.87</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8,364,1</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04.07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16,34</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7,097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8,650,6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97.77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52.92%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7,696,39</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9.46</w:t>
            </w:r>
          </w:p>
        </w:tc>
      </w:tr>
    </w:tbl>
    <w:p>
      <w:pPr>
        <w:spacing w:after="0" w:line="240" w:lineRule="auto"/>
        <w:jc w:val="left"/>
        <w:rPr>
          <w:rFonts w:ascii="Times New Roman" w:hAnsi="Times New Roman" w:cs="Times New Roman" w:eastAsia="Times New Roman" w:hint="default"/>
          <w:sz w:val="18"/>
          <w:szCs w:val="18"/>
        </w:rPr>
        <w:sectPr>
          <w:footerReference w:type="default" r:id="rId28"/>
          <w:pgSz w:w="11910" w:h="16840"/>
          <w:pgMar w:footer="1017" w:header="905" w:top="1100" w:bottom="1200" w:left="1020" w:right="0"/>
          <w:pgNumType w:start="110"/>
        </w:sectPr>
      </w:pPr>
    </w:p>
    <w:p>
      <w:pPr>
        <w:pStyle w:val="BodyText"/>
        <w:spacing w:line="240" w:lineRule="auto" w:before="49"/>
        <w:ind w:right="-20"/>
        <w:jc w:val="left"/>
      </w:pPr>
      <w:r>
        <w:rPr/>
        <w:t>期末单项金额重大并单项计提坏账准备的其他应收款：</w:t>
      </w:r>
    </w:p>
    <w:p>
      <w:pPr>
        <w:pStyle w:val="BodyText"/>
        <w:spacing w:line="360" w:lineRule="auto" w:before="115"/>
        <w:ind w:right="160"/>
        <w:jc w:val="left"/>
      </w:pPr>
      <w:r>
        <w:rPr/>
        <w:t>□ 适用 √ 不适用 组合中，按账龄分析法计提坏账准备的其他应收款：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4433" w:space="4394"/>
            <w:col w:w="2063"/>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4,581,828.71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229,091.43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4,198,230.80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839,646.16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1,305,564.31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652,782.16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7,662,360.90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7,662,360.90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7,662,360.90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7,662,360.90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17,747,984.72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9,383,880.65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0"/>
        </w:sectPr>
      </w:pPr>
    </w:p>
    <w:p>
      <w:pPr>
        <w:pStyle w:val="BodyText"/>
        <w:spacing w:line="360" w:lineRule="auto" w:before="49"/>
        <w:ind w:right="1960"/>
        <w:jc w:val="left"/>
      </w:pPr>
      <w:r>
        <w:rPr/>
        <w:t>确定该组合依据的说明： 组合中，采用余额百分比法计提坏账准备的其他应收款：</w:t>
      </w:r>
    </w:p>
    <w:p>
      <w:pPr>
        <w:pStyle w:val="BodyText"/>
        <w:spacing w:line="357" w:lineRule="auto" w:before="27"/>
        <w:ind w:right="2320"/>
        <w:jc w:val="left"/>
      </w:pPr>
      <w:r>
        <w:rPr/>
        <w:t>□ 适用 √ 不适用 组合中，采用其他方法计提坏账准备的其他应收款：</w:t>
      </w:r>
    </w:p>
    <w:p>
      <w:pPr>
        <w:pStyle w:val="BodyText"/>
        <w:spacing w:line="240" w:lineRule="auto" w:before="29"/>
        <w:ind w:right="1960"/>
        <w:jc w:val="left"/>
      </w:pPr>
      <w:r>
        <w:rPr/>
        <w:t>□ 适用 √ 不适用</w:t>
      </w:r>
    </w:p>
    <w:p>
      <w:pPr>
        <w:pStyle w:val="BodyText"/>
        <w:spacing w:line="240" w:lineRule="auto" w:before="117"/>
        <w:ind w:right="196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6"/>
        <w:jc w:val="left"/>
      </w:pPr>
      <w:r>
        <w:rPr/>
        <w:t>本期计提坏账准备金额</w:t>
      </w:r>
      <w:r>
        <w:rPr>
          <w:spacing w:val="-48"/>
        </w:rPr>
        <w:t> </w:t>
      </w:r>
      <w:r>
        <w:rPr>
          <w:rFonts w:ascii="Times New Roman" w:hAnsi="Times New Roman" w:cs="Times New Roman" w:eastAsia="Times New Roman" w:hint="default"/>
        </w:rPr>
        <w:t>738,507.40</w:t>
      </w:r>
      <w:r>
        <w:rPr>
          <w:rFonts w:ascii="Times New Roman" w:hAnsi="Times New Roman" w:cs="Times New Roman" w:eastAsia="Times New Roman" w:hint="default"/>
          <w:spacing w:val="-4"/>
        </w:rPr>
        <w:t> </w:t>
      </w:r>
      <w:r>
        <w:rPr/>
        <w:t>元；本期收回或转回坏账准备金额</w:t>
      </w:r>
      <w:r>
        <w:rPr>
          <w:spacing w:val="-48"/>
        </w:rPr>
        <w:t> </w:t>
      </w:r>
      <w:r>
        <w:rPr>
          <w:rFonts w:ascii="Times New Roman" w:hAnsi="Times New Roman" w:cs="Times New Roman" w:eastAsia="Times New Roman" w:hint="default"/>
        </w:rPr>
        <w:t>5,324.52</w:t>
      </w:r>
      <w:r>
        <w:rPr>
          <w:rFonts w:ascii="Times New Roman" w:hAnsi="Times New Roman" w:cs="Times New Roman" w:eastAsia="Times New Roman" w:hint="default"/>
          <w:spacing w:val="-4"/>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6593" w:space="2234"/>
            <w:col w:w="2063"/>
          </w:cols>
        </w:sectPr>
      </w:pP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2"/>
        <w:gridCol w:w="3192"/>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5"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8pt;mso-position-horizontal-relative:char;mso-position-vertical-relative:line" coordorigin="0,0" coordsize="9586,416">
            <v:group style="position:absolute;left:12;top:12;width:4774;height:399" coordorigin="12,12" coordsize="4774,399">
              <v:shape style="position:absolute;left:12;top:12;width:4774;height:399" coordorigin="12,12" coordsize="4774,399" path="m12,12l4786,12,4786,410,12,410,12,12xe" filled="true" fillcolor="#d3d3d3" stroked="false">
                <v:path arrowok="t"/>
                <v:fill type="solid"/>
              </v:shape>
            </v:group>
            <v:group style="position:absolute;left:4790;top:12;width:4784;height:399" coordorigin="4790,12" coordsize="4784,399">
              <v:shape style="position:absolute;left:4790;top:12;width:4784;height:399" coordorigin="4790,12" coordsize="4784,399" path="m4790,12l9574,12,9574,410,4790,410,4790,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0;width:9576;height:2" coordorigin="5,410" coordsize="9576,2">
              <v:shape style="position:absolute;left:5;top:410;width:9576;height:2" coordorigin="5,410" coordsize="9576,0" path="m5,410l9581,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4788;top:5;width:2;height:401" coordorigin="4788,5" coordsize="2,401">
              <v:shape style="position:absolute;left:4788;top:5;width:2;height:401" coordorigin="4788,5" coordsize="0,401" path="m4788,5l4788,406e" filled="false" stroked="true" strokeweight=".48pt" strokecolor="#000000">
                <v:path arrowok="t"/>
              </v:shape>
            </v:group>
            <v:group style="position:absolute;left:9576;top:5;width:2;height:401" coordorigin="9576,5" coordsize="2,401">
              <v:shape style="position:absolute;left:9576;top:5;width:2;height:401" coordorigin="9576,5" coordsize="0,401" path="m9576,5l9576,406e" filled="false" stroked="true" strokeweight=".48pt" strokecolor="#000000">
                <v:path arrowok="t"/>
              </v:shape>
              <v:shape style="position:absolute;left:22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8;top:10;width:4788;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其中重要的其他应收款核销情况：</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4"/>
        <w:gridCol w:w="1594"/>
        <w:gridCol w:w="1594"/>
        <w:gridCol w:w="1594"/>
        <w:gridCol w:w="1596"/>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29" w:right="161"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49"/>
        <w:ind w:right="0"/>
        <w:jc w:val="left"/>
      </w:pPr>
      <w:r>
        <w:rPr/>
        <w:t>其他应收款核销说明：</w:t>
      </w:r>
    </w:p>
    <w:p>
      <w:pPr>
        <w:pStyle w:val="BodyText"/>
        <w:spacing w:line="240" w:lineRule="auto" w:before="117"/>
        <w:ind w:right="0"/>
        <w:jc w:val="left"/>
      </w:pPr>
      <w:r>
        <w:rPr>
          <w:rFonts w:ascii="Times New Roman" w:hAnsi="Times New Roman" w:cs="Times New Roman" w:eastAsia="Times New Roman" w:hint="default"/>
        </w:rPr>
        <w:t>4)</w:t>
      </w:r>
      <w:r>
        <w:rPr/>
        <w:t>其他应收款按款项性质分类情况</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2"/>
        <w:gridCol w:w="3192"/>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10,580,003.91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10,706,719.77</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5,203,041.44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4,962,102.34</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1,511,510.86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678,275.12</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增值税即征即退款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453,428.51</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17,747,984.72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16,347,097.23</w:t>
            </w:r>
          </w:p>
        </w:tc>
      </w:tr>
    </w:tbl>
    <w:p>
      <w:pPr>
        <w:pStyle w:val="BodyText"/>
        <w:spacing w:line="240" w:lineRule="auto" w:before="49"/>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4"/>
        <w:gridCol w:w="1594"/>
        <w:gridCol w:w="1594"/>
        <w:gridCol w:w="1594"/>
        <w:gridCol w:w="1596"/>
        <w:gridCol w:w="1594"/>
      </w:tblGrid>
      <w:tr>
        <w:trPr>
          <w:trHeight w:val="10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0" w:right="163"/>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00" w:right="161"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4,233,360.84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4,233,360.84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777,600.00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777,600.00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221"/>
              <w:jc w:val="left"/>
              <w:rPr>
                <w:rFonts w:ascii="宋体" w:hAnsi="宋体" w:cs="宋体" w:eastAsia="宋体" w:hint="default"/>
                <w:sz w:val="18"/>
                <w:szCs w:val="18"/>
              </w:rPr>
            </w:pPr>
            <w:r>
              <w:rPr>
                <w:rFonts w:ascii="宋体" w:hAnsi="宋体" w:cs="宋体" w:eastAsia="宋体" w:hint="default"/>
                <w:sz w:val="18"/>
                <w:szCs w:val="18"/>
              </w:rPr>
              <w:t>增值税即征即退 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453,428.51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22,671.43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9,064,389.35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5,783,632.27</w:t>
            </w:r>
          </w:p>
        </w:tc>
      </w:tr>
    </w:tbl>
    <w:p>
      <w:pPr>
        <w:pStyle w:val="BodyText"/>
        <w:spacing w:line="240" w:lineRule="auto" w:before="49"/>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5"/>
        <w:gridCol w:w="1913"/>
        <w:gridCol w:w="1915"/>
        <w:gridCol w:w="1915"/>
      </w:tblGrid>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590" w:right="143" w:hanging="449"/>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pStyle w:val="BodyText"/>
        <w:spacing w:line="240" w:lineRule="auto" w:before="49"/>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3"/>
        <w:ind w:right="6643"/>
        <w:jc w:val="left"/>
      </w:pPr>
      <w:r>
        <w:rPr>
          <w:rFonts w:ascii="Times New Roman" w:hAnsi="Times New Roman" w:cs="Times New Roman" w:eastAsia="Times New Roman" w:hint="default"/>
        </w:rPr>
        <w:t>8)</w:t>
      </w:r>
      <w:r>
        <w:rPr/>
        <w:t>转移其他应收款且继续涉入形成的资产、负债金额 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513"/>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8" w:right="0"/>
              <w:jc w:val="left"/>
              <w:rPr>
                <w:rFonts w:ascii="Times New Roman" w:hAnsi="Times New Roman" w:cs="Times New Roman" w:eastAsia="Times New Roman" w:hint="default"/>
                <w:sz w:val="18"/>
                <w:szCs w:val="18"/>
              </w:rPr>
            </w:pPr>
            <w:r>
              <w:rPr>
                <w:rFonts w:ascii="Times New Roman"/>
                <w:sz w:val="18"/>
              </w:rPr>
              <w:t>25,049,668.83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07" w:right="0"/>
              <w:jc w:val="left"/>
              <w:rPr>
                <w:rFonts w:ascii="Times New Roman" w:hAnsi="Times New Roman" w:cs="Times New Roman" w:eastAsia="Times New Roman" w:hint="default"/>
                <w:sz w:val="18"/>
                <w:szCs w:val="18"/>
              </w:rPr>
            </w:pPr>
            <w:r>
              <w:rPr>
                <w:rFonts w:ascii="Times New Roman"/>
                <w:sz w:val="18"/>
              </w:rPr>
              <w:t>2,149,898.49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18" w:right="0"/>
              <w:jc w:val="left"/>
              <w:rPr>
                <w:rFonts w:ascii="Times New Roman" w:hAnsi="Times New Roman" w:cs="Times New Roman" w:eastAsia="Times New Roman" w:hint="default"/>
                <w:sz w:val="18"/>
                <w:szCs w:val="18"/>
              </w:rPr>
            </w:pPr>
            <w:r>
              <w:rPr>
                <w:rFonts w:ascii="Times New Roman"/>
                <w:sz w:val="18"/>
              </w:rPr>
              <w:t>22,899,770.34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6" w:right="0"/>
              <w:jc w:val="center"/>
              <w:rPr>
                <w:rFonts w:ascii="Times New Roman" w:hAnsi="Times New Roman" w:cs="Times New Roman" w:eastAsia="Times New Roman" w:hint="default"/>
                <w:sz w:val="18"/>
                <w:szCs w:val="18"/>
              </w:rPr>
            </w:pPr>
            <w:r>
              <w:rPr>
                <w:rFonts w:ascii="Times New Roman"/>
                <w:sz w:val="18"/>
              </w:rPr>
              <w:t>20,460,535.58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6" w:right="0"/>
              <w:jc w:val="center"/>
              <w:rPr>
                <w:rFonts w:ascii="Times New Roman" w:hAnsi="Times New Roman" w:cs="Times New Roman" w:eastAsia="Times New Roman" w:hint="default"/>
                <w:sz w:val="18"/>
                <w:szCs w:val="18"/>
              </w:rPr>
            </w:pPr>
            <w:r>
              <w:rPr>
                <w:rFonts w:ascii="Times New Roman"/>
                <w:sz w:val="18"/>
              </w:rPr>
              <w:t>20,460,535.58</w:t>
            </w:r>
          </w:p>
        </w:tc>
      </w:tr>
    </w:tbl>
    <w:p>
      <w:pPr>
        <w:spacing w:after="0" w:line="240" w:lineRule="auto"/>
        <w:jc w:val="center"/>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29,189,343.44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29,189,343.44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28,729,228.16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28,729,228.16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148,622,000.22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4,954,416.26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143,667,583.96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113,031,447.24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113,031,447.24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396,037.55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396,037.55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611,824.06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611,824.06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203,257,050.04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7,104,314.75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196,152,735.29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162,833,035.04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162,833,035.04</w:t>
            </w:r>
          </w:p>
        </w:tc>
      </w:tr>
    </w:tbl>
    <w:p>
      <w:pPr>
        <w:pStyle w:val="BodyText"/>
        <w:spacing w:line="340" w:lineRule="auto" w:before="49"/>
        <w:ind w:right="2474"/>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338" w:lineRule="auto" w:before="41"/>
        <w:ind w:right="2751"/>
        <w:jc w:val="left"/>
      </w:pPr>
      <w:r>
        <w:rPr/>
        <w:t>公司需遵守《深圳证券交易所行业信息披露指引第</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号——上市公司从事珠宝相关业务》的披露要求 否</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2,149,898.49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2,149,898.49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4,954,416.26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4,954,416.26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7,104,314.75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7,104,314.75</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5"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8pt;mso-position-horizontal-relative:char;mso-position-vertical-relative:line" coordorigin="0,0" coordsize="9586,416">
            <v:group style="position:absolute;left:12;top:12;width:4779;height:396" coordorigin="12,12" coordsize="4779,396">
              <v:shape style="position:absolute;left:12;top:12;width:4779;height:396" coordorigin="12,12" coordsize="4779,396" path="m12,12l4790,12,4790,408,12,408,12,12xe" filled="true" fillcolor="#d3d3d3" stroked="false">
                <v:path arrowok="t"/>
                <v:fill type="solid"/>
              </v:shape>
            </v:group>
            <v:group style="position:absolute;left:4795;top:12;width:4779;height:396" coordorigin="4795,12" coordsize="4779,396">
              <v:shape style="position:absolute;left:4795;top:12;width:4779;height:396" coordorigin="4795,12" coordsize="4779,396" path="m4795,12l9574,12,9574,408,4795,408,4795,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0;width:9576;height:2" coordorigin="5,410" coordsize="9576,2">
              <v:shape style="position:absolute;left:5;top:410;width:9576;height:2" coordorigin="5,410" coordsize="9576,0" path="m5,410l9581,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4790;top:5;width:2;height:401" coordorigin="4790,5" coordsize="2,401">
              <v:shape style="position:absolute;left:4790;top:5;width:2;height:401" coordorigin="4790,5" coordsize="0,401" path="m4790,5l4790,406e" filled="false" stroked="true" strokeweight=".48pt" strokecolor="#000000">
                <v:path arrowok="t"/>
              </v:shape>
            </v:group>
            <v:group style="position:absolute;left:9576;top:5;width:2;height:401" coordorigin="9576,5" coordsize="2,401">
              <v:shape style="position:absolute;left:9576;top:5;width:2;height:401" coordorigin="9576,5" coordsize="0,401" path="m9576,5l9576,406e" filled="false" stroked="true" strokeweight=".48pt" strokecolor="#000000">
                <v:path arrowok="t"/>
              </v:shape>
              <v:shape style="position:absolute;left:22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5"/>
        <w:gridCol w:w="1913"/>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2"/>
        <w:gridCol w:w="3192"/>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2"/>
        <w:gridCol w:w="3192"/>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银行理财产品（注）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238,350,000.00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490,316.98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231,073.76</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121,593.74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1,756,595.76</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238,961,910.72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67,987,669.52</w:t>
            </w:r>
          </w:p>
        </w:tc>
      </w:tr>
    </w:tbl>
    <w:p>
      <w:pPr>
        <w:pStyle w:val="BodyText"/>
        <w:spacing w:line="360" w:lineRule="auto" w:before="49"/>
        <w:ind w:right="6899"/>
        <w:jc w:val="left"/>
      </w:pPr>
      <w:r>
        <w:rPr/>
        <w:t>其他说明： 注：使用权受到限制的资产情况详见附注七-70。</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99"/>
        <w:gridCol w:w="1195"/>
        <w:gridCol w:w="1195"/>
        <w:gridCol w:w="1195"/>
        <w:gridCol w:w="1248"/>
        <w:gridCol w:w="1368"/>
        <w:gridCol w:w="1368"/>
      </w:tblGrid>
      <w:tr>
        <w:trPr>
          <w:trHeight w:val="403"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21,030,000.0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21,000,000.00</w:t>
            </w:r>
          </w:p>
        </w:tc>
      </w:tr>
      <w:tr>
        <w:trPr>
          <w:trHeight w:val="71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21,030,000.0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21,030,000.0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21,000,000.0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21,000,000.00</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21,030,000.0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21,000,000.00</w:t>
            </w:r>
          </w:p>
        </w:tc>
      </w:tr>
    </w:tbl>
    <w:p>
      <w:pPr>
        <w:spacing w:line="240" w:lineRule="auto" w:before="13"/>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915"/>
        <w:gridCol w:w="1913"/>
        <w:gridCol w:w="1915"/>
        <w:gridCol w:w="1913"/>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59" w:right="141" w:hanging="720"/>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862"/>
        <w:gridCol w:w="871"/>
        <w:gridCol w:w="869"/>
        <w:gridCol w:w="871"/>
        <w:gridCol w:w="869"/>
        <w:gridCol w:w="871"/>
        <w:gridCol w:w="869"/>
        <w:gridCol w:w="871"/>
        <w:gridCol w:w="869"/>
        <w:gridCol w:w="871"/>
        <w:gridCol w:w="869"/>
      </w:tblGrid>
      <w:tr>
        <w:trPr>
          <w:trHeight w:val="403" w:hRule="exact"/>
        </w:trPr>
        <w:tc>
          <w:tcPr>
            <w:tcW w:w="8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在被投</w:t>
            </w: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9" w:hRule="exact"/>
        </w:trPr>
        <w:tc>
          <w:tcPr>
            <w:tcW w:w="8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right="2"/>
              <w:jc w:val="center"/>
              <w:rPr>
                <w:rFonts w:ascii="宋体" w:hAnsi="宋体" w:cs="宋体" w:eastAsia="宋体" w:hint="default"/>
                <w:sz w:val="18"/>
                <w:szCs w:val="18"/>
              </w:rPr>
            </w:pPr>
            <w:r>
              <w:rPr>
                <w:rFonts w:ascii="宋体" w:hAnsi="宋体" w:cs="宋体" w:eastAsia="宋体" w:hint="default"/>
                <w:sz w:val="18"/>
                <w:szCs w:val="18"/>
              </w:rPr>
              <w:t>被投资</w:t>
            </w: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left="158" w:right="0"/>
              <w:jc w:val="left"/>
              <w:rPr>
                <w:rFonts w:ascii="宋体" w:hAnsi="宋体" w:cs="宋体" w:eastAsia="宋体" w:hint="default"/>
                <w:sz w:val="18"/>
                <w:szCs w:val="18"/>
              </w:rPr>
            </w:pPr>
            <w:r>
              <w:rPr>
                <w:rFonts w:ascii="宋体" w:hAnsi="宋体" w:cs="宋体" w:eastAsia="宋体" w:hint="default"/>
                <w:sz w:val="18"/>
                <w:szCs w:val="18"/>
              </w:rPr>
              <w:t>资单位</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本期现</w:t>
            </w:r>
          </w:p>
        </w:tc>
      </w:tr>
      <w:tr>
        <w:trPr>
          <w:trHeight w:val="726" w:hRule="exact"/>
        </w:trPr>
        <w:tc>
          <w:tcPr>
            <w:tcW w:w="86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加</w:t>
            </w: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1" w:lineRule="exact"/>
              <w:ind w:right="2"/>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少</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1"/>
              <w:ind w:left="247"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加</w:t>
            </w: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191" w:lineRule="exact"/>
              <w:ind w:right="2"/>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少</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1"/>
              <w:ind w:left="247"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65"/>
              <w:ind w:left="338" w:right="161"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金红利</w:t>
            </w:r>
          </w:p>
        </w:tc>
      </w:tr>
      <w:tr>
        <w:trPr>
          <w:trHeight w:val="714" w:hRule="exact"/>
        </w:trPr>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100" w:right="209"/>
              <w:jc w:val="left"/>
              <w:rPr>
                <w:rFonts w:ascii="宋体" w:hAnsi="宋体" w:cs="宋体" w:eastAsia="宋体" w:hint="default"/>
                <w:sz w:val="18"/>
                <w:szCs w:val="18"/>
              </w:rPr>
            </w:pPr>
            <w:r>
              <w:rPr>
                <w:rFonts w:ascii="宋体" w:hAnsi="宋体" w:cs="宋体" w:eastAsia="宋体" w:hint="default"/>
                <w:sz w:val="18"/>
                <w:szCs w:val="18"/>
              </w:rPr>
              <w:t>南京盛 宇涌鑫</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7"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4"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862"/>
        <w:gridCol w:w="871"/>
        <w:gridCol w:w="869"/>
        <w:gridCol w:w="871"/>
        <w:gridCol w:w="869"/>
        <w:gridCol w:w="871"/>
        <w:gridCol w:w="869"/>
        <w:gridCol w:w="871"/>
        <w:gridCol w:w="869"/>
        <w:gridCol w:w="871"/>
        <w:gridCol w:w="869"/>
      </w:tblGrid>
      <w:tr>
        <w:trPr>
          <w:trHeight w:val="317" w:hRule="exact"/>
        </w:trPr>
        <w:tc>
          <w:tcPr>
            <w:tcW w:w="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股权投</w:t>
            </w: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12" w:hRule="exact"/>
        </w:trPr>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资中心</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312" w:hRule="exact"/>
        </w:trPr>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312" w:hRule="exact"/>
        </w:trPr>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357" w:hRule="exact"/>
        </w:trPr>
        <w:tc>
          <w:tcPr>
            <w:tcW w:w="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（注）</w:t>
            </w: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355" w:hRule="exact"/>
        </w:trPr>
        <w:tc>
          <w:tcPr>
            <w:tcW w:w="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江苏丹</w:t>
            </w: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阳农村</w:t>
            </w:r>
          </w:p>
        </w:tc>
        <w:tc>
          <w:tcPr>
            <w:tcW w:w="871"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86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0" w:right="209"/>
              <w:jc w:val="left"/>
              <w:rPr>
                <w:rFonts w:ascii="宋体" w:hAnsi="宋体" w:cs="宋体" w:eastAsia="宋体" w:hint="default"/>
                <w:sz w:val="18"/>
                <w:szCs w:val="18"/>
              </w:rPr>
            </w:pPr>
            <w:r>
              <w:rPr>
                <w:rFonts w:ascii="宋体" w:hAnsi="宋体" w:cs="宋体" w:eastAsia="宋体" w:hint="default"/>
                <w:sz w:val="18"/>
                <w:szCs w:val="18"/>
              </w:rPr>
              <w:t>商业银 行股份</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0.29%</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17,179.8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307" w:hRule="exact"/>
        </w:trPr>
        <w:tc>
          <w:tcPr>
            <w:tcW w:w="8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871"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耐思生</w:t>
            </w: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936" w:hRule="exact"/>
        </w:trPr>
        <w:tc>
          <w:tcPr>
            <w:tcW w:w="8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101"/>
              <w:jc w:val="left"/>
              <w:rPr>
                <w:rFonts w:ascii="宋体" w:hAnsi="宋体" w:cs="宋体" w:eastAsia="宋体" w:hint="default"/>
                <w:sz w:val="18"/>
                <w:szCs w:val="18"/>
              </w:rPr>
            </w:pPr>
            <w:r>
              <w:rPr>
                <w:rFonts w:ascii="宋体" w:hAnsi="宋体" w:cs="宋体" w:eastAsia="宋体" w:hint="default"/>
                <w:sz w:val="18"/>
                <w:szCs w:val="18"/>
              </w:rPr>
              <w:t>活环保 </w:t>
            </w:r>
            <w:r>
              <w:rPr>
                <w:rFonts w:ascii="宋体" w:hAnsi="宋体" w:cs="宋体" w:eastAsia="宋体" w:hint="default"/>
                <w:spacing w:val="-18"/>
                <w:sz w:val="18"/>
                <w:szCs w:val="18"/>
              </w:rPr>
              <w:t>科技（北</w:t>
            </w:r>
            <w:r>
              <w:rPr>
                <w:rFonts w:ascii="宋体" w:hAnsi="宋体" w:cs="宋体" w:eastAsia="宋体" w:hint="default"/>
                <w:sz w:val="18"/>
                <w:szCs w:val="18"/>
              </w:rPr>
              <w:t> </w:t>
            </w:r>
            <w:r>
              <w:rPr>
                <w:rFonts w:ascii="宋体" w:hAnsi="宋体" w:cs="宋体" w:eastAsia="宋体" w:hint="default"/>
                <w:spacing w:val="-18"/>
                <w:sz w:val="18"/>
                <w:szCs w:val="18"/>
              </w:rPr>
              <w:t>京）有限</w:t>
            </w: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71"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w:t>
            </w:r>
          </w:p>
        </w:tc>
        <w:tc>
          <w:tcPr>
            <w:tcW w:w="869" w:type="dxa"/>
            <w:vMerge/>
            <w:tcBorders>
              <w:left w:val="single" w:sz="4" w:space="0" w:color="000000"/>
              <w:right w:val="single" w:sz="4" w:space="0" w:color="000000"/>
            </w:tcBorders>
          </w:tcPr>
          <w:p>
            <w:pPr/>
          </w:p>
        </w:tc>
      </w:tr>
      <w:tr>
        <w:trPr>
          <w:trHeight w:val="357" w:hRule="exact"/>
        </w:trPr>
        <w:tc>
          <w:tcPr>
            <w:tcW w:w="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5" w:hRule="exact"/>
        </w:trPr>
        <w:tc>
          <w:tcPr>
            <w:tcW w:w="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21,030,0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17,179.8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915"/>
        <w:gridCol w:w="1913"/>
        <w:gridCol w:w="1915"/>
        <w:gridCol w:w="1913"/>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59" w:right="141" w:hanging="720"/>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13"/>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6" w:right="139"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36" w:right="139"/>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（个月）</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7" w:right="139" w:hanging="452"/>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85" w:right="137" w:hanging="449"/>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pStyle w:val="BodyText"/>
        <w:spacing w:line="240" w:lineRule="auto" w:before="46"/>
        <w:ind w:right="0"/>
        <w:jc w:val="left"/>
      </w:pPr>
      <w:r>
        <w:rPr/>
        <w:t>其他说明</w:t>
      </w:r>
    </w:p>
    <w:p>
      <w:pPr>
        <w:pStyle w:val="BodyText"/>
        <w:spacing w:line="300" w:lineRule="auto" w:before="117"/>
        <w:ind w:right="0"/>
        <w:jc w:val="left"/>
      </w:pPr>
      <w:r>
        <w:rPr/>
        <w:t>注：南京盛宇涌鑫股权投资中心（有限合伙）全体合伙人于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月签署的合伙协议约定，公司持有股权比例为</w:t>
      </w:r>
      <w:r>
        <w:rPr>
          <w:rFonts w:ascii="Times New Roman" w:hAnsi="Times New Roman" w:cs="Times New Roman" w:eastAsia="Times New Roman" w:hint="default"/>
        </w:rPr>
        <w:t>15%</w:t>
      </w:r>
      <w:r>
        <w:rPr/>
        <w:t>，享</w:t>
      </w:r>
      <w:r>
        <w:rPr>
          <w:spacing w:val="-62"/>
        </w:rPr>
        <w:t> </w:t>
      </w:r>
      <w:r>
        <w:rPr/>
        <w:t>有的分红比例为</w:t>
      </w:r>
      <w:r>
        <w:rPr>
          <w:rFonts w:ascii="Times New Roman" w:hAnsi="Times New Roman" w:cs="Times New Roman" w:eastAsia="Times New Roman" w:hint="default"/>
        </w:rPr>
        <w:t>12%</w:t>
      </w:r>
      <w:r>
        <w:rPr/>
        <w:t>。</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02"/>
        <w:gridCol w:w="1166"/>
        <w:gridCol w:w="1169"/>
        <w:gridCol w:w="1166"/>
        <w:gridCol w:w="1166"/>
        <w:gridCol w:w="1169"/>
        <w:gridCol w:w="1164"/>
        <w:gridCol w:w="1166"/>
      </w:tblGrid>
      <w:tr>
        <w:trPr>
          <w:trHeight w:val="401" w:hRule="exact"/>
        </w:trPr>
        <w:tc>
          <w:tcPr>
            <w:tcW w:w="14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2"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13"/>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794"/>
        <w:gridCol w:w="797"/>
        <w:gridCol w:w="797"/>
        <w:gridCol w:w="799"/>
        <w:gridCol w:w="797"/>
        <w:gridCol w:w="799"/>
        <w:gridCol w:w="797"/>
        <w:gridCol w:w="799"/>
        <w:gridCol w:w="797"/>
        <w:gridCol w:w="799"/>
        <w:gridCol w:w="797"/>
        <w:gridCol w:w="799"/>
      </w:tblGrid>
      <w:tr>
        <w:trPr>
          <w:trHeight w:val="403"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337"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11" w:right="122"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2" w:right="122"/>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4"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8"/>
              <w:ind w:left="124"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5"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上海恒</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r>
      <w:tr>
        <w:trPr>
          <w:trHeight w:val="941"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00" w:right="142"/>
              <w:jc w:val="left"/>
              <w:rPr>
                <w:rFonts w:ascii="宋体" w:hAnsi="宋体" w:cs="宋体" w:eastAsia="宋体" w:hint="default"/>
                <w:sz w:val="18"/>
                <w:szCs w:val="18"/>
              </w:rPr>
            </w:pPr>
            <w:r>
              <w:rPr>
                <w:rFonts w:ascii="宋体" w:hAnsi="宋体" w:cs="宋体" w:eastAsia="宋体" w:hint="default"/>
                <w:sz w:val="18"/>
                <w:szCs w:val="18"/>
              </w:rPr>
              <w:t>毓投资 中心</w:t>
            </w:r>
          </w:p>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202,59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9,736.9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6,835,3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11.84</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209,43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5,048.8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99" w:type="dxa"/>
            <w:vMerge/>
            <w:tcBorders>
              <w:left w:val="single" w:sz="4" w:space="0" w:color="000000"/>
              <w:right w:val="single" w:sz="4" w:space="0" w:color="000000"/>
            </w:tcBorders>
          </w:tcPr>
          <w:p>
            <w:pPr/>
          </w:p>
        </w:tc>
      </w:tr>
      <w:tr>
        <w:trPr>
          <w:trHeight w:val="355"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r>
      <w:tr>
        <w:trPr>
          <w:trHeight w:val="102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202,59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9,736.9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6,835,3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11.84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209,43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5,048.8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794"/>
        <w:gridCol w:w="797"/>
        <w:gridCol w:w="797"/>
        <w:gridCol w:w="799"/>
        <w:gridCol w:w="797"/>
        <w:gridCol w:w="799"/>
        <w:gridCol w:w="797"/>
        <w:gridCol w:w="799"/>
        <w:gridCol w:w="797"/>
        <w:gridCol w:w="799"/>
        <w:gridCol w:w="797"/>
        <w:gridCol w:w="799"/>
      </w:tblGrid>
      <w:tr>
        <w:trPr>
          <w:trHeight w:val="1027"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9,736.9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6,835,3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11.84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209,43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5,048.8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2"/>
        <w:gridCol w:w="3192"/>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7"/>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2"/>
        <w:gridCol w:w="3187"/>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194,067,865.01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307,853,308.66</w:t>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194,067,865.01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307,853,308.66</w:t>
            </w:r>
          </w:p>
        </w:tc>
      </w:tr>
    </w:tbl>
    <w:p>
      <w:pPr>
        <w:spacing w:line="240" w:lineRule="auto" w:before="13"/>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4"/>
        <w:gridCol w:w="1594"/>
        <w:gridCol w:w="1594"/>
        <w:gridCol w:w="1594"/>
        <w:gridCol w:w="1594"/>
        <w:gridCol w:w="1596"/>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282,687,927.84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371,343,052.28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8,437,732.93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26,309,535.91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688,778,248.96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6"/>
              <w:ind w:left="100" w:right="26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2,785,524.59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4,086,911.07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734,095.52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648,096.83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8,254,628.01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2,785,524.59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4,086,911.07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734,095.52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648,096.83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8,254,628.01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6"/>
              <w:ind w:left="100" w:right="13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594"/>
        <w:gridCol w:w="1594"/>
        <w:gridCol w:w="1594"/>
        <w:gridCol w:w="1594"/>
        <w:gridCol w:w="1594"/>
        <w:gridCol w:w="1596"/>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6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113,355,000.00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2,007,595.34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2,859,425.40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626,738.07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118,848,758.81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3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113,355,000.00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2,007,595.34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2,859,425.40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626,738.07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118,848,758.81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172,118,452.43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373,422,368.01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6,312,403.05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26,330,894.67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578,184,118.16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98,110,363.25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255,627,259.01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5,939,109.17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21,248,208.87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380,924,940.30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6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11,615,193.17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21,106,282.72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709,024.02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1,860,307.38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35,290,807.29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1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11,615,193.17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21,106,282.72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709,024.02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1,860,307.38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35,290,807.29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6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28,265,522.67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522,547.14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2,716,454.13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594,970.50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32,099,494.44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3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28,265,522.67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522,547.14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2,716,454.13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594,970.50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32,099,494.44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81,460,033.75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276,210,994.59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3,931,679.06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22,513,545.75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384,116,253.15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6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1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6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3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6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90,658,418.68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97,211,373.42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2,380,723.99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3,817,348.92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194,067,865.01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6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184,577,564.59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115,715,793.27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2,498,623.76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5,061,327.04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307,853,308.66</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9"/>
        <w:rPr>
          <w:rFonts w:ascii="Times New Roman" w:hAnsi="Times New Roman" w:cs="Times New Roman" w:eastAsia="Times New Roman"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2;width:4774;height:399" coordorigin="12,12" coordsize="4774,399">
              <v:shape style="position:absolute;left:12;top:12;width:4774;height:399" coordorigin="12,12" coordsize="4774,399" path="m12,12l4786,12,4786,410,12,410,12,12xe" filled="true" fillcolor="#d3d3d3" stroked="false">
                <v:path arrowok="t"/>
                <v:fill type="solid"/>
              </v:shape>
            </v:group>
            <v:group style="position:absolute;left:4790;top:12;width:4784;height:399" coordorigin="4790,12" coordsize="4784,399">
              <v:shape style="position:absolute;left:4790;top:12;width:4784;height:399" coordorigin="4790,12" coordsize="4784,399" path="m4790,12l9574,12,9574,410,4790,410,4790,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788;top:5;width:2;height:404" coordorigin="4788,5" coordsize="2,404">
              <v:shape style="position:absolute;left:4788;top:5;width:2;height:404" coordorigin="4788,5" coordsize="0,404" path="m4788,5l4788,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shape style="position:absolute;left:22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8;top:10;width:4788;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6"/>
        <w:ind w:right="0"/>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894"/>
        <w:gridCol w:w="3814"/>
        <w:gridCol w:w="3859"/>
      </w:tblGrid>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3"/>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732"/>
        <w:gridCol w:w="734"/>
        <w:gridCol w:w="737"/>
        <w:gridCol w:w="737"/>
        <w:gridCol w:w="734"/>
        <w:gridCol w:w="737"/>
        <w:gridCol w:w="737"/>
        <w:gridCol w:w="734"/>
        <w:gridCol w:w="737"/>
        <w:gridCol w:w="737"/>
        <w:gridCol w:w="734"/>
        <w:gridCol w:w="737"/>
        <w:gridCol w:w="737"/>
      </w:tblGrid>
      <w:tr>
        <w:trPr>
          <w:trHeight w:val="1963"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79" w:right="180"/>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1" w:right="182" w:hanging="92"/>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0" w:right="182"/>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9" w:right="182"/>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0" w:right="83"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资金 来源</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131"/>
        <w:gridCol w:w="1330"/>
        <w:gridCol w:w="1327"/>
        <w:gridCol w:w="1195"/>
        <w:gridCol w:w="1198"/>
        <w:gridCol w:w="1195"/>
        <w:gridCol w:w="1190"/>
      </w:tblGrid>
      <w:tr>
        <w:trPr>
          <w:trHeight w:val="403" w:hRule="exact"/>
        </w:trPr>
        <w:tc>
          <w:tcPr>
            <w:tcW w:w="21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1" w:type="dxa"/>
            <w:vMerge/>
            <w:tcBorders>
              <w:left w:val="single" w:sz="4" w:space="0" w:color="000000"/>
              <w:bottom w:val="single" w:sz="4" w:space="0" w:color="000000"/>
              <w:right w:val="single" w:sz="4" w:space="0" w:color="000000"/>
            </w:tcBorders>
            <w:shd w:val="clear" w:color="auto" w:fill="D3D3D3"/>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195"/>
        <w:gridCol w:w="1195"/>
        <w:gridCol w:w="1198"/>
        <w:gridCol w:w="1195"/>
        <w:gridCol w:w="1195"/>
        <w:gridCol w:w="1198"/>
        <w:gridCol w:w="1195"/>
        <w:gridCol w:w="1195"/>
      </w:tblGrid>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1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82"/>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195"/>
        <w:gridCol w:w="1195"/>
        <w:gridCol w:w="1198"/>
        <w:gridCol w:w="1195"/>
        <w:gridCol w:w="1195"/>
        <w:gridCol w:w="1198"/>
        <w:gridCol w:w="1195"/>
        <w:gridCol w:w="1195"/>
      </w:tblGrid>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30,525,565.7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81,041,360.7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134,478,000.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266,044,926.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52</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754,725.38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754,725.38</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754,725.38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754,725.38</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9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00" w:right="9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30,525,565.7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81,796,086.1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134,478,000.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266,799,651.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82"/>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6,193,398.73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32,245,978.3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33,978,000.0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82,417,377.0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624,664.06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3,055,265.91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21,079,929.9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624,664.06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3,055,265.91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21,079,929.9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6,818,062.79</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35,301,244.2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47,378,000.0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103,497,307.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82"/>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pacing w:val="-1"/>
                <w:sz w:val="18"/>
              </w:rPr>
              <w:t>27,998,988.0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 w:right="0"/>
              <w:jc w:val="center"/>
              <w:rPr>
                <w:rFonts w:ascii="Times New Roman" w:hAnsi="Times New Roman" w:cs="Times New Roman" w:eastAsia="Times New Roman" w:hint="default"/>
                <w:sz w:val="18"/>
                <w:szCs w:val="18"/>
              </w:rPr>
            </w:pPr>
            <w:r>
              <w:rPr>
                <w:rFonts w:ascii="Times New Roman"/>
                <w:sz w:val="18"/>
              </w:rPr>
              <w:t>27,998,988.0</w:t>
            </w:r>
          </w:p>
        </w:tc>
      </w:tr>
    </w:tbl>
    <w:p>
      <w:pPr>
        <w:spacing w:after="0" w:line="240" w:lineRule="auto"/>
        <w:jc w:val="center"/>
        <w:rPr>
          <w:rFonts w:ascii="Times New Roman" w:hAnsi="Times New Roman" w:cs="Times New Roman" w:eastAsia="Times New Roman" w:hint="default"/>
          <w:sz w:val="18"/>
          <w:szCs w:val="18"/>
        </w:rPr>
        <w:sectPr>
          <w:footerReference w:type="default" r:id="rId29"/>
          <w:pgSz w:w="11910" w:h="16840"/>
          <w:pgMar w:footer="1017" w:header="905" w:top="1100" w:bottom="1200" w:left="1020" w:right="0"/>
          <w:pgNumType w:start="12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195"/>
        <w:gridCol w:w="1195"/>
        <w:gridCol w:w="1198"/>
        <w:gridCol w:w="1195"/>
        <w:gridCol w:w="1195"/>
        <w:gridCol w:w="1198"/>
        <w:gridCol w:w="1195"/>
        <w:gridCol w:w="1195"/>
      </w:tblGrid>
      <w:tr>
        <w:trPr>
          <w:trHeight w:val="3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27,998,988.0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27,998,988.0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82"/>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23,707,502.9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18,495,853.8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87,100,000.0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135,303,356.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84</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2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24,332,167.0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20,796,394.4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100,500,000.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155,628,561.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43</w:t>
            </w:r>
          </w:p>
        </w:tc>
      </w:tr>
    </w:tbl>
    <w:p>
      <w:pPr>
        <w:pStyle w:val="BodyText"/>
        <w:spacing w:line="240" w:lineRule="auto" w:before="49"/>
        <w:ind w:right="0"/>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0.00%</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61"/>
        <w:gridCol w:w="1063"/>
        <w:gridCol w:w="3190"/>
        <w:gridCol w:w="3190"/>
        <w:gridCol w:w="1063"/>
      </w:tblGrid>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6"/>
        <w:ind w:right="0" w:hanging="1"/>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6"/>
        <w:gridCol w:w="1368"/>
        <w:gridCol w:w="2734"/>
        <w:gridCol w:w="2734"/>
        <w:gridCol w:w="1368"/>
      </w:tblGrid>
      <w:tr>
        <w:trPr>
          <w:trHeight w:val="672"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36" w:right="137"/>
              <w:jc w:val="left"/>
              <w:rPr>
                <w:rFonts w:ascii="宋体" w:hAnsi="宋体" w:cs="宋体" w:eastAsia="宋体" w:hint="default"/>
                <w:sz w:val="18"/>
                <w:szCs w:val="18"/>
              </w:rPr>
            </w:pPr>
            <w:r>
              <w:rPr>
                <w:rFonts w:ascii="宋体" w:hAnsi="宋体" w:cs="宋体" w:eastAsia="宋体" w:hint="default"/>
                <w:sz w:val="18"/>
                <w:szCs w:val="18"/>
              </w:rPr>
              <w:t>被投资单位名 称或形成商誉</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366"/>
        <w:gridCol w:w="1368"/>
        <w:gridCol w:w="1366"/>
        <w:gridCol w:w="1368"/>
        <w:gridCol w:w="1366"/>
        <w:gridCol w:w="1368"/>
        <w:gridCol w:w="1368"/>
      </w:tblGrid>
      <w:tr>
        <w:trPr>
          <w:trHeight w:val="362"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05" w:right="0"/>
              <w:jc w:val="left"/>
              <w:rPr>
                <w:rFonts w:ascii="宋体" w:hAnsi="宋体" w:cs="宋体" w:eastAsia="宋体" w:hint="default"/>
                <w:sz w:val="18"/>
                <w:szCs w:val="18"/>
              </w:rPr>
            </w:pPr>
            <w:r>
              <w:rPr>
                <w:rFonts w:ascii="宋体" w:hAnsi="宋体" w:cs="宋体" w:eastAsia="宋体" w:hint="default"/>
                <w:sz w:val="18"/>
                <w:szCs w:val="18"/>
              </w:rPr>
              <w:t>的事项</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5" w:hRule="exact"/>
        </w:trPr>
        <w:tc>
          <w:tcPr>
            <w:tcW w:w="1366" w:type="dxa"/>
            <w:tcBorders>
              <w:top w:val="single" w:sz="4" w:space="0" w:color="000000"/>
              <w:left w:val="single" w:sz="4" w:space="0" w:color="000000"/>
              <w:bottom w:val="nil" w:sz="6" w:space="0" w:color="auto"/>
              <w:right w:val="single" w:sz="4" w:space="0" w:color="000000"/>
            </w:tcBorders>
            <w:shd w:val="clear" w:color="auto" w:fill="E1FFFF"/>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北京东方英卡</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6"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316"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数字信息技术 有限公司（注</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11,137,414.67</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1" w:right="0"/>
              <w:jc w:val="center"/>
              <w:rPr>
                <w:rFonts w:ascii="Times New Roman" w:hAnsi="Times New Roman" w:cs="Times New Roman" w:eastAsia="Times New Roman" w:hint="default"/>
                <w:sz w:val="18"/>
                <w:szCs w:val="18"/>
              </w:rPr>
            </w:pPr>
            <w:r>
              <w:rPr>
                <w:rFonts w:ascii="Times New Roman"/>
                <w:sz w:val="18"/>
              </w:rPr>
              <w:t>11,137,414.67</w:t>
            </w:r>
          </w:p>
        </w:tc>
      </w:tr>
      <w:tr>
        <w:trPr>
          <w:trHeight w:val="360" w:hRule="exact"/>
        </w:trPr>
        <w:tc>
          <w:tcPr>
            <w:tcW w:w="1366" w:type="dxa"/>
            <w:tcBorders>
              <w:top w:val="nil" w:sz="6" w:space="0" w:color="auto"/>
              <w:left w:val="single" w:sz="4" w:space="0" w:color="000000"/>
              <w:bottom w:val="single" w:sz="4" w:space="0" w:color="000000"/>
              <w:right w:val="single" w:sz="4" w:space="0" w:color="000000"/>
            </w:tcBorders>
            <w:shd w:val="clear" w:color="auto" w:fill="E1FFFF"/>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66" w:type="dxa"/>
            <w:tcBorders>
              <w:top w:val="single" w:sz="4" w:space="0" w:color="000000"/>
              <w:left w:val="single" w:sz="4" w:space="0" w:color="000000"/>
              <w:bottom w:val="nil" w:sz="6" w:space="0" w:color="auto"/>
              <w:right w:val="single" w:sz="4" w:space="0" w:color="000000"/>
            </w:tcBorders>
            <w:shd w:val="clear" w:color="auto" w:fill="E1FFFF"/>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深圳一卡易科</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6"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技股份有限公</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70,835,809.00</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14" w:right="0"/>
              <w:jc w:val="center"/>
              <w:rPr>
                <w:rFonts w:ascii="Times New Roman" w:hAnsi="Times New Roman" w:cs="Times New Roman" w:eastAsia="Times New Roman" w:hint="default"/>
                <w:sz w:val="18"/>
                <w:szCs w:val="18"/>
              </w:rPr>
            </w:pPr>
            <w:r>
              <w:rPr>
                <w:rFonts w:ascii="Times New Roman"/>
                <w:sz w:val="18"/>
              </w:rPr>
              <w:t>70,835,809.00</w:t>
            </w:r>
          </w:p>
        </w:tc>
      </w:tr>
      <w:tr>
        <w:trPr>
          <w:trHeight w:val="354" w:hRule="exact"/>
        </w:trPr>
        <w:tc>
          <w:tcPr>
            <w:tcW w:w="1366" w:type="dxa"/>
            <w:tcBorders>
              <w:top w:val="nil" w:sz="6" w:space="0" w:color="auto"/>
              <w:left w:val="single" w:sz="4" w:space="0" w:color="000000"/>
              <w:bottom w:val="single" w:sz="4" w:space="0" w:color="000000"/>
              <w:right w:val="single" w:sz="4" w:space="0" w:color="000000"/>
            </w:tcBorders>
            <w:shd w:val="clear" w:color="auto" w:fill="E1FFFF"/>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81,973,223.67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81,973,223.67</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6"/>
        <w:gridCol w:w="1368"/>
        <w:gridCol w:w="1366"/>
        <w:gridCol w:w="1368"/>
        <w:gridCol w:w="1366"/>
        <w:gridCol w:w="1368"/>
        <w:gridCol w:w="1368"/>
      </w:tblGrid>
      <w:tr>
        <w:trPr>
          <w:trHeight w:val="1027"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36"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1366" w:type="dxa"/>
            <w:tcBorders>
              <w:top w:val="single" w:sz="4" w:space="0" w:color="000000"/>
              <w:left w:val="single" w:sz="4" w:space="0" w:color="000000"/>
              <w:bottom w:val="nil" w:sz="6" w:space="0" w:color="auto"/>
              <w:right w:val="single" w:sz="4" w:space="0" w:color="000000"/>
            </w:tcBorders>
            <w:shd w:val="clear" w:color="auto" w:fill="E1FFFF"/>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北京东方英卡</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6"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316" w:lineRule="auto" w:before="10"/>
              <w:ind w:left="100" w:right="173"/>
              <w:jc w:val="left"/>
              <w:rPr>
                <w:rFonts w:ascii="宋体" w:hAnsi="宋体" w:cs="宋体" w:eastAsia="宋体" w:hint="default"/>
                <w:sz w:val="18"/>
                <w:szCs w:val="18"/>
              </w:rPr>
            </w:pPr>
            <w:r>
              <w:rPr>
                <w:rFonts w:ascii="宋体" w:hAnsi="宋体" w:cs="宋体" w:eastAsia="宋体" w:hint="default"/>
                <w:sz w:val="18"/>
                <w:szCs w:val="18"/>
              </w:rPr>
              <w:t>数字信息技术 有限公司（注</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11,137,414.67</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358" w:hRule="exact"/>
        </w:trPr>
        <w:tc>
          <w:tcPr>
            <w:tcW w:w="1366" w:type="dxa"/>
            <w:tcBorders>
              <w:top w:val="nil" w:sz="6" w:space="0" w:color="auto"/>
              <w:left w:val="single" w:sz="4" w:space="0" w:color="000000"/>
              <w:bottom w:val="single" w:sz="4" w:space="0" w:color="000000"/>
              <w:right w:val="single" w:sz="4" w:space="0" w:color="000000"/>
            </w:tcBorders>
            <w:shd w:val="clear" w:color="auto" w:fill="E1FFFF"/>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66" w:type="dxa"/>
            <w:tcBorders>
              <w:top w:val="single" w:sz="4" w:space="0" w:color="000000"/>
              <w:left w:val="single" w:sz="4" w:space="0" w:color="000000"/>
              <w:bottom w:val="nil" w:sz="6" w:space="0" w:color="auto"/>
              <w:right w:val="single" w:sz="4" w:space="0" w:color="000000"/>
            </w:tcBorders>
            <w:shd w:val="clear" w:color="auto" w:fill="E1FFFF"/>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深圳一卡易科</w:t>
            </w: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6"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技股份有限公</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5,119,265.65</w:t>
            </w: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5,119,265.65</w:t>
            </w:r>
          </w:p>
        </w:tc>
      </w:tr>
      <w:tr>
        <w:trPr>
          <w:trHeight w:val="355" w:hRule="exact"/>
        </w:trPr>
        <w:tc>
          <w:tcPr>
            <w:tcW w:w="1366" w:type="dxa"/>
            <w:tcBorders>
              <w:top w:val="nil" w:sz="6" w:space="0" w:color="auto"/>
              <w:left w:val="single" w:sz="4" w:space="0" w:color="000000"/>
              <w:bottom w:val="single" w:sz="4" w:space="0" w:color="000000"/>
              <w:right w:val="single" w:sz="4" w:space="0" w:color="000000"/>
            </w:tcBorders>
            <w:shd w:val="clear" w:color="auto" w:fill="E1FFFF"/>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11,137,414.67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5,119,265.65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16,256,680.32</w:t>
            </w:r>
          </w:p>
        </w:tc>
      </w:tr>
    </w:tbl>
    <w:p>
      <w:pPr>
        <w:pStyle w:val="BodyText"/>
        <w:spacing w:line="240" w:lineRule="auto" w:before="49"/>
        <w:ind w:right="0"/>
        <w:jc w:val="left"/>
      </w:pPr>
      <w:r>
        <w:rPr/>
        <w:t>商誉所在资产组或资产组组合的相关信息</w:t>
      </w:r>
    </w:p>
    <w:p>
      <w:pPr>
        <w:pStyle w:val="BodyText"/>
        <w:spacing w:line="319" w:lineRule="auto" w:before="117"/>
        <w:ind w:right="1128"/>
        <w:jc w:val="left"/>
      </w:pPr>
      <w:r>
        <w:rPr/>
        <w:t>注</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2010</w:t>
      </w:r>
      <w:r>
        <w:rPr/>
        <w:t>年以人民币</w:t>
      </w:r>
      <w:r>
        <w:rPr>
          <w:rFonts w:ascii="Times New Roman" w:hAnsi="Times New Roman" w:cs="Times New Roman" w:eastAsia="Times New Roman" w:hint="default"/>
        </w:rPr>
        <w:t>26,000,000.00</w:t>
      </w:r>
      <w:r>
        <w:rPr/>
        <w:t>元收购北京东方英卡数字信息技术有限公司（简称</w:t>
      </w:r>
      <w:r>
        <w:rPr>
          <w:rFonts w:ascii="Times New Roman" w:hAnsi="Times New Roman" w:cs="Times New Roman" w:eastAsia="Times New Roman" w:hint="default"/>
        </w:rPr>
        <w:t>“</w:t>
      </w:r>
      <w:r>
        <w:rPr/>
        <w:t>东方英卡</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股权，收购 价格与可辨认净资产公允价值份额的差额人民币</w:t>
      </w:r>
      <w:r>
        <w:rPr>
          <w:rFonts w:ascii="Times New Roman" w:hAnsi="Times New Roman" w:cs="Times New Roman" w:eastAsia="Times New Roman" w:hint="default"/>
        </w:rPr>
        <w:t>11,137,414.67</w:t>
      </w:r>
      <w:r>
        <w:rPr/>
        <w:t>元确认为商誉。 </w:t>
      </w:r>
      <w:r>
        <w:rPr>
          <w:spacing w:val="-1"/>
        </w:rPr>
        <w:t>注</w:t>
      </w: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2015</w:t>
      </w:r>
      <w:r>
        <w:rPr>
          <w:spacing w:val="-1"/>
        </w:rPr>
        <w:t>年以人民币</w:t>
      </w:r>
      <w:r>
        <w:rPr>
          <w:rFonts w:ascii="Times New Roman" w:hAnsi="Times New Roman" w:cs="Times New Roman" w:eastAsia="Times New Roman" w:hint="default"/>
          <w:spacing w:val="-1"/>
        </w:rPr>
        <w:t>136,980,000.00</w:t>
      </w:r>
      <w:r>
        <w:rPr>
          <w:spacing w:val="-1"/>
        </w:rPr>
        <w:t>元收购深圳一卡易科技股份有限公司（简称</w:t>
      </w:r>
      <w:r>
        <w:rPr>
          <w:rFonts w:ascii="Times New Roman" w:hAnsi="Times New Roman" w:cs="Times New Roman" w:eastAsia="Times New Roman" w:hint="default"/>
          <w:spacing w:val="-1"/>
        </w:rPr>
        <w:t>“</w:t>
      </w:r>
      <w:r>
        <w:rPr>
          <w:spacing w:val="-1"/>
        </w:rPr>
        <w:t>深圳一卡易</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45.66%</w:t>
      </w:r>
      <w:r>
        <w:rPr>
          <w:spacing w:val="-1"/>
        </w:rPr>
        <w:t>股权，收购价</w:t>
      </w:r>
    </w:p>
    <w:p>
      <w:pPr>
        <w:pStyle w:val="BodyText"/>
        <w:spacing w:line="328" w:lineRule="auto"/>
        <w:ind w:right="1123"/>
        <w:jc w:val="left"/>
      </w:pPr>
      <w:r>
        <w:rPr/>
        <w:t>格与可辨认净资产公允价值份额的差额人民币</w:t>
      </w:r>
      <w:r>
        <w:rPr>
          <w:rFonts w:ascii="Times New Roman" w:hAnsi="Times New Roman" w:cs="Times New Roman" w:eastAsia="Times New Roman" w:hint="default"/>
        </w:rPr>
        <w:t>70,835,809.00</w:t>
      </w:r>
      <w:r>
        <w:rPr/>
        <w:t>元确认为商誉。 注3：公司根据以往对东方英卡构成的整体资产组进行测试的结果，已于2012年度对收购东方英卡产生的商誉全额计提减值</w:t>
      </w:r>
      <w:r>
        <w:rPr>
          <w:spacing w:val="-85"/>
        </w:rPr>
        <w:t> </w:t>
      </w:r>
      <w:r>
        <w:rPr>
          <w:spacing w:val="-85"/>
        </w:rPr>
      </w:r>
      <w:r>
        <w:rPr/>
        <w:t>准备，公司预计未来东方英卡仍持续亏损，故已计提的商誉减值准备在本期不存在价值回升情况。</w:t>
      </w:r>
    </w:p>
    <w:p>
      <w:pPr>
        <w:pStyle w:val="BodyText"/>
        <w:spacing w:line="338" w:lineRule="auto" w:before="50"/>
        <w:ind w:right="0"/>
        <w:jc w:val="left"/>
      </w:pPr>
      <w:r>
        <w:rPr>
          <w:spacing w:val="-2"/>
        </w:rPr>
        <w:t>说明商誉减值测试过程、关键参数（如预计未来现金流量现值时的预测期增长率、稳定期增长率、利润率、折现率、预测期</w:t>
      </w:r>
      <w:r>
        <w:rPr>
          <w:spacing w:val="-69"/>
        </w:rPr>
        <w:t> </w:t>
      </w:r>
      <w:r>
        <w:rPr>
          <w:spacing w:val="-69"/>
        </w:rPr>
      </w:r>
      <w:r>
        <w:rPr/>
        <w:t>等）及商誉减值损失的确认方法： </w:t>
      </w:r>
      <w:r>
        <w:rPr>
          <w:spacing w:val="-2"/>
        </w:rPr>
        <w:t>公司对各相关资产组进行减值测试，根据预期未来经营性净现金流量现值确定可收回金额，与包含商誉的整体资产组账面价</w:t>
      </w:r>
    </w:p>
    <w:p>
      <w:pPr>
        <w:pStyle w:val="BodyText"/>
        <w:spacing w:line="240" w:lineRule="auto" w:before="2"/>
        <w:ind w:right="0"/>
        <w:jc w:val="left"/>
      </w:pPr>
      <w:r>
        <w:rPr/>
        <w:t>值比较，低于账面价值的部分计算其在合并报表中归属于母公司的比例，确认商誉减值损失。</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0"/>
        <w:jc w:val="left"/>
      </w:pPr>
      <w:r>
        <w:rPr/>
        <w:t>（3）商誉减值测试：</w:t>
      </w:r>
    </w:p>
    <w:p>
      <w:pPr>
        <w:pStyle w:val="BodyText"/>
        <w:spacing w:line="240" w:lineRule="auto" w:before="115"/>
        <w:ind w:right="0"/>
        <w:jc w:val="left"/>
      </w:pPr>
      <w:r>
        <w:rPr/>
        <w:t>①深圳一卡易科技股份有限公司商誉减值测试过程：</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6938"/>
        <w:gridCol w:w="2755"/>
      </w:tblGrid>
      <w:tr>
        <w:trPr>
          <w:trHeight w:val="427" w:hRule="exact"/>
        </w:trPr>
        <w:tc>
          <w:tcPr>
            <w:tcW w:w="6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r>
      <w:tr>
        <w:trPr>
          <w:trHeight w:val="425" w:hRule="exact"/>
        </w:trPr>
        <w:tc>
          <w:tcPr>
            <w:tcW w:w="6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不含商誉的资产组账面价值</w:t>
            </w:r>
          </w:p>
        </w:tc>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95,074,149.47</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07" w:type="dxa"/>
        <w:tblLayout w:type="fixed"/>
        <w:tblCellMar>
          <w:top w:w="0" w:type="dxa"/>
          <w:left w:w="0" w:type="dxa"/>
          <w:bottom w:w="0" w:type="dxa"/>
          <w:right w:w="0" w:type="dxa"/>
        </w:tblCellMar>
        <w:tblLook w:val="01E0"/>
      </w:tblPr>
      <w:tblGrid>
        <w:gridCol w:w="6938"/>
        <w:gridCol w:w="2755"/>
      </w:tblGrid>
      <w:tr>
        <w:trPr>
          <w:trHeight w:val="427" w:hRule="exact"/>
        </w:trPr>
        <w:tc>
          <w:tcPr>
            <w:tcW w:w="6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包含整体商誉的资产组账面价值</w:t>
            </w:r>
          </w:p>
        </w:tc>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250,211,707.51</w:t>
            </w:r>
          </w:p>
        </w:tc>
      </w:tr>
      <w:tr>
        <w:trPr>
          <w:trHeight w:val="427" w:hRule="exact"/>
        </w:trPr>
        <w:tc>
          <w:tcPr>
            <w:tcW w:w="6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未来可收回金额</w:t>
            </w:r>
          </w:p>
        </w:tc>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239,000,000.00</w:t>
            </w:r>
          </w:p>
        </w:tc>
      </w:tr>
      <w:tr>
        <w:trPr>
          <w:trHeight w:val="427" w:hRule="exact"/>
        </w:trPr>
        <w:tc>
          <w:tcPr>
            <w:tcW w:w="6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2"/>
                <w:sz w:val="18"/>
              </w:rPr>
              <w:t>11,211,707.51</w:t>
            </w:r>
          </w:p>
        </w:tc>
      </w:tr>
      <w:tr>
        <w:trPr>
          <w:trHeight w:val="427" w:hRule="exact"/>
        </w:trPr>
        <w:tc>
          <w:tcPr>
            <w:tcW w:w="6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归属于母公司的商誉减值金额</w:t>
            </w:r>
          </w:p>
        </w:tc>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5,119,265.65</w:t>
            </w:r>
          </w:p>
        </w:tc>
      </w:tr>
    </w:tbl>
    <w:p>
      <w:pPr>
        <w:spacing w:line="240" w:lineRule="auto" w:before="4"/>
        <w:rPr>
          <w:rFonts w:ascii="宋体" w:hAnsi="宋体" w:cs="宋体" w:eastAsia="宋体" w:hint="default"/>
          <w:sz w:val="27"/>
          <w:szCs w:val="27"/>
        </w:rPr>
      </w:pPr>
    </w:p>
    <w:p>
      <w:pPr>
        <w:pStyle w:val="BodyText"/>
        <w:spacing w:line="316" w:lineRule="auto" w:before="44"/>
        <w:ind w:right="0"/>
        <w:jc w:val="left"/>
      </w:pPr>
      <w:r>
        <w:rPr>
          <w:spacing w:val="-2"/>
        </w:rPr>
        <w:t>②进行商誉减值测试时，公司将相关资产组（含商誉）的账面价值与其未来可收回金额进行比较，如果可收回金额低于账面</w:t>
      </w:r>
      <w:r>
        <w:rPr>
          <w:spacing w:val="-66"/>
        </w:rPr>
        <w:t> </w:t>
      </w:r>
      <w:r>
        <w:rPr>
          <w:spacing w:val="-66"/>
        </w:rPr>
      </w:r>
      <w:r>
        <w:rPr/>
        <w:t>价值，相关差额计入当期损益。公司商誉分摊于</w:t>
      </w:r>
      <w:r>
        <w:rPr>
          <w:rFonts w:ascii="Times New Roman" w:hAnsi="Times New Roman" w:cs="Times New Roman" w:eastAsia="Times New Roman" w:hint="default"/>
        </w:rPr>
        <w:t>2018</w:t>
      </w:r>
      <w:r>
        <w:rPr/>
        <w:t>年度未发生变化。</w:t>
      </w:r>
    </w:p>
    <w:p>
      <w:pPr>
        <w:spacing w:line="240" w:lineRule="auto" w:before="0"/>
        <w:rPr>
          <w:rFonts w:ascii="宋体" w:hAnsi="宋体" w:cs="宋体" w:eastAsia="宋体" w:hint="default"/>
          <w:sz w:val="18"/>
          <w:szCs w:val="18"/>
        </w:rPr>
      </w:pPr>
    </w:p>
    <w:p>
      <w:pPr>
        <w:pStyle w:val="BodyText"/>
        <w:spacing w:line="316" w:lineRule="auto" w:before="154"/>
        <w:ind w:right="0"/>
        <w:jc w:val="left"/>
      </w:pPr>
      <w:r>
        <w:rPr>
          <w:spacing w:val="-2"/>
        </w:rPr>
        <w:t>③进行商誉减值测试时，资产组的预计可收回金额依据管理层批准的五年期预算，采用现金流量预测的方法计算。公司管理</w:t>
      </w:r>
      <w:r>
        <w:rPr>
          <w:spacing w:val="-65"/>
        </w:rPr>
        <w:t> </w:t>
      </w:r>
      <w:r>
        <w:rPr>
          <w:spacing w:val="-65"/>
        </w:rPr>
      </w:r>
      <w:r>
        <w:rPr/>
        <w:t>层根据历史经验及对市场发展的预测确定增长率和毛利率，并采用能够反映资产组的特定风险的税前利率为折现率。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4248"/>
        <w:gridCol w:w="5446"/>
      </w:tblGrid>
      <w:tr>
        <w:trPr>
          <w:trHeight w:val="427" w:hRule="exact"/>
        </w:trPr>
        <w:tc>
          <w:tcPr>
            <w:tcW w:w="4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关键参数</w:t>
            </w:r>
          </w:p>
        </w:tc>
        <w:tc>
          <w:tcPr>
            <w:tcW w:w="5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深圳一卡易科技股份有限公司</w:t>
            </w:r>
          </w:p>
        </w:tc>
      </w:tr>
      <w:tr>
        <w:trPr>
          <w:trHeight w:val="427" w:hRule="exact"/>
        </w:trPr>
        <w:tc>
          <w:tcPr>
            <w:tcW w:w="4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增长率</w:t>
            </w:r>
          </w:p>
        </w:tc>
        <w:tc>
          <w:tcPr>
            <w:tcW w:w="5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宋体" w:hAnsi="宋体" w:cs="宋体" w:eastAsia="宋体" w:hint="default"/>
                <w:sz w:val="18"/>
                <w:szCs w:val="18"/>
              </w:rPr>
              <w:t>管理层根据历史经验及对市场发展的预测确定预期增长率</w:t>
            </w:r>
          </w:p>
        </w:tc>
      </w:tr>
      <w:tr>
        <w:trPr>
          <w:trHeight w:val="427" w:hRule="exact"/>
        </w:trPr>
        <w:tc>
          <w:tcPr>
            <w:tcW w:w="4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5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宋体" w:hAnsi="宋体" w:cs="宋体" w:eastAsia="宋体" w:hint="default"/>
                <w:sz w:val="18"/>
                <w:szCs w:val="18"/>
              </w:rPr>
              <w:t>管理层根据历史经验及对市场发展的预测确定预期毛利率</w:t>
            </w:r>
          </w:p>
        </w:tc>
      </w:tr>
      <w:tr>
        <w:trPr>
          <w:trHeight w:val="427" w:hRule="exact"/>
        </w:trPr>
        <w:tc>
          <w:tcPr>
            <w:tcW w:w="4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5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13.24%</w:t>
            </w:r>
          </w:p>
        </w:tc>
      </w:tr>
    </w:tbl>
    <w:p>
      <w:pPr>
        <w:spacing w:line="240" w:lineRule="auto" w:before="4"/>
        <w:rPr>
          <w:rFonts w:ascii="宋体" w:hAnsi="宋体" w:cs="宋体" w:eastAsia="宋体" w:hint="default"/>
          <w:sz w:val="27"/>
          <w:szCs w:val="27"/>
        </w:rPr>
      </w:pPr>
    </w:p>
    <w:p>
      <w:pPr>
        <w:pStyle w:val="BodyText"/>
        <w:spacing w:line="300" w:lineRule="auto" w:before="44"/>
        <w:ind w:right="1132"/>
        <w:jc w:val="both"/>
      </w:pPr>
      <w:r>
        <w:rPr>
          <w:spacing w:val="-2"/>
        </w:rPr>
        <w:t>④公司聘请上海众华资产评估有限公司出具沪众评报字（</w:t>
      </w:r>
      <w:r>
        <w:rPr>
          <w:rFonts w:ascii="Times New Roman" w:hAnsi="Times New Roman" w:cs="Times New Roman" w:eastAsia="Times New Roman" w:hint="default"/>
          <w:spacing w:val="-2"/>
        </w:rPr>
        <w:t>2019</w:t>
      </w:r>
      <w:r>
        <w:rPr>
          <w:spacing w:val="-2"/>
        </w:rPr>
        <w:t>）第0208号评估报告对深圳一卡易于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日的商誉进</w:t>
      </w:r>
      <w:r>
        <w:rPr>
          <w:spacing w:val="-56"/>
        </w:rPr>
        <w:t> </w:t>
      </w:r>
      <w:r>
        <w:rPr/>
        <w:t>行减值测试。根据评估结果，包含商誉的资产组可收回金额为人民币</w:t>
      </w:r>
      <w:r>
        <w:rPr>
          <w:rFonts w:ascii="Times New Roman" w:hAnsi="Times New Roman" w:cs="Times New Roman" w:eastAsia="Times New Roman" w:hint="default"/>
        </w:rPr>
        <w:t>239,000,000.00</w:t>
      </w:r>
      <w:r>
        <w:rPr/>
        <w:t>元，公司对深圳一卡易商誉计提减值准 备人民币</w:t>
      </w:r>
      <w:r>
        <w:rPr>
          <w:rFonts w:ascii="Times New Roman" w:hAnsi="Times New Roman" w:cs="Times New Roman" w:eastAsia="Times New Roman" w:hint="default"/>
        </w:rPr>
        <w:t>5,119,265.65</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360" w:lineRule="auto"/>
        <w:ind w:right="8773"/>
        <w:jc w:val="left"/>
      </w:pPr>
      <w:r>
        <w:rPr/>
        <w:t>商誉减值测试的影响 其他说明</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1,299,407.49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1,853,398.07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1,043,164.24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2,109,641.32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57,478.07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591,843.89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57,613.74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591,708.22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1,356,885.56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2,445,241.96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1,100,777.98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2,701,349.54</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3830"/>
        <w:gridCol w:w="3828"/>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362,556.61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90,639.16</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21,343,347.17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2,356,139.20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27,649,215.70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3,416,033.86</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1,693,776.25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171,722.03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2,559,821.25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260,097.66</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7,104,314.75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710,431.48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8,606,207.56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860,620.76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38,747,645.73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4,098,913.47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40,571,593.56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4,766,770.68</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0" w:type="dxa"/>
            <w:vMerge/>
            <w:tcBorders>
              <w:left w:val="single" w:sz="4" w:space="0" w:color="000000"/>
              <w:bottom w:val="single" w:sz="4" w:space="0" w:color="000000"/>
              <w:right w:val="single" w:sz="4" w:space="0" w:color="000000"/>
            </w:tcBorders>
            <w:shd w:val="clear" w:color="auto" w:fill="D3D3D3"/>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355" w:hRule="exact"/>
        </w:trPr>
        <w:tc>
          <w:tcPr>
            <w:tcW w:w="19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tc>
        <w:tc>
          <w:tcPr>
            <w:tcW w:w="1918"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并形成的公允价值调</w:t>
            </w:r>
          </w:p>
        </w:tc>
        <w:tc>
          <w:tcPr>
            <w:tcW w:w="1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93,100,000.00</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13,965,000.00</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110,500,000.00</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16,575,000.00</w:t>
            </w:r>
          </w:p>
        </w:tc>
      </w:tr>
      <w:tr>
        <w:trPr>
          <w:trHeight w:val="355" w:hRule="exact"/>
        </w:trPr>
        <w:tc>
          <w:tcPr>
            <w:tcW w:w="19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整差异</w:t>
            </w:r>
          </w:p>
        </w:tc>
        <w:tc>
          <w:tcPr>
            <w:tcW w:w="1918"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应纳税补贴收入</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11,058,478.99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1,105,847.90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13,785,195.75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1,378,519.58</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固定资产折旧差异</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9,451,274.02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945,127.40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7,159,208.74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715,920.87</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113,609,753.01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16,015,975.30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131,444,404.49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18,669,440.45</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321" w:right="144"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230" w:right="142" w:hanging="92"/>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321"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230" w:right="143" w:hanging="92"/>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4,098,913.47</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4,766,770.68</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16,015,975.30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18,669,440.45</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37,992,130.48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31,913,809.13</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2,508,727.27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2,001,412.86</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27,998,988.00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27,998,988.00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68,499,845.75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61,914,209.99</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88"/>
        <w:gridCol w:w="2395"/>
        <w:gridCol w:w="2393"/>
        <w:gridCol w:w="2390"/>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101,189.77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101,189.77</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19,091,122.21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19,091,122.21</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7,583,629.83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5,906,398.43</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2023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2,932,491.58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8,283,697.09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6,815,098.72</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37,992,130.48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31,913,809.13</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83,812,641.05</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83,812,641.05</w:t>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179,104,736.62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96,091,087.92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179,104,736.62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96,091,087.92</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175,651,706.21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92,808,083.61</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3,453,030.41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3,283,004.31</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179,104,736.62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96,091,087.92</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预收特种物联网业务款项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16,892,025.00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33,821,825.00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预收其他货款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26,546,811.07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39,944,946.63</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43,438,836.07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73,766,771.63</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2;width:4774;height:399" coordorigin="12,12" coordsize="4774,399">
              <v:shape style="position:absolute;left:12;top:12;width:4774;height:399" coordorigin="12,12" coordsize="4774,399" path="m12,12l4786,12,4786,410,12,410,12,12xe" filled="true" fillcolor="#d3d3d3" stroked="false">
                <v:path arrowok="t"/>
                <v:fill type="solid"/>
              </v:shape>
            </v:group>
            <v:group style="position:absolute;left:4790;top:12;width:4784;height:399" coordorigin="4790,12" coordsize="4784,399">
              <v:shape style="position:absolute;left:4790;top:12;width:4784;height:399" coordorigin="4790,12" coordsize="4784,399" path="m4790,12l9574,12,9574,410,4790,410,4790,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788;top:5;width:2;height:404" coordorigin="4788,5" coordsize="2,404">
              <v:shape style="position:absolute;left:4788;top:5;width:2;height:404" coordorigin="4788,5" coordsize="0,404" path="m4788,5l4788,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shape style="position:absolute;left:2215;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4,057,166.31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173,494,393.54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173,365,525.52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4,186,034.33</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17"/>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61,325.05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11,053,439.73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11,025,709.99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89,054.79</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1,227,145.00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1,227,145.00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4,118,491.36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185,774,978.27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185,618,380.51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4,275,089.12</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4,013,704.47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154,056,687.06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153,928,554.94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4,141,836.59</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3,556,915.07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3,556,915.07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6,515,079.31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6,515,079.31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5,916,761.20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5,916,761.20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257,527.22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257,527.22</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0"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340,790.89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340,790.89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8,835,694.20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8,835,694.20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43,461.84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530,017.90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529,282.00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44,197.74</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4,057,166.31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173,494,393.54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173,365,525.52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4,186,034.33</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61,325.05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10,718,884.12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10,691,154.38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89,054.79</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334,555.61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334,555.61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61,325.05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11,053,439.73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11,025,709.99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89,054.79</w:t>
            </w:r>
          </w:p>
        </w:tc>
      </w:tr>
    </w:tbl>
    <w:p>
      <w:pPr>
        <w:pStyle w:val="BodyText"/>
        <w:spacing w:line="357" w:lineRule="auto" w:before="49"/>
        <w:ind w:right="5353"/>
        <w:jc w:val="left"/>
      </w:pPr>
      <w:r>
        <w:rPr/>
        <w:t>其他说明：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日，应付职工薪酬余额中无属于拖欠性质的款项。</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3,407,908.64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6,492,368.79</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1,468,230.69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561,886.14</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428,787.73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1,095,722.90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268,084.83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462,533.89</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191,489.17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330,381.36</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302,912.07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622,319.19</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132,372.20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80,943.74</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124,063.31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116,285.00</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6,323,848.64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9,762,441.01</w:t>
            </w:r>
          </w:p>
        </w:tc>
      </w:tr>
    </w:tbl>
    <w:p>
      <w:pPr>
        <w:pStyle w:val="BodyText"/>
        <w:spacing w:line="240" w:lineRule="auto" w:before="46"/>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16,939,453.26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17,028,090.73</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16,939,453.26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17,028,090.73</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重要的已逾期未支付的利息情况：</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6"/>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2"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应付费用款项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12,988,556.39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12,511,233.44</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3,689,500.00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3,676,100.00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应付暂收款项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245,928.87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804,574.79</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15,468.00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36,182.50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16,939,453.26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17,028,090.73</w:t>
            </w:r>
          </w:p>
        </w:tc>
      </w:tr>
    </w:tbl>
    <w:p>
      <w:pPr>
        <w:pStyle w:val="BodyText"/>
        <w:spacing w:line="240" w:lineRule="auto" w:before="49"/>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2"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8,606,207.56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3,600,100.00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认购非公开发行股份押金</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12,206,307.56</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6"/>
        <w:ind w:right="0"/>
        <w:jc w:val="left"/>
      </w:pPr>
      <w:r>
        <w:rPr/>
        <w:t>短期应付债券的增减变动：</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797"/>
        <w:gridCol w:w="799"/>
        <w:gridCol w:w="797"/>
        <w:gridCol w:w="799"/>
        <w:gridCol w:w="797"/>
        <w:gridCol w:w="799"/>
        <w:gridCol w:w="797"/>
        <w:gridCol w:w="799"/>
        <w:gridCol w:w="797"/>
        <w:gridCol w:w="799"/>
        <w:gridCol w:w="797"/>
        <w:gridCol w:w="799"/>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2" w:right="125"/>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1" w:right="122"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pStyle w:val="BodyText"/>
        <w:spacing w:line="240" w:lineRule="auto" w:before="46"/>
        <w:ind w:right="0"/>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593"/>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5"/>
        <w:rPr>
          <w:rFonts w:ascii="宋体" w:hAnsi="宋体" w:cs="宋体" w:eastAsia="宋体" w:hint="default"/>
          <w:sz w:val="24"/>
          <w:szCs w:val="24"/>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期末发行在外的优先股、永续债等其他金融工具基本情况</w:t>
      </w:r>
    </w:p>
    <w:p>
      <w:pPr>
        <w:spacing w:after="0" w:line="240" w:lineRule="auto"/>
        <w:jc w:val="left"/>
        <w:sectPr>
          <w:footerReference w:type="default" r:id="rId30"/>
          <w:pgSz w:w="11910" w:h="16840"/>
          <w:pgMar w:footer="1017" w:header="905" w:top="1100" w:bottom="1200" w:left="1020" w:right="0"/>
          <w:pgNumType w:start="13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期末发行在外的优先股、永续债等金融工具变动情况表</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63"/>
        <w:gridCol w:w="1068"/>
        <w:gridCol w:w="1063"/>
        <w:gridCol w:w="1063"/>
        <w:gridCol w:w="1063"/>
        <w:gridCol w:w="1061"/>
        <w:gridCol w:w="1063"/>
        <w:gridCol w:w="1061"/>
        <w:gridCol w:w="1063"/>
      </w:tblGrid>
      <w:tr>
        <w:trPr>
          <w:trHeight w:val="401"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65" w:right="166"/>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7513"/>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6"/>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单位：人民币元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6"/>
        <w:ind w:right="0"/>
        <w:jc w:val="left"/>
      </w:pPr>
      <w:r>
        <w:rPr/>
        <w:t>计划资产：</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设定受益计划净负债（净资产）</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49"/>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7"/>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88"/>
        <w:gridCol w:w="2395"/>
        <w:gridCol w:w="2393"/>
        <w:gridCol w:w="2390"/>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2,559,821.25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866,045.00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1,693,776.25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3" w:right="218"/>
              <w:jc w:val="left"/>
              <w:rPr>
                <w:rFonts w:ascii="宋体" w:hAnsi="宋体" w:cs="宋体" w:eastAsia="宋体" w:hint="default"/>
                <w:sz w:val="18"/>
                <w:szCs w:val="18"/>
              </w:rPr>
            </w:pPr>
            <w:r>
              <w:rPr>
                <w:rFonts w:ascii="宋体" w:hAnsi="宋体" w:cs="宋体" w:eastAsia="宋体" w:hint="default"/>
                <w:sz w:val="18"/>
                <w:szCs w:val="18"/>
              </w:rPr>
              <w:t>项目补助专项资 金</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2,559,821.25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866,045.00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1,693,776.25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6"/>
        <w:ind w:right="0"/>
        <w:jc w:val="left"/>
      </w:pPr>
      <w:r>
        <w:rPr/>
        <w:t>涉及政府补助的项目：</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61"/>
        <w:gridCol w:w="1066"/>
        <w:gridCol w:w="1063"/>
        <w:gridCol w:w="1063"/>
        <w:gridCol w:w="1063"/>
        <w:gridCol w:w="1063"/>
        <w:gridCol w:w="1063"/>
        <w:gridCol w:w="1063"/>
        <w:gridCol w:w="1063"/>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5" w:right="165"/>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5" w:right="166"/>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5" w:right="167"/>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5" w:right="165"/>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39" w:right="143"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354"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促进制造</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业与互联</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228"/>
              <w:jc w:val="left"/>
              <w:rPr>
                <w:rFonts w:ascii="宋体" w:hAnsi="宋体" w:cs="宋体" w:eastAsia="宋体" w:hint="default"/>
                <w:sz w:val="18"/>
                <w:szCs w:val="18"/>
              </w:rPr>
            </w:pPr>
            <w:r>
              <w:rPr>
                <w:rFonts w:ascii="宋体" w:hAnsi="宋体" w:cs="宋体" w:eastAsia="宋体" w:hint="default"/>
                <w:sz w:val="18"/>
                <w:szCs w:val="18"/>
              </w:rPr>
              <w:t>网融合发 展的大数</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400,000.00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23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30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据项目补</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助资金</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工业转型</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升级智能</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100" w:right="101"/>
              <w:jc w:val="both"/>
              <w:rPr>
                <w:rFonts w:ascii="宋体" w:hAnsi="宋体" w:cs="宋体" w:eastAsia="宋体" w:hint="default"/>
                <w:sz w:val="18"/>
                <w:szCs w:val="18"/>
              </w:rPr>
            </w:pPr>
            <w:r>
              <w:rPr>
                <w:rFonts w:ascii="宋体" w:hAnsi="宋体" w:cs="宋体" w:eastAsia="宋体" w:hint="default"/>
                <w:spacing w:val="-11"/>
                <w:sz w:val="18"/>
                <w:szCs w:val="18"/>
              </w:rPr>
              <w:t>制造和”互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联网</w:t>
            </w:r>
            <w:r>
              <w:rPr>
                <w:rFonts w:ascii="Times New Roman" w:hAnsi="Times New Roman" w:cs="Times New Roman" w:eastAsia="Times New Roman" w:hint="default"/>
                <w:sz w:val="18"/>
                <w:szCs w:val="18"/>
              </w:rPr>
              <w:t>+</w:t>
            </w:r>
            <w:r>
              <w:rPr>
                <w:rFonts w:ascii="宋体" w:hAnsi="宋体" w:cs="宋体" w:eastAsia="宋体" w:hint="default"/>
                <w:sz w:val="18"/>
                <w:szCs w:val="18"/>
              </w:rPr>
              <w:t>“行 动支撑项</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6" w:right="0"/>
              <w:jc w:val="center"/>
              <w:rPr>
                <w:rFonts w:ascii="Times New Roman" w:hAnsi="Times New Roman" w:cs="Times New Roman" w:eastAsia="Times New Roman" w:hint="default"/>
                <w:sz w:val="18"/>
                <w:szCs w:val="18"/>
              </w:rPr>
            </w:pPr>
            <w:r>
              <w:rPr>
                <w:rFonts w:ascii="Times New Roman"/>
                <w:sz w:val="18"/>
              </w:rPr>
              <w:t>238,000.00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 w:right="0"/>
              <w:jc w:val="center"/>
              <w:rPr>
                <w:rFonts w:ascii="Times New Roman" w:hAnsi="Times New Roman" w:cs="Times New Roman" w:eastAsia="Times New Roman" w:hint="default"/>
                <w:sz w:val="18"/>
                <w:szCs w:val="18"/>
              </w:rPr>
            </w:pPr>
            <w:r>
              <w:rPr>
                <w:rFonts w:ascii="Times New Roman"/>
                <w:sz w:val="18"/>
              </w:rPr>
              <w:t>238,000.00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目补助资</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5"/>
              <w:ind w:left="100" w:right="228"/>
              <w:jc w:val="left"/>
              <w:rPr>
                <w:rFonts w:ascii="宋体" w:hAnsi="宋体" w:cs="宋体" w:eastAsia="宋体" w:hint="default"/>
                <w:sz w:val="18"/>
                <w:szCs w:val="18"/>
              </w:rPr>
            </w:pPr>
            <w:r>
              <w:rPr>
                <w:rFonts w:ascii="宋体" w:hAnsi="宋体" w:cs="宋体" w:eastAsia="宋体" w:hint="default"/>
                <w:sz w:val="18"/>
                <w:szCs w:val="18"/>
              </w:rPr>
              <w:t>云会员移 动互联网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164,621.25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70,845.00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93,776.25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0" w:right="230"/>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6"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061"/>
        <w:gridCol w:w="1066"/>
        <w:gridCol w:w="1063"/>
        <w:gridCol w:w="1063"/>
        <w:gridCol w:w="1063"/>
        <w:gridCol w:w="1063"/>
        <w:gridCol w:w="1063"/>
        <w:gridCol w:w="1063"/>
        <w:gridCol w:w="1063"/>
      </w:tblGrid>
      <w:tr>
        <w:trPr>
          <w:trHeight w:val="98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228"/>
              <w:jc w:val="both"/>
              <w:rPr>
                <w:rFonts w:ascii="宋体" w:hAnsi="宋体" w:cs="宋体" w:eastAsia="宋体" w:hint="default"/>
                <w:sz w:val="18"/>
                <w:szCs w:val="18"/>
              </w:rPr>
            </w:pPr>
            <w:r>
              <w:rPr>
                <w:rFonts w:ascii="宋体" w:hAnsi="宋体" w:cs="宋体" w:eastAsia="宋体" w:hint="default"/>
                <w:sz w:val="18"/>
                <w:szCs w:val="18"/>
              </w:rPr>
              <w:t>营销服务 平台补助 资金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互联网支</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228"/>
              <w:jc w:val="left"/>
              <w:rPr>
                <w:rFonts w:ascii="宋体" w:hAnsi="宋体" w:cs="宋体" w:eastAsia="宋体" w:hint="default"/>
                <w:sz w:val="18"/>
                <w:szCs w:val="18"/>
              </w:rPr>
            </w:pPr>
            <w:r>
              <w:rPr>
                <w:rFonts w:ascii="宋体" w:hAnsi="宋体" w:cs="宋体" w:eastAsia="宋体" w:hint="default"/>
                <w:sz w:val="18"/>
                <w:szCs w:val="18"/>
              </w:rPr>
              <w:t>付终端产 品研发及</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157,200.00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157,200.00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产业化补</w:t>
            </w:r>
          </w:p>
        </w:tc>
        <w:tc>
          <w:tcPr>
            <w:tcW w:w="1066"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助资金</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2,559,821.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866,045.00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1,693,776.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hanging="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193"/>
        <w:gridCol w:w="1198"/>
        <w:gridCol w:w="1198"/>
        <w:gridCol w:w="1195"/>
        <w:gridCol w:w="1195"/>
        <w:gridCol w:w="1198"/>
        <w:gridCol w:w="1195"/>
        <w:gridCol w:w="1195"/>
      </w:tblGrid>
      <w:tr>
        <w:trPr>
          <w:trHeight w:val="403" w:hRule="exact"/>
        </w:trPr>
        <w:tc>
          <w:tcPr>
            <w:tcW w:w="1193"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3"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4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712,028,800.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712,028,800.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348" w:lineRule="auto" w:before="46"/>
        <w:ind w:right="2473"/>
        <w:jc w:val="left"/>
      </w:pPr>
      <w:r>
        <w:rPr/>
        <w:t>其他说明： 公司控股股东钱京先生将其所持有的部分公司股票进行质押。截止期末，累计质押股数为</w:t>
      </w:r>
      <w:r>
        <w:rPr>
          <w:rFonts w:ascii="Times New Roman" w:hAnsi="Times New Roman" w:cs="Times New Roman" w:eastAsia="Times New Roman" w:hint="default"/>
        </w:rPr>
        <w:t>143,752,899</w:t>
      </w:r>
      <w:r>
        <w:rPr/>
        <w:t>股。 质押情况如下：</w:t>
      </w:r>
    </w:p>
    <w:p>
      <w:pPr>
        <w:spacing w:line="240" w:lineRule="auto" w:before="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38"/>
        <w:gridCol w:w="1375"/>
        <w:gridCol w:w="1375"/>
        <w:gridCol w:w="1378"/>
        <w:gridCol w:w="1378"/>
        <w:gridCol w:w="1378"/>
        <w:gridCol w:w="1582"/>
      </w:tblGrid>
      <w:tr>
        <w:trPr>
          <w:trHeight w:val="427"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质押股数</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质押开始日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质押到期日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质权人</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占股</w:t>
            </w:r>
            <w:r>
              <w:rPr>
                <w:rFonts w:ascii="MS PGothic" w:hAnsi="MS PGothic" w:cs="MS PGothic" w:eastAsia="MS PGothic" w:hint="default"/>
                <w:sz w:val="18"/>
                <w:szCs w:val="18"/>
              </w:rPr>
              <w:t>・</w:t>
            </w:r>
            <w:r>
              <w:rPr>
                <w:rFonts w:ascii="宋体" w:hAnsi="宋体" w:cs="宋体" w:eastAsia="宋体" w:hint="default"/>
                <w:sz w:val="18"/>
                <w:szCs w:val="18"/>
              </w:rPr>
              <w:t>{比例</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用途</w:t>
            </w:r>
          </w:p>
        </w:tc>
      </w:tr>
      <w:tr>
        <w:trPr>
          <w:trHeight w:val="427"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50,224,000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08</w:t>
            </w:r>
            <w:r>
              <w:rPr>
                <w:rFonts w:ascii="宋体" w:hAnsi="宋体" w:cs="宋体" w:eastAsia="宋体" w:hint="default"/>
                <w:spacing w:val="-1"/>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06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国家开发银行</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7.05%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增信担保（注1）</w:t>
            </w:r>
          </w:p>
        </w:tc>
      </w:tr>
      <w:tr>
        <w:trPr>
          <w:trHeight w:val="73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52,200,000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08</w:t>
            </w:r>
            <w:r>
              <w:rPr>
                <w:rFonts w:ascii="宋体" w:hAnsi="宋体" w:cs="宋体" w:eastAsia="宋体" w:hint="default"/>
                <w:spacing w:val="-1"/>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98"/>
              <w:jc w:val="left"/>
              <w:rPr>
                <w:rFonts w:ascii="宋体" w:hAnsi="宋体" w:cs="宋体" w:eastAsia="宋体" w:hint="default"/>
                <w:sz w:val="18"/>
                <w:szCs w:val="18"/>
              </w:rPr>
            </w:pPr>
            <w:r>
              <w:rPr>
                <w:rFonts w:ascii="宋体" w:hAnsi="宋体" w:cs="宋体" w:eastAsia="宋体" w:hint="default"/>
                <w:sz w:val="18"/>
                <w:szCs w:val="18"/>
              </w:rPr>
              <w:t>海通证券股份有 限公司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7.33%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质押式回购</w:t>
            </w:r>
          </w:p>
        </w:tc>
      </w:tr>
      <w:tr>
        <w:trPr>
          <w:trHeight w:val="73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9,000,000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06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08</w:t>
            </w:r>
            <w:r>
              <w:rPr>
                <w:rFonts w:ascii="宋体" w:hAnsi="宋体" w:cs="宋体" w:eastAsia="宋体" w:hint="default"/>
                <w:spacing w:val="-1"/>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2" w:right="98"/>
              <w:jc w:val="left"/>
              <w:rPr>
                <w:rFonts w:ascii="宋体" w:hAnsi="宋体" w:cs="宋体" w:eastAsia="宋体" w:hint="default"/>
                <w:sz w:val="18"/>
                <w:szCs w:val="18"/>
              </w:rPr>
            </w:pPr>
            <w:r>
              <w:rPr>
                <w:rFonts w:ascii="宋体" w:hAnsi="宋体" w:cs="宋体" w:eastAsia="宋体" w:hint="default"/>
                <w:sz w:val="18"/>
                <w:szCs w:val="18"/>
              </w:rPr>
              <w:t>海通证券股份有 限公司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质押式回购</w:t>
            </w:r>
          </w:p>
        </w:tc>
      </w:tr>
      <w:tr>
        <w:trPr>
          <w:trHeight w:val="739"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钱京</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32,328,899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04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98"/>
              <w:jc w:val="left"/>
              <w:rPr>
                <w:rFonts w:ascii="宋体" w:hAnsi="宋体" w:cs="宋体" w:eastAsia="宋体" w:hint="default"/>
                <w:sz w:val="18"/>
                <w:szCs w:val="18"/>
              </w:rPr>
            </w:pPr>
            <w:r>
              <w:rPr>
                <w:rFonts w:ascii="宋体" w:hAnsi="宋体" w:cs="宋体" w:eastAsia="宋体" w:hint="default"/>
                <w:sz w:val="18"/>
                <w:szCs w:val="18"/>
              </w:rPr>
              <w:t>丹阳市天惠投资 发展有限公司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4.54%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增信担保（注2）</w:t>
            </w:r>
          </w:p>
        </w:tc>
      </w:tr>
      <w:tr>
        <w:trPr>
          <w:trHeight w:val="427" w:hRule="exact"/>
        </w:trPr>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143,752,899</w:t>
            </w:r>
          </w:p>
        </w:tc>
        <w:tc>
          <w:tcPr>
            <w:tcW w:w="1375"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20.18%</w:t>
            </w:r>
          </w:p>
        </w:tc>
        <w:tc>
          <w:tcPr>
            <w:tcW w:w="15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0"/>
        <w:jc w:val="left"/>
      </w:pPr>
      <w:r>
        <w:rPr/>
        <w:t>注</w:t>
      </w:r>
      <w:r>
        <w:rPr>
          <w:spacing w:val="1"/>
        </w:rPr>
        <w:t>1</w:t>
      </w:r>
      <w:r>
        <w:rPr>
          <w:spacing w:val="-85"/>
        </w:rPr>
        <w:t>：</w:t>
      </w:r>
      <w:r>
        <w:rPr/>
        <w:t>实际控制人钱京先生以其持有的公司</w:t>
      </w:r>
      <w:r>
        <w:rPr>
          <w:spacing w:val="1"/>
        </w:rPr>
        <w:t>5</w:t>
      </w:r>
      <w:r>
        <w:rPr>
          <w:spacing w:val="-2"/>
        </w:rPr>
        <w:t>0</w:t>
      </w:r>
      <w:r>
        <w:rPr>
          <w:spacing w:val="1"/>
        </w:rPr>
        <w:t>,</w:t>
      </w:r>
      <w:r>
        <w:rPr>
          <w:spacing w:val="-2"/>
        </w:rPr>
        <w:t>2</w:t>
      </w:r>
      <w:r>
        <w:rPr>
          <w:spacing w:val="1"/>
        </w:rPr>
        <w:t>2</w:t>
      </w:r>
      <w:r>
        <w:rPr>
          <w:spacing w:val="-2"/>
        </w:rPr>
        <w:t>4</w:t>
      </w:r>
      <w:r>
        <w:rPr>
          <w:spacing w:val="1"/>
        </w:rPr>
        <w:t>,</w:t>
      </w:r>
      <w:r>
        <w:rPr>
          <w:spacing w:val="-2"/>
        </w:rPr>
        <w:t>0</w:t>
      </w:r>
      <w:r>
        <w:rPr>
          <w:spacing w:val="1"/>
        </w:rPr>
        <w:t>0</w:t>
      </w:r>
      <w:r>
        <w:rPr>
          <w:spacing w:val="-2"/>
        </w:rPr>
        <w:t>0</w:t>
      </w:r>
      <w:r>
        <w:rPr/>
        <w:t>股股份为江苏恒神股份有限公司向国家开发银行股份有限公司</w:t>
      </w:r>
      <w:r>
        <w:rPr>
          <w:spacing w:val="1"/>
        </w:rPr>
        <w:t>5</w:t>
      </w:r>
      <w:r>
        <w:rPr/>
        <w:t>亿元人</w:t>
      </w:r>
    </w:p>
    <w:p>
      <w:pPr>
        <w:spacing w:after="0" w:line="24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338" w:lineRule="auto" w:before="44"/>
        <w:ind w:right="1123"/>
        <w:jc w:val="left"/>
      </w:pPr>
      <w:r>
        <w:rPr/>
        <w:t>民币借款提供质押担保。截止期末，上述借款余额为人民币1.25亿元。 注2：实际控制人钱京先生以其持有的公司32,328,899股股份为江苏恒神股份有限公司向丹阳市天惠投资发展有限公司1.95 亿元人民币借款提供质押担保。</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63"/>
        <w:gridCol w:w="1068"/>
        <w:gridCol w:w="1063"/>
        <w:gridCol w:w="1063"/>
        <w:gridCol w:w="1063"/>
        <w:gridCol w:w="1061"/>
        <w:gridCol w:w="1063"/>
        <w:gridCol w:w="1061"/>
        <w:gridCol w:w="1063"/>
      </w:tblGrid>
      <w:tr>
        <w:trPr>
          <w:trHeight w:val="403"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65" w:right="166"/>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1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4633"/>
        <w:jc w:val="left"/>
      </w:pPr>
      <w:r>
        <w:rPr/>
        <w:t>其他权益工具本期增减变动情况、变动原因说明，以及相关会计处理的依据： 其他说明：</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73,666,908.74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73,666,908.74</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833,192.07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833,192.07</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74,500,100.81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74,500,100.81</w:t>
            </w:r>
          </w:p>
        </w:tc>
      </w:tr>
    </w:tbl>
    <w:p>
      <w:pPr>
        <w:pStyle w:val="BodyText"/>
        <w:spacing w:line="240" w:lineRule="auto" w:before="49"/>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46,010,428.76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46,010,428.76</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46,010,428.76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46,010,428.76</w:t>
            </w:r>
          </w:p>
        </w:tc>
      </w:tr>
    </w:tbl>
    <w:p>
      <w:pPr>
        <w:pStyle w:val="BodyText"/>
        <w:spacing w:line="360" w:lineRule="auto" w:before="49"/>
        <w:ind w:right="2698"/>
        <w:jc w:val="left"/>
      </w:pPr>
      <w:r>
        <w:rPr/>
        <w:t>其他说明，包括本期增减变动情况、变动原因说明： 截止期末，公司累计回购股份</w:t>
      </w:r>
      <w:r>
        <w:rPr>
          <w:rFonts w:ascii="Times New Roman" w:hAnsi="Times New Roman" w:cs="Times New Roman" w:eastAsia="Times New Roman" w:hint="default"/>
        </w:rPr>
        <w:t>7,693,602</w:t>
      </w:r>
      <w:r>
        <w:rPr/>
        <w:t>股，支付的总金额为</w:t>
      </w:r>
      <w:r>
        <w:rPr>
          <w:rFonts w:ascii="Times New Roman" w:hAnsi="Times New Roman" w:cs="Times New Roman" w:eastAsia="Times New Roman" w:hint="default"/>
        </w:rPr>
        <w:t>46,010,428.76</w:t>
      </w:r>
      <w:r>
        <w:rPr/>
        <w:t>元，回购股份尚未办理注销。</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08"/>
        <w:gridCol w:w="1070"/>
        <w:gridCol w:w="934"/>
        <w:gridCol w:w="1152"/>
        <w:gridCol w:w="936"/>
        <w:gridCol w:w="936"/>
        <w:gridCol w:w="936"/>
        <w:gridCol w:w="794"/>
      </w:tblGrid>
      <w:tr>
        <w:trPr>
          <w:trHeight w:val="401" w:hRule="exact"/>
        </w:trPr>
        <w:tc>
          <w:tcPr>
            <w:tcW w:w="28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3"/>
              <w:ind w:left="299"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0" w:hRule="exact"/>
        </w:trPr>
        <w:tc>
          <w:tcPr>
            <w:tcW w:w="2808" w:type="dxa"/>
            <w:vMerge/>
            <w:tcBorders>
              <w:left w:val="single" w:sz="4" w:space="0" w:color="000000"/>
              <w:bottom w:val="single" w:sz="4" w:space="0" w:color="000000"/>
              <w:right w:val="single" w:sz="4" w:space="0" w:color="000000"/>
            </w:tcBorders>
            <w:shd w:val="clear" w:color="auto" w:fill="D3D3D3"/>
          </w:tcPr>
          <w:p>
            <w:pPr/>
          </w:p>
        </w:tc>
        <w:tc>
          <w:tcPr>
            <w:tcW w:w="1070" w:type="dxa"/>
            <w:vMerge/>
            <w:tcBorders>
              <w:left w:val="single" w:sz="4" w:space="0" w:color="000000"/>
              <w:bottom w:val="single" w:sz="4" w:space="0" w:color="000000"/>
              <w:right w:val="single" w:sz="4" w:space="0" w:color="000000"/>
            </w:tcBorders>
            <w:shd w:val="clear" w:color="auto" w:fill="D3D3D3"/>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本期所</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减：前期计</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减：所得</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税后归</w:t>
            </w:r>
          </w:p>
        </w:tc>
        <w:tc>
          <w:tcPr>
            <w:tcW w:w="794"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2808"/>
        <w:gridCol w:w="1070"/>
        <w:gridCol w:w="934"/>
        <w:gridCol w:w="1152"/>
        <w:gridCol w:w="936"/>
        <w:gridCol w:w="936"/>
        <w:gridCol w:w="936"/>
        <w:gridCol w:w="794"/>
      </w:tblGrid>
      <w:tr>
        <w:trPr>
          <w:trHeight w:val="986" w:hRule="exact"/>
        </w:trPr>
        <w:tc>
          <w:tcPr>
            <w:tcW w:w="280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89" w:right="192"/>
              <w:jc w:val="left"/>
              <w:rPr>
                <w:rFonts w:ascii="宋体" w:hAnsi="宋体" w:cs="宋体" w:eastAsia="宋体" w:hint="default"/>
                <w:sz w:val="18"/>
                <w:szCs w:val="18"/>
              </w:rPr>
            </w:pPr>
            <w:r>
              <w:rPr>
                <w:rFonts w:ascii="宋体" w:hAnsi="宋体" w:cs="宋体" w:eastAsia="宋体" w:hint="default"/>
                <w:sz w:val="18"/>
                <w:szCs w:val="18"/>
              </w:rPr>
              <w:t>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19" w:right="120"/>
              <w:jc w:val="center"/>
              <w:rPr>
                <w:rFonts w:ascii="宋体" w:hAnsi="宋体" w:cs="宋体" w:eastAsia="宋体" w:hint="default"/>
                <w:sz w:val="18"/>
                <w:szCs w:val="18"/>
              </w:rPr>
            </w:pPr>
            <w:r>
              <w:rPr>
                <w:rFonts w:ascii="宋体" w:hAnsi="宋体" w:cs="宋体" w:eastAsia="宋体" w:hint="default"/>
                <w:sz w:val="18"/>
                <w:szCs w:val="18"/>
              </w:rPr>
              <w:t>入其他综合 收益当期转 入损益</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91" w:right="192"/>
              <w:jc w:val="left"/>
              <w:rPr>
                <w:rFonts w:ascii="宋体" w:hAnsi="宋体" w:cs="宋体" w:eastAsia="宋体" w:hint="default"/>
                <w:sz w:val="18"/>
                <w:szCs w:val="18"/>
              </w:rPr>
            </w:pPr>
            <w:r>
              <w:rPr>
                <w:rFonts w:ascii="宋体" w:hAnsi="宋体" w:cs="宋体" w:eastAsia="宋体" w:hint="default"/>
                <w:sz w:val="18"/>
                <w:szCs w:val="18"/>
              </w:rPr>
              <w:t>属于少 数股东</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5" w:hRule="exact"/>
        </w:trPr>
        <w:tc>
          <w:tcPr>
            <w:tcW w:w="2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75"/>
              <w:jc w:val="left"/>
              <w:rPr>
                <w:rFonts w:ascii="宋体" w:hAnsi="宋体" w:cs="宋体" w:eastAsia="宋体" w:hint="default"/>
                <w:sz w:val="18"/>
                <w:szCs w:val="18"/>
              </w:rPr>
            </w:pPr>
            <w:r>
              <w:rPr>
                <w:rFonts w:ascii="宋体" w:hAnsi="宋体" w:cs="宋体" w:eastAsia="宋体" w:hint="default"/>
                <w:sz w:val="18"/>
                <w:szCs w:val="18"/>
              </w:rPr>
              <w:t>二、将重分类进损益的其他综合 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1,022,786.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336,081.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336,081.5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1,358,8</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68.21</w:t>
            </w:r>
          </w:p>
        </w:tc>
      </w:tr>
      <w:tr>
        <w:trPr>
          <w:trHeight w:val="713" w:hRule="exact"/>
        </w:trPr>
        <w:tc>
          <w:tcPr>
            <w:tcW w:w="2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1,022,786.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336,081.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336,081.5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 w:right="0"/>
              <w:jc w:val="center"/>
              <w:rPr>
                <w:rFonts w:ascii="Times New Roman" w:hAnsi="Times New Roman" w:cs="Times New Roman" w:eastAsia="Times New Roman" w:hint="default"/>
                <w:sz w:val="18"/>
                <w:szCs w:val="18"/>
              </w:rPr>
            </w:pPr>
            <w:r>
              <w:rPr>
                <w:rFonts w:ascii="Times New Roman"/>
                <w:sz w:val="18"/>
              </w:rPr>
              <w:t>1,358,8</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68.21</w:t>
            </w:r>
          </w:p>
        </w:tc>
      </w:tr>
      <w:tr>
        <w:trPr>
          <w:trHeight w:val="715" w:hRule="exact"/>
        </w:trPr>
        <w:tc>
          <w:tcPr>
            <w:tcW w:w="2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1,022,786.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336,081.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336,081.5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1,358,8</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68.21</w:t>
            </w: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192,784,585.72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14,732,089.08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207,516,674.80</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192,784,585.72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14,732,089.08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207,516,674.80</w:t>
            </w:r>
          </w:p>
        </w:tc>
      </w:tr>
    </w:tbl>
    <w:p>
      <w:pPr>
        <w:pStyle w:val="BodyText"/>
        <w:spacing w:line="240" w:lineRule="auto" w:before="49"/>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725"/>
        <w:gridCol w:w="2923"/>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813,851,753.24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668,126,056.54</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813,851,753.24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668,126,056.54</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145,493,021.11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162,648,403.93</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14,732,089.08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16,922,707.23</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944,612,685.27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813,851,753.24</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after="0" w:line="24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0"/>
        <w:gridCol w:w="1918"/>
        <w:gridCol w:w="1913"/>
        <w:gridCol w:w="1915"/>
        <w:gridCol w:w="1913"/>
      </w:tblGrid>
      <w:tr>
        <w:trPr>
          <w:trHeight w:val="401" w:hRule="exact"/>
        </w:trPr>
        <w:tc>
          <w:tcPr>
            <w:tcW w:w="1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3D3D3"/>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1,679,404,714.06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1,337,150,181.25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1,362,191,533.80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982,706,100.00</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10,900,619.62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6,101,637.49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6,182,557.89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3,513,767.76</w:t>
            </w:r>
          </w:p>
        </w:tc>
      </w:tr>
      <w:tr>
        <w:trPr>
          <w:trHeight w:val="401"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1,690,305,333.68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1,343,251,818.74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1,368,374,091.69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986,219,867.76</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4,504,018.14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5,589,852.52</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3,217,155.82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3,992,666.33</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2,215,374.56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2,477,606.89</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480,127.32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479,676.22</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503,112.20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399,951.96</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16,233.49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10,936,021.53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12,939,753.92</w:t>
            </w:r>
          </w:p>
        </w:tc>
      </w:tr>
    </w:tbl>
    <w:p>
      <w:pPr>
        <w:pStyle w:val="BodyText"/>
        <w:spacing w:line="240" w:lineRule="auto" w:before="46"/>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工资及社保福利费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30,520,668.39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31,401,193.01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19,081,318.04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19,839,565.66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5,441,729.18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8,418,250.31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3,366,644.38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5,311,449.37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3,038,668.28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4,034,785.24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1,287,117.93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849,161.27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租赁及物业费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999,680.61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512,922.62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947,387.81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1,379,380.59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519,724.70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828,664.82</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442,055.99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447,388.18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65,644,995.31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73,022,761.07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26,367,531.92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27,070,506.51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工资及社保福利费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21,436,906.62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17,509,635.93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7,277,739.61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6,644,204.21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聘用中介机构费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5,366,035.73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30,786,709.36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4,765,004.83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3,998,996.89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4,316,058.56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3,760,403.03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1,161,316.57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560,542.07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895,931.11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1,165,361.21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584,080.58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1,558,968.12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-3,896,517.29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72,170,605.53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89,158,810.04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研发人工费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85,062,318.41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86,918,210.52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软件及服务费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15,693,272.84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17,389,544.69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研发材料费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11,248,068.78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7,642,716.36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4,903,263.94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4,026,881.50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4,100,003.78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4,405,395.26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其他研发费用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867,449.34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1,401,017.49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121,874,377.09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121,783,765.82</w:t>
            </w:r>
          </w:p>
        </w:tc>
      </w:tr>
    </w:tbl>
    <w:p>
      <w:pPr>
        <w:pStyle w:val="BodyText"/>
        <w:spacing w:line="240" w:lineRule="auto" w:before="46"/>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3,990,684.06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1,926,449.21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3,877,004.51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3,191,770.77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-385,185.94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8,805,313.78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537,006.99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663,731.39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265,500.60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8,203,723.61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-5,798,554.12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-2,151,981.56</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7,104,314.75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5,119,265.65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6,425,026.28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-2,151,981.56</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增值税即征即退返还税款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19,448,945.52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29,743,361.13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3,789,045.00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11,128,219.63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245,642.34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220,798.00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23,483,632.86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41,092,378.76</w:t>
            </w:r>
          </w:p>
        </w:tc>
      </w:tr>
    </w:tbl>
    <w:p>
      <w:pPr>
        <w:spacing w:line="240" w:lineRule="auto" w:before="13"/>
        <w:rPr>
          <w:rFonts w:ascii="宋体" w:hAnsi="宋体" w:cs="宋体" w:eastAsia="宋体" w:hint="default"/>
          <w:sz w:val="18"/>
          <w:szCs w:val="18"/>
        </w:rPr>
      </w:pPr>
    </w:p>
    <w:p>
      <w:pPr>
        <w:pStyle w:val="Heading3"/>
        <w:spacing w:line="240" w:lineRule="auto" w:before="34"/>
        <w:ind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458"/>
        <w:gridCol w:w="3190"/>
        <w:gridCol w:w="2918"/>
      </w:tblGrid>
      <w:tr>
        <w:trPr>
          <w:trHeight w:val="401" w:hRule="exact"/>
        </w:trPr>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6,835,311.84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2,653,195.37</w:t>
            </w:r>
          </w:p>
        </w:tc>
      </w:tr>
      <w:tr>
        <w:trPr>
          <w:trHeight w:val="401" w:hRule="exact"/>
        </w:trPr>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17,179.89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16,777.24</w:t>
            </w:r>
          </w:p>
        </w:tc>
      </w:tr>
      <w:tr>
        <w:trPr>
          <w:trHeight w:val="403"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6,218,101.06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2,875,959.52</w:t>
            </w:r>
          </w:p>
        </w:tc>
      </w:tr>
      <w:tr>
        <w:trPr>
          <w:trHeight w:val="401" w:hRule="exact"/>
        </w:trPr>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13,070,592.79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5,545,932.13</w:t>
            </w:r>
          </w:p>
        </w:tc>
      </w:tr>
    </w:tbl>
    <w:p>
      <w:pPr>
        <w:pStyle w:val="BodyText"/>
        <w:spacing w:line="240" w:lineRule="auto" w:before="49"/>
        <w:ind w:right="0"/>
        <w:jc w:val="left"/>
      </w:pPr>
      <w:r>
        <w:rPr/>
        <w:t>其他说明：</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房产处置收益（注：详见附注七</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52,051,843.37</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162,910.64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42,047.17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52,214,754.01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42,047.17</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88"/>
        <w:gridCol w:w="2395"/>
        <w:gridCol w:w="2393"/>
        <w:gridCol w:w="2390"/>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6"/>
              <w:ind w:left="1099"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300,682.52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4,154,406.77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300,682.52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32,644.22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80,127.03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32,644.22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50,000,000.00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333,326.74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54,234,533.80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333,326.74</w:t>
            </w:r>
          </w:p>
        </w:tc>
      </w:tr>
    </w:tbl>
    <w:p>
      <w:pPr>
        <w:pStyle w:val="BodyText"/>
        <w:spacing w:line="240" w:lineRule="auto" w:before="49"/>
        <w:ind w:right="0"/>
        <w:jc w:val="left"/>
      </w:pPr>
      <w:r>
        <w:rPr/>
        <w:t>计入当期损益的政府补助：</w:t>
      </w:r>
    </w:p>
    <w:p>
      <w:pPr>
        <w:pStyle w:val="BodyText"/>
        <w:spacing w:line="240" w:lineRule="auto" w:before="115"/>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5" w:right="167"/>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45" w:right="166"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45" w:right="167"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39" w:right="143"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354"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促进总部 经济发展 的企业奖 励资金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丹阳市政 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172,182.52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1,004,406.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60"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60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贯标认证 和绩效评 价合格奖 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丹阳市政 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9"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5" w:footer="1017" w:top="1100" w:bottom="120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8"/>
              <w:jc w:val="left"/>
              <w:rPr>
                <w:rFonts w:ascii="宋体" w:hAnsi="宋体" w:cs="宋体" w:eastAsia="宋体" w:hint="default"/>
                <w:sz w:val="18"/>
                <w:szCs w:val="18"/>
              </w:rPr>
            </w:pPr>
            <w:r>
              <w:rPr>
                <w:rFonts w:ascii="宋体" w:hAnsi="宋体" w:cs="宋体" w:eastAsia="宋体" w:hint="default"/>
                <w:sz w:val="18"/>
                <w:szCs w:val="18"/>
              </w:rPr>
              <w:t>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方政府招</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230"/>
              <w:jc w:val="both"/>
              <w:rPr>
                <w:rFonts w:ascii="宋体" w:hAnsi="宋体" w:cs="宋体" w:eastAsia="宋体" w:hint="default"/>
                <w:sz w:val="18"/>
                <w:szCs w:val="18"/>
              </w:rPr>
            </w:pPr>
            <w:r>
              <w:rPr>
                <w:rFonts w:ascii="宋体" w:hAnsi="宋体" w:cs="宋体" w:eastAsia="宋体" w:hint="default"/>
                <w:sz w:val="18"/>
                <w:szCs w:val="18"/>
              </w:rPr>
              <w:t>中小企业 国际市场 开拓资金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丹阳市政 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2"/>
              <w:jc w:val="right"/>
              <w:rPr>
                <w:rFonts w:ascii="Times New Roman" w:hAnsi="Times New Roman" w:cs="Times New Roman" w:eastAsia="Times New Roman" w:hint="default"/>
                <w:sz w:val="18"/>
                <w:szCs w:val="18"/>
              </w:rPr>
            </w:pPr>
            <w:r>
              <w:rPr>
                <w:rFonts w:ascii="Times New Roman"/>
                <w:spacing w:val="-1"/>
                <w:sz w:val="18"/>
              </w:rPr>
              <w:t>28,900.00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方政府招</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丹阳市政 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2"/>
              <w:jc w:val="right"/>
              <w:rPr>
                <w:rFonts w:ascii="Times New Roman" w:hAnsi="Times New Roman" w:cs="Times New Roman" w:eastAsia="Times New Roman" w:hint="default"/>
                <w:sz w:val="18"/>
                <w:szCs w:val="18"/>
              </w:rPr>
            </w:pPr>
            <w:r>
              <w:rPr>
                <w:rFonts w:ascii="Times New Roman"/>
                <w:spacing w:val="-1"/>
                <w:sz w:val="18"/>
              </w:rPr>
              <w:t>9,600.00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因研究开</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江苏省财 政厅</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4" w:right="0"/>
              <w:jc w:val="center"/>
              <w:rPr>
                <w:rFonts w:ascii="Times New Roman" w:hAnsi="Times New Roman" w:cs="Times New Roman" w:eastAsia="Times New Roman" w:hint="default"/>
                <w:sz w:val="18"/>
                <w:szCs w:val="18"/>
              </w:rPr>
            </w:pPr>
            <w:r>
              <w:rPr>
                <w:rFonts w:ascii="Times New Roman"/>
                <w:sz w:val="18"/>
              </w:rPr>
              <w:t>120,000.00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60"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方政府招</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230"/>
              <w:jc w:val="both"/>
              <w:rPr>
                <w:rFonts w:ascii="宋体" w:hAnsi="宋体" w:cs="宋体" w:eastAsia="宋体" w:hint="default"/>
                <w:sz w:val="18"/>
                <w:szCs w:val="18"/>
              </w:rPr>
            </w:pPr>
            <w:r>
              <w:rPr>
                <w:rFonts w:ascii="宋体" w:hAnsi="宋体" w:cs="宋体" w:eastAsia="宋体" w:hint="default"/>
                <w:sz w:val="18"/>
                <w:szCs w:val="18"/>
              </w:rPr>
              <w:t>云阳镇地 方财政补 助资金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丹阳市政 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江苏省智</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因研究开</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230"/>
              <w:jc w:val="both"/>
              <w:rPr>
                <w:rFonts w:ascii="宋体" w:hAnsi="宋体" w:cs="宋体" w:eastAsia="宋体" w:hint="default"/>
                <w:sz w:val="18"/>
                <w:szCs w:val="18"/>
              </w:rPr>
            </w:pPr>
            <w:r>
              <w:rPr>
                <w:rFonts w:ascii="宋体" w:hAnsi="宋体" w:cs="宋体" w:eastAsia="宋体" w:hint="default"/>
                <w:sz w:val="18"/>
                <w:szCs w:val="18"/>
              </w:rPr>
              <w:t>能卡研究 技术中心 项目补助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丹阳市科 技局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4" w:right="0"/>
              <w:jc w:val="center"/>
              <w:rPr>
                <w:rFonts w:ascii="Times New Roman" w:hAnsi="Times New Roman" w:cs="Times New Roman" w:eastAsia="Times New Roman" w:hint="default"/>
                <w:sz w:val="18"/>
                <w:szCs w:val="18"/>
              </w:rPr>
            </w:pPr>
            <w:r>
              <w:rPr>
                <w:rFonts w:ascii="Times New Roman"/>
                <w:sz w:val="18"/>
              </w:rPr>
              <w:t>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60"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因从事国</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家鼓励和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国家高新 技术企业 认定补助 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丹阳市政 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规定依法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1017" w:header="905" w:top="1100" w:bottom="1200" w:left="1020" w:right="0"/>
          <w:pgNumType w:start="140"/>
        </w:sectPr>
      </w:pPr>
    </w:p>
    <w:p>
      <w:pPr>
        <w:spacing w:line="240" w:lineRule="auto" w:before="1"/>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227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0" w:right="230"/>
              <w:jc w:val="both"/>
              <w:rPr>
                <w:rFonts w:ascii="宋体" w:hAnsi="宋体" w:cs="宋体" w:eastAsia="宋体" w:hint="default"/>
                <w:sz w:val="18"/>
                <w:szCs w:val="18"/>
              </w:rPr>
            </w:pPr>
            <w:r>
              <w:rPr>
                <w:rFonts w:ascii="宋体" w:hAnsi="宋体" w:cs="宋体" w:eastAsia="宋体" w:hint="default"/>
                <w:sz w:val="18"/>
                <w:szCs w:val="18"/>
              </w:rPr>
              <w:t>知识产权 战略推进 计划补助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丹阳市政 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0" w:right="23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300,682.52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4,154,406.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88"/>
        <w:gridCol w:w="2395"/>
        <w:gridCol w:w="2393"/>
        <w:gridCol w:w="2390"/>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99"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755,725.00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1,507,951.31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755,725.00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101,248.94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60,418.43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101,248.94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856,973.94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1,568,369.74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856,973.94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2"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12,335,660.89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12,925,164.19</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-1,985,607.94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1,503,196.40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10,350,052.95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14,428,360.59</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78"/>
        <w:gridCol w:w="4788"/>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157,982,321.06</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15,798,232.11</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-825,787.71</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-5,352,442.17</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4778"/>
        <w:gridCol w:w="4788"/>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-384,034.87</w:t>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66"/>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1,114,085.59</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10,350,052.95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44" w:lineRule="auto" w:before="118"/>
        <w:ind w:left="112" w:right="885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2"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收回投标保证金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6,218,593.40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6,974,203.00</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3,877,004.51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3,191,770.77</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3,223,682.52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7,227,406.77</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1,738,590.85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1,715,334.03</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298,172.26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97,049.29</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收回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个月以上到期的保函保证金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3,701,259.99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4,249,497.80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19,057,303.53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23,455,261.66</w:t>
            </w:r>
          </w:p>
        </w:tc>
      </w:tr>
    </w:tbl>
    <w:p>
      <w:pPr>
        <w:pStyle w:val="BodyText"/>
        <w:spacing w:line="240" w:lineRule="auto" w:before="49"/>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89,836,439.13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106,732,244.23</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支付投标保证金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6,320,227.00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8,342,755.00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5,614,470.77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3,323,321.89</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个月以上到期的保函保证金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3,945,311.42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1,193,634.99</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755,725.00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1,507,951.31</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301,248.94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493,235.61</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终止非公开发行股份认购退还押金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32,400,000.00</w:t>
            </w: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106,773,422.26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153,993,143.03</w:t>
            </w:r>
          </w:p>
        </w:tc>
      </w:tr>
    </w:tbl>
    <w:p>
      <w:pPr>
        <w:pStyle w:val="BodyText"/>
        <w:spacing w:line="240" w:lineRule="auto" w:before="49"/>
        <w:ind w:right="0"/>
        <w:jc w:val="left"/>
      </w:pPr>
      <w:r>
        <w:rPr/>
        <w:t>支付的其他与经营活动有关的现金说明：</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6"/>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5"/>
        <w:gridCol w:w="3194"/>
        <w:gridCol w:w="3190"/>
      </w:tblGrid>
      <w:tr>
        <w:trPr>
          <w:trHeight w:val="403"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股票回购款项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46,010,428.76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限制性股票回购注销</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8,031,232.00</w:t>
            </w:r>
          </w:p>
        </w:tc>
      </w:tr>
      <w:tr>
        <w:trPr>
          <w:trHeight w:val="401" w:hRule="exact"/>
        </w:trPr>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46,010,428.76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8,031,232.00</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26"/>
        <w:gridCol w:w="3058"/>
        <w:gridCol w:w="3182"/>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147,632,268.11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164,115,552.56</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6,425,026.28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-2,151,981.56</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35,290,807.29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37,708,376.37</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21,079,929.97</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21,014,843.53</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326"/>
        <w:gridCol w:w="3058"/>
        <w:gridCol w:w="318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1,100,777.98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425,215.90</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-52,214,754.01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-42,047.17</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3,227,857.72</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5,052,545.97</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-13,070,592.79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-5,545,932.13</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667,857.21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6,433,807.43</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-2,653,465.15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-4,930,611.03</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-40,996,480.25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116,054,812.24</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434,970,799.18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-582,647,925.54</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46,783,077.31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-185,354,635.04</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588,243,108.85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-429,867,978.47</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00" w:right="10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1" w:right="0"/>
              <w:jc w:val="left"/>
              <w:rPr>
                <w:rFonts w:ascii="Times New Roman" w:hAnsi="Times New Roman" w:cs="Times New Roman" w:eastAsia="Times New Roman" w:hint="default"/>
                <w:sz w:val="18"/>
                <w:szCs w:val="18"/>
              </w:rPr>
            </w:pPr>
            <w:r>
              <w:rPr>
                <w:rFonts w:ascii="Times New Roman"/>
                <w:sz w:val="18"/>
              </w:rPr>
              <w:t>--</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1" w:right="0"/>
              <w:jc w:val="left"/>
              <w:rPr>
                <w:rFonts w:ascii="Times New Roman" w:hAnsi="Times New Roman" w:cs="Times New Roman" w:eastAsia="Times New Roman" w:hint="default"/>
                <w:sz w:val="18"/>
                <w:szCs w:val="18"/>
              </w:rPr>
            </w:pPr>
            <w:r>
              <w:rPr>
                <w:rFonts w:ascii="Times New Roman"/>
                <w:sz w:val="18"/>
              </w:rPr>
              <w:t>--</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771,050,604.51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351,632,898.58</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351,632,898.58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729,374,598.49</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521,455.90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521,455.90</w:t>
            </w:r>
          </w:p>
        </w:tc>
        <w:tc>
          <w:tcPr>
            <w:tcW w:w="31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418,896,250.03</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-377,220,244.01</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987"/>
        <w:gridCol w:w="4579"/>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2"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65pt;mso-position-horizontal-relative:char;mso-position-vertical-relative:line" coordorigin="0,0" coordsize="9586,413">
            <v:group style="position:absolute;left:12;top:10;width:4983;height:396" coordorigin="12,10" coordsize="4983,396">
              <v:shape style="position:absolute;left:12;top:10;width:4983;height:396" coordorigin="12,10" coordsize="4983,396" path="m12,10l4994,10,4994,406,12,406,12,10xe" filled="true" fillcolor="#d3d3d3" stroked="false">
                <v:path arrowok="t"/>
                <v:fill type="solid"/>
              </v:shape>
            </v:group>
            <v:group style="position:absolute;left:4999;top:10;width:4575;height:396" coordorigin="4999,10" coordsize="4575,396">
              <v:shape style="position:absolute;left:4999;top:10;width:4575;height:396" coordorigin="4999,10" coordsize="4575,396" path="m4999,10l9574,10,9574,406,4999,406,4999,10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08;width:9576;height:2" coordorigin="5,408" coordsize="9576,2">
              <v:shape style="position:absolute;left:5;top:408;width:9576;height:2" coordorigin="5,408" coordsize="9576,0" path="m5,408l9581,408e" filled="false" stroked="true" strokeweight=".48pt" strokecolor="#000000">
                <v:path arrowok="t"/>
              </v:shape>
            </v:group>
            <v:group style="position:absolute;left:10;top:5;width:2;height:399" coordorigin="10,5" coordsize="2,399">
              <v:shape style="position:absolute;left:10;top:5;width:2;height:399" coordorigin="10,5" coordsize="0,399" path="m10,5l10,403e" filled="false" stroked="true" strokeweight=".48pt" strokecolor="#000000">
                <v:path arrowok="t"/>
              </v:shape>
            </v:group>
            <v:group style="position:absolute;left:4997;top:5;width:2;height:399" coordorigin="4997,5" coordsize="2,399">
              <v:shape style="position:absolute;left:4997;top:5;width:2;height:399" coordorigin="4997,5" coordsize="0,399" path="m4997,5l4997,403e" filled="false" stroked="true" strokeweight=".48pt" strokecolor="#000000">
                <v:path arrowok="t"/>
              </v:shape>
            </v:group>
            <v:group style="position:absolute;left:9576;top:5;width:2;height:399" coordorigin="9576,5" coordsize="2,399">
              <v:shape style="position:absolute;left:9576;top:5;width:2;height:399" coordorigin="9576,5" coordsize="0,399" path="m9576,5l9576,403e" filled="false" stroked="true" strokeweight=".48pt" strokecolor="#000000">
                <v:path arrowok="t"/>
              </v:shape>
              <v:shape style="position:absolute;left:7106;top:11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12" w:lineRule="exact"/>
        <w:rPr>
          <w:rFonts w:ascii="宋体" w:hAnsi="宋体" w:cs="宋体" w:eastAsia="宋体" w:hint="default"/>
          <w:sz w:val="20"/>
          <w:szCs w:val="20"/>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4987"/>
        <w:gridCol w:w="4579"/>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26"/>
        <w:gridCol w:w="3058"/>
        <w:gridCol w:w="3182"/>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771,050,604.51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351,632,898.58</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388,744.51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238,477.45</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765,681,496.00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350,687,263.55</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4,980,364.00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707,157.58</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521,455.90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个月内到期的保函保证金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521,455.90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771,050,604.51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352,154,354.48</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54"/>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 制的现金和现金等价物</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3,945,311.42</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3,701,259.99</w:t>
            </w:r>
          </w:p>
        </w:tc>
      </w:tr>
    </w:tbl>
    <w:p>
      <w:pPr>
        <w:pStyle w:val="BodyText"/>
        <w:spacing w:line="360" w:lineRule="auto" w:before="49"/>
        <w:ind w:right="1633"/>
        <w:jc w:val="left"/>
      </w:pPr>
      <w:r>
        <w:rPr/>
        <w:t>其他说明： </w:t>
      </w:r>
      <w:r>
        <w:rPr>
          <w:spacing w:val="-1"/>
        </w:rPr>
        <w:t>母公司或集团内子公司使用受限制的现金和现金等价物</w:t>
      </w:r>
      <w:r>
        <w:rPr>
          <w:rFonts w:ascii="Times New Roman" w:hAnsi="Times New Roman" w:cs="Times New Roman" w:eastAsia="Times New Roman" w:hint="default"/>
          <w:spacing w:val="-1"/>
        </w:rPr>
        <w:t>3,945,311.42</w:t>
      </w:r>
      <w:r>
        <w:rPr>
          <w:spacing w:val="-1"/>
        </w:rPr>
        <w:t>元为到期日三个月以上之保函保证金。</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69</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3323"/>
        <w:jc w:val="left"/>
        <w:rPr>
          <w:rFonts w:ascii="Times New Roman" w:hAnsi="Times New Roman" w:cs="Times New Roman" w:eastAsia="Times New Roman" w:hint="default"/>
        </w:rPr>
      </w:pPr>
      <w:r>
        <w:rPr/>
        <w:t>说明对上年期末余额进行调整的“其他”项目名称及调整金额等事项： 合并所有者权益变动表中对本年发生额额进行调整的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项目形成原因，详见本附注</w:t>
      </w:r>
      <w:r>
        <w:rPr>
          <w:rFonts w:ascii="Times New Roman" w:hAnsi="Times New Roman" w:cs="Times New Roman" w:eastAsia="Times New Roman" w:hint="default"/>
        </w:rPr>
        <w:t>“</w:t>
      </w:r>
      <w:r>
        <w:rPr/>
        <w:t>九、</w:t>
      </w:r>
      <w:r>
        <w:rPr>
          <w:rFonts w:ascii="Times New Roman" w:hAnsi="Times New Roman" w:cs="Times New Roman" w:eastAsia="Times New Roman" w:hint="default"/>
        </w:rPr>
        <w:t>2”</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70</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26"/>
        <w:gridCol w:w="3058"/>
        <w:gridCol w:w="3182"/>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3,945,311.42</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sz w:val="18"/>
                <w:szCs w:val="18"/>
              </w:rPr>
              <w:t>到期日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个月以上之保函保证金</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80,145,986.60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抵押（注）</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19,024,282.85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抵押（注）</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80,000,000.00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质押（注）</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183,115,580.87</w:t>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503"/>
        <w:jc w:val="left"/>
      </w:pPr>
      <w:r>
        <w:rPr/>
        <w:t>其他说明： 注：详见附注第四节四、3。</w:t>
      </w:r>
    </w:p>
    <w:p>
      <w:pPr>
        <w:spacing w:after="0" w:line="357"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494"/>
        <w:gridCol w:w="2294"/>
        <w:gridCol w:w="2388"/>
        <w:gridCol w:w="2390"/>
      </w:tblGrid>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4,160,105.27</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6.863200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28,551,634.49</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4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147,920.26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Times New Roman" w:hAnsi="Times New Roman" w:cs="Times New Roman" w:eastAsia="Times New Roman" w:hint="default"/>
                <w:sz w:val="18"/>
                <w:szCs w:val="18"/>
              </w:rPr>
            </w:pPr>
            <w:r>
              <w:rPr>
                <w:rFonts w:ascii="Times New Roman"/>
                <w:sz w:val="18"/>
              </w:rPr>
              <w:t>7.847300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1,160,774.66</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107,327.58</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5.006200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537,303.33</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120,492.46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0.097857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11,791.03</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肯尼亚先令</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7,297.90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0.067417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492.00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976,703.80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0" w:right="0"/>
              <w:jc w:val="left"/>
              <w:rPr>
                <w:rFonts w:ascii="Times New Roman" w:hAnsi="Times New Roman" w:cs="Times New Roman" w:eastAsia="Times New Roman" w:hint="default"/>
                <w:sz w:val="18"/>
                <w:szCs w:val="18"/>
              </w:rPr>
            </w:pPr>
            <w:r>
              <w:rPr>
                <w:rFonts w:ascii="Times New Roman"/>
                <w:sz w:val="18"/>
              </w:rPr>
              <w:t>6.863200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6,703,313.52</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32.55</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7.847300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255.43</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4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4,461,641.60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Times New Roman" w:hAnsi="Times New Roman" w:cs="Times New Roman" w:eastAsia="Times New Roman" w:hint="default"/>
                <w:sz w:val="18"/>
                <w:szCs w:val="18"/>
              </w:rPr>
            </w:pPr>
            <w:r>
              <w:rPr>
                <w:rFonts w:ascii="Times New Roman"/>
                <w:sz w:val="18"/>
              </w:rPr>
              <w:t>6.863200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30,621,138.63</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40"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6"/>
        <w:ind w:right="0"/>
        <w:jc w:val="left"/>
      </w:pPr>
      <w:r>
        <w:rPr/>
        <w:t>其他说明：</w:t>
      </w:r>
    </w:p>
    <w:p>
      <w:pPr>
        <w:spacing w:line="240" w:lineRule="auto" w:before="0"/>
        <w:rPr>
          <w:rFonts w:ascii="宋体" w:hAnsi="宋体" w:cs="宋体" w:eastAsia="宋体" w:hint="default"/>
          <w:sz w:val="18"/>
          <w:szCs w:val="18"/>
        </w:rPr>
      </w:pPr>
    </w:p>
    <w:p>
      <w:pPr>
        <w:pStyle w:val="Heading3"/>
        <w:spacing w:line="256" w:lineRule="auto" w:before="118"/>
        <w:ind w:right="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9"/>
          <w:w w:val="95"/>
        </w:rPr>
        <w:t> </w:t>
      </w:r>
      <w:r>
        <w:rPr>
          <w:spacing w:val="99"/>
          <w:w w:val="95"/>
        </w:rPr>
      </w:r>
      <w:r>
        <w:rPr/>
        <w:t>依据，记账本位币发生变化的还应披露原因。</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2"/>
        <w:rPr>
          <w:rFonts w:ascii="宋体" w:hAnsi="宋体" w:cs="宋体" w:eastAsia="宋体" w:hint="default"/>
          <w:sz w:val="8"/>
          <w:szCs w:val="8"/>
        </w:rPr>
      </w:pPr>
    </w:p>
    <w:tbl>
      <w:tblPr>
        <w:tblW w:w="0" w:type="auto"/>
        <w:jc w:val="left"/>
        <w:tblInd w:w="712" w:type="dxa"/>
        <w:tblLayout w:type="fixed"/>
        <w:tblCellMar>
          <w:top w:w="0" w:type="dxa"/>
          <w:left w:w="0" w:type="dxa"/>
          <w:bottom w:w="0" w:type="dxa"/>
          <w:right w:w="0" w:type="dxa"/>
        </w:tblCellMar>
        <w:tblLook w:val="01E0"/>
      </w:tblPr>
      <w:tblGrid>
        <w:gridCol w:w="3223"/>
        <w:gridCol w:w="2268"/>
        <w:gridCol w:w="2321"/>
      </w:tblGrid>
      <w:tr>
        <w:trPr>
          <w:trHeight w:val="427" w:hRule="exact"/>
        </w:trPr>
        <w:tc>
          <w:tcPr>
            <w:tcW w:w="3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经营地址</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427" w:hRule="exact"/>
        </w:trPr>
        <w:tc>
          <w:tcPr>
            <w:tcW w:w="3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427" w:hRule="exact"/>
        </w:trPr>
        <w:tc>
          <w:tcPr>
            <w:tcW w:w="3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印度</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印度卢比</w:t>
            </w:r>
          </w:p>
        </w:tc>
      </w:tr>
      <w:tr>
        <w:trPr>
          <w:trHeight w:val="427" w:hRule="exact"/>
        </w:trPr>
        <w:tc>
          <w:tcPr>
            <w:tcW w:w="3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恒宝（中东非洲）有限责任公司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肯尼亚</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肯尼亚先令</w:t>
            </w:r>
          </w:p>
        </w:tc>
      </w:tr>
    </w:tbl>
    <w:p>
      <w:pPr>
        <w:spacing w:after="0" w:line="240" w:lineRule="auto"/>
        <w:jc w:val="center"/>
        <w:rPr>
          <w:rFonts w:ascii="宋体" w:hAnsi="宋体" w:cs="宋体" w:eastAsia="宋体" w:hint="default"/>
          <w:sz w:val="18"/>
          <w:szCs w:val="18"/>
        </w:rPr>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79"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0" w:right="118"/>
              <w:jc w:val="left"/>
              <w:rPr>
                <w:rFonts w:ascii="宋体" w:hAnsi="宋体" w:cs="宋体" w:eastAsia="宋体" w:hint="default"/>
                <w:sz w:val="18"/>
                <w:szCs w:val="18"/>
              </w:rPr>
            </w:pPr>
            <w:r>
              <w:rPr>
                <w:rFonts w:ascii="宋体" w:hAnsi="宋体" w:cs="宋体" w:eastAsia="宋体" w:hint="default"/>
                <w:sz w:val="18"/>
                <w:szCs w:val="18"/>
              </w:rPr>
              <w:t>企业研究开发费用省级财政 资金奖励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100" w:right="118"/>
              <w:jc w:val="left"/>
              <w:rPr>
                <w:rFonts w:ascii="宋体" w:hAnsi="宋体" w:cs="宋体" w:eastAsia="宋体" w:hint="default"/>
                <w:sz w:val="18"/>
                <w:szCs w:val="18"/>
              </w:rPr>
            </w:pPr>
            <w:r>
              <w:rPr>
                <w:rFonts w:ascii="宋体" w:hAnsi="宋体" w:cs="宋体" w:eastAsia="宋体" w:hint="default"/>
                <w:sz w:val="18"/>
                <w:szCs w:val="18"/>
              </w:rPr>
              <w:t>云会员移动互联网营销服务 平台补助资金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70,845.00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70,845.00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18"/>
              <w:jc w:val="left"/>
              <w:rPr>
                <w:rFonts w:ascii="宋体" w:hAnsi="宋体" w:cs="宋体" w:eastAsia="宋体" w:hint="default"/>
                <w:sz w:val="18"/>
                <w:szCs w:val="18"/>
              </w:rPr>
            </w:pPr>
            <w:r>
              <w:rPr>
                <w:rFonts w:ascii="宋体" w:hAnsi="宋体" w:cs="宋体" w:eastAsia="宋体" w:hint="default"/>
                <w:sz w:val="18"/>
                <w:szCs w:val="18"/>
              </w:rPr>
              <w:t>深圳市企业研究开发补助资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743,000.00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重点研发计划补助资金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18"/>
              <w:jc w:val="left"/>
              <w:rPr>
                <w:rFonts w:ascii="宋体" w:hAnsi="宋体" w:cs="宋体" w:eastAsia="宋体" w:hint="default"/>
                <w:sz w:val="18"/>
                <w:szCs w:val="18"/>
              </w:rPr>
            </w:pPr>
            <w:r>
              <w:rPr>
                <w:rFonts w:ascii="宋体" w:hAnsi="宋体" w:cs="宋体" w:eastAsia="宋体" w:hint="default"/>
                <w:sz w:val="18"/>
                <w:szCs w:val="18"/>
              </w:rPr>
              <w:t>促进制造业与互联网融合发 展的大数据项目补助资金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102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6"/>
              <w:ind w:left="100" w:right="101"/>
              <w:jc w:val="left"/>
              <w:rPr>
                <w:rFonts w:ascii="宋体" w:hAnsi="宋体" w:cs="宋体" w:eastAsia="宋体" w:hint="default"/>
                <w:sz w:val="18"/>
                <w:szCs w:val="18"/>
              </w:rPr>
            </w:pPr>
            <w:r>
              <w:rPr>
                <w:rFonts w:ascii="宋体" w:hAnsi="宋体" w:cs="宋体" w:eastAsia="宋体" w:hint="default"/>
                <w:sz w:val="18"/>
                <w:szCs w:val="18"/>
              </w:rPr>
              <w:t>工业转型升级智能制造和 </w:t>
            </w:r>
            <w:r>
              <w:rPr>
                <w:rFonts w:ascii="宋体" w:hAnsi="宋体" w:cs="宋体" w:eastAsia="宋体" w:hint="default"/>
                <w:spacing w:val="-7"/>
                <w:sz w:val="18"/>
                <w:szCs w:val="18"/>
              </w:rPr>
              <w:t>“互联网</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”行动支撑项目补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238,000.00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0" w:right="118"/>
              <w:jc w:val="left"/>
              <w:rPr>
                <w:rFonts w:ascii="宋体" w:hAnsi="宋体" w:cs="宋体" w:eastAsia="宋体" w:hint="default"/>
                <w:sz w:val="18"/>
                <w:szCs w:val="18"/>
              </w:rPr>
            </w:pPr>
            <w:r>
              <w:rPr>
                <w:rFonts w:ascii="宋体" w:hAnsi="宋体" w:cs="宋体" w:eastAsia="宋体" w:hint="default"/>
                <w:sz w:val="18"/>
                <w:szCs w:val="18"/>
              </w:rPr>
              <w:t>物联网安全认证模块研发补 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100" w:right="118"/>
              <w:jc w:val="left"/>
              <w:rPr>
                <w:rFonts w:ascii="宋体" w:hAnsi="宋体" w:cs="宋体" w:eastAsia="宋体" w:hint="default"/>
                <w:sz w:val="18"/>
                <w:szCs w:val="18"/>
              </w:rPr>
            </w:pPr>
            <w:r>
              <w:rPr>
                <w:rFonts w:ascii="宋体" w:hAnsi="宋体" w:cs="宋体" w:eastAsia="宋体" w:hint="default"/>
                <w:sz w:val="18"/>
                <w:szCs w:val="18"/>
              </w:rPr>
              <w:t>知识产权战略推进计划补助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18"/>
              <w:jc w:val="left"/>
              <w:rPr>
                <w:rFonts w:ascii="宋体" w:hAnsi="宋体" w:cs="宋体" w:eastAsia="宋体" w:hint="default"/>
                <w:sz w:val="18"/>
                <w:szCs w:val="18"/>
              </w:rPr>
            </w:pPr>
            <w:r>
              <w:rPr>
                <w:rFonts w:ascii="宋体" w:hAnsi="宋体" w:cs="宋体" w:eastAsia="宋体" w:hint="default"/>
                <w:sz w:val="18"/>
                <w:szCs w:val="18"/>
              </w:rPr>
              <w:t>具有蓝牙通讯功能的多应用 智能卡补助资金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6"/>
              <w:ind w:left="100" w:right="118"/>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卡互联网支付终端 产品研发及产业化补助资金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157,200.00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支持交通互联互通多应用的</w:t>
            </w:r>
          </w:p>
          <w:p>
            <w:pPr>
              <w:pStyle w:val="TableParagraph"/>
              <w:spacing w:line="240" w:lineRule="auto" w:before="7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卡产品补助资金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0" w:right="118"/>
              <w:jc w:val="left"/>
              <w:rPr>
                <w:rFonts w:ascii="宋体" w:hAnsi="宋体" w:cs="宋体" w:eastAsia="宋体" w:hint="default"/>
                <w:sz w:val="18"/>
                <w:szCs w:val="18"/>
              </w:rPr>
            </w:pPr>
            <w:r>
              <w:rPr>
                <w:rFonts w:ascii="宋体" w:hAnsi="宋体" w:cs="宋体" w:eastAsia="宋体" w:hint="default"/>
                <w:sz w:val="18"/>
                <w:szCs w:val="18"/>
              </w:rPr>
              <w:t>促进总部经济发展的企业奖 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172,182.52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172,182.52</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0" w:right="118"/>
              <w:jc w:val="left"/>
              <w:rPr>
                <w:rFonts w:ascii="宋体" w:hAnsi="宋体" w:cs="宋体" w:eastAsia="宋体" w:hint="default"/>
                <w:sz w:val="18"/>
                <w:szCs w:val="18"/>
              </w:rPr>
            </w:pPr>
            <w:r>
              <w:rPr>
                <w:rFonts w:ascii="宋体" w:hAnsi="宋体" w:cs="宋体" w:eastAsia="宋体" w:hint="default"/>
                <w:sz w:val="18"/>
                <w:szCs w:val="18"/>
              </w:rPr>
              <w:t>贯标认证和绩效评价合格奖 励资金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28,900.00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28,900.00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9,600.00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9,600.00</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9223"/>
        <w:jc w:val="left"/>
      </w:pPr>
      <w:r>
        <w:rPr/>
        <w:t>□ 适用 √ 不适用 其他说明：</w:t>
      </w:r>
    </w:p>
    <w:p>
      <w:pPr>
        <w:spacing w:line="240" w:lineRule="auto" w:before="12"/>
        <w:rPr>
          <w:rFonts w:ascii="宋体" w:hAnsi="宋体" w:cs="宋体" w:eastAsia="宋体" w:hint="default"/>
          <w:sz w:val="19"/>
          <w:szCs w:val="19"/>
        </w:rPr>
      </w:pPr>
    </w:p>
    <w:p>
      <w:pPr>
        <w:spacing w:line="487" w:lineRule="auto" w:before="0"/>
        <w:ind w:left="112"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、非同一控制下企业合并</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61"/>
        <w:gridCol w:w="1066"/>
        <w:gridCol w:w="1063"/>
        <w:gridCol w:w="1063"/>
        <w:gridCol w:w="1066"/>
        <w:gridCol w:w="1063"/>
        <w:gridCol w:w="1063"/>
        <w:gridCol w:w="1061"/>
        <w:gridCol w:w="1063"/>
      </w:tblGrid>
      <w:tr>
        <w:trPr>
          <w:trHeight w:val="353" w:hRule="exact"/>
        </w:trPr>
        <w:tc>
          <w:tcPr>
            <w:tcW w:w="1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购买日至</w:t>
            </w: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购买日至</w:t>
            </w:r>
          </w:p>
        </w:tc>
      </w:tr>
      <w:tr>
        <w:trPr>
          <w:trHeight w:val="624" w:hRule="exact"/>
        </w:trPr>
        <w:tc>
          <w:tcPr>
            <w:tcW w:w="1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3" w:right="167"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8"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5" w:right="165"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5"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7" w:right="166"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3" w:right="167"/>
              <w:jc w:val="left"/>
              <w:rPr>
                <w:rFonts w:ascii="宋体" w:hAnsi="宋体" w:cs="宋体" w:eastAsia="宋体" w:hint="default"/>
                <w:sz w:val="18"/>
                <w:szCs w:val="18"/>
              </w:rPr>
            </w:pPr>
            <w:r>
              <w:rPr>
                <w:rFonts w:ascii="宋体" w:hAnsi="宋体" w:cs="宋体" w:eastAsia="宋体" w:hint="default"/>
                <w:sz w:val="18"/>
                <w:szCs w:val="18"/>
              </w:rPr>
              <w:t>期末被购 买方的收</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5" w:right="165"/>
              <w:jc w:val="left"/>
              <w:rPr>
                <w:rFonts w:ascii="宋体" w:hAnsi="宋体" w:cs="宋体" w:eastAsia="宋体" w:hint="default"/>
                <w:sz w:val="18"/>
                <w:szCs w:val="18"/>
              </w:rPr>
            </w:pPr>
            <w:r>
              <w:rPr>
                <w:rFonts w:ascii="宋体" w:hAnsi="宋体" w:cs="宋体" w:eastAsia="宋体" w:hint="default"/>
                <w:sz w:val="18"/>
                <w:szCs w:val="18"/>
              </w:rPr>
              <w:t>期末被购 买方的净</w:t>
            </w:r>
          </w:p>
        </w:tc>
      </w:tr>
      <w:tr>
        <w:trPr>
          <w:trHeight w:val="360" w:hRule="exact"/>
        </w:trPr>
        <w:tc>
          <w:tcPr>
            <w:tcW w:w="1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入</w:t>
            </w: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2;width:4779;height:396" coordorigin="12,12" coordsize="4779,396">
              <v:shape style="position:absolute;left:12;top:12;width:4779;height:396" coordorigin="12,12" coordsize="4779,396" path="m12,12l4790,12,4790,408,12,408,12,12xe" filled="true" fillcolor="#d3d3d3" stroked="false">
                <v:path arrowok="t"/>
                <v:fill type="solid"/>
              </v:shape>
            </v:group>
            <v:group style="position:absolute;left:4795;top:12;width:4779;height:396" coordorigin="4795,12" coordsize="4779,396">
              <v:shape style="position:absolute;left:4795;top:12;width:4779;height:396" coordorigin="4795,12" coordsize="4779,396" path="m4795,12l9574,12,9574,408,4795,408,4795,12xe" filled="true" fillcolor="#e1ffff"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793;top:5;width:2;height:404" coordorigin="4793,5" coordsize="2,404">
              <v:shape style="position:absolute;left:4793;top:5;width:2;height:404" coordorigin="4793,5" coordsize="0,404" path="m4793,5l4793,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shape style="position:absolute;left:10;top:10;width:4784;height:404"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7"/>
        <w:ind w:right="6073"/>
        <w:jc w:val="left"/>
      </w:pPr>
      <w:r>
        <w:rPr/>
        <w:t>合并成本公允价值的确定方法、或有对价及其变动的说明： 大额商誉形成的主要原因：</w:t>
      </w:r>
    </w:p>
    <w:p>
      <w:pPr>
        <w:pStyle w:val="BodyText"/>
        <w:spacing w:line="240" w:lineRule="auto" w:before="27"/>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79"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5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57"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0"/>
        <w:jc w:val="both"/>
      </w:pPr>
      <w:r>
        <w:rPr/>
        <w:t>可辨认资产、负债公允价值的确定方法： 企业合并中承担的被购买方的或有负债： 其他说明：</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5"/>
        <w:ind w:right="0"/>
        <w:jc w:val="both"/>
      </w:pPr>
      <w:r>
        <w:rPr/>
        <w:t>□ 是 √ 否</w:t>
      </w:r>
    </w:p>
    <w:p>
      <w:pPr>
        <w:spacing w:after="0" w:line="240" w:lineRule="auto"/>
        <w:jc w:val="both"/>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61"/>
        <w:gridCol w:w="1061"/>
        <w:gridCol w:w="1063"/>
        <w:gridCol w:w="1063"/>
        <w:gridCol w:w="1063"/>
        <w:gridCol w:w="1066"/>
        <w:gridCol w:w="1063"/>
        <w:gridCol w:w="1063"/>
        <w:gridCol w:w="1066"/>
      </w:tblGrid>
      <w:tr>
        <w:trPr>
          <w:trHeight w:val="1651"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43" w:right="167"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3" w:right="166"/>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3" w:right="168"/>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5" w:right="166"/>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5" w:right="168"/>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5" w:right="165"/>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5" w:right="168"/>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2;width:4779;height:396" coordorigin="12,12" coordsize="4779,396">
              <v:shape style="position:absolute;left:12;top:12;width:4779;height:396" coordorigin="12,12" coordsize="4779,396" path="m12,12l4790,12,4790,408,12,408,12,12xe" filled="true" fillcolor="#d3d3d3" stroked="false">
                <v:path arrowok="t"/>
                <v:fill type="solid"/>
              </v:shape>
            </v:group>
            <v:group style="position:absolute;left:4795;top:12;width:4779;height:396" coordorigin="4795,12" coordsize="4779,396">
              <v:shape style="position:absolute;left:4795;top:12;width:4779;height:396" coordorigin="4795,12" coordsize="4779,396" path="m4795,12l9574,12,9574,408,4795,408,4795,12xe" filled="true" fillcolor="#e1ffff"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793;top:5;width:2;height:404" coordorigin="4793,5" coordsize="2,404">
              <v:shape style="position:absolute;left:4793;top:5;width:2;height:404" coordorigin="4793,5" coordsize="0,404" path="m4793,5l4793,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shape style="position:absolute;left:10;top:10;width:4784;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7"/>
        <w:ind w:right="8593"/>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05"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4pt;height:41.2pt;mso-position-horizontal-relative:char;mso-position-vertical-relative:line" coordorigin="0,0" coordsize="9588,824">
            <v:group style="position:absolute;left:12;top:12;width:3185;height:394" coordorigin="12,12" coordsize="3185,394">
              <v:shape style="position:absolute;left:12;top:12;width:3185;height:394" coordorigin="12,12" coordsize="3185,394" path="m12,12l3197,12,3197,406,12,406,12,12xe" filled="true" fillcolor="#d3d3d3" stroked="false">
                <v:path arrowok="t"/>
                <v:fill type="solid"/>
              </v:shape>
            </v:group>
            <v:group style="position:absolute;left:3202;top:12;width:6375;height:394" coordorigin="3202,12" coordsize="6375,394">
              <v:shape style="position:absolute;left:3202;top:12;width:6375;height:394" coordorigin="3202,12" coordsize="6375,394" path="m3202,12l9576,12,9576,406,3202,406,3202,12xe" filled="true" fillcolor="#e1ffff" stroked="false">
                <v:path arrowok="t"/>
                <v:fill type="solid"/>
              </v:shape>
            </v:group>
            <v:group style="position:absolute;left:12;top:415;width:3185;height:396" coordorigin="12,415" coordsize="3185,396">
              <v:shape style="position:absolute;left:12;top:415;width:3185;height:396" coordorigin="12,415" coordsize="3185,396" path="m12,415l3197,415,3197,811,12,811,12,415xe" filled="true" fillcolor="#d3d3d3" stroked="false">
                <v:path arrowok="t"/>
                <v:fill type="solid"/>
              </v:shape>
            </v:group>
            <v:group style="position:absolute;left:3202;top:415;width:3185;height:396" coordorigin="3202,415" coordsize="3185,396">
              <v:shape style="position:absolute;left:3202;top:415;width:3185;height:396" coordorigin="3202,415" coordsize="3185,396" path="m3202,415l6386,415,6386,811,3202,811,3202,415xe" filled="true" fillcolor="#d3d3d3" stroked="false">
                <v:path arrowok="t"/>
                <v:fill type="solid"/>
              </v:shape>
            </v:group>
            <v:group style="position:absolute;left:6391;top:415;width:3185;height:396" coordorigin="6391,415" coordsize="3185,396">
              <v:shape style="position:absolute;left:6391;top:415;width:3185;height:396" coordorigin="6391,415" coordsize="3185,396" path="m6391,415l9576,415,9576,811,6391,811,6391,415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00000">
                <v:path arrowok="t"/>
              </v:shape>
            </v:group>
            <v:group style="position:absolute;left:5;top:413;width:9579;height:2" coordorigin="5,413" coordsize="9579,2">
              <v:shape style="position:absolute;left:5;top:413;width:9579;height:2" coordorigin="5,413" coordsize="9579,0" path="m5,413l9583,413e" filled="false" stroked="true" strokeweight=".48pt" strokecolor="#000000">
                <v:path arrowok="t"/>
              </v:shape>
            </v:group>
            <v:group style="position:absolute;left:5;top:814;width:9579;height:2" coordorigin="5,814" coordsize="9579,2">
              <v:shape style="position:absolute;left:5;top:814;width:9579;height:2" coordorigin="5,814" coordsize="9579,0" path="m5,814l9583,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199;top:5;width:2;height:804" coordorigin="3199,5" coordsize="2,804">
              <v:shape style="position:absolute;left:3199;top:5;width:2;height:804" coordorigin="3199,5" coordsize="0,804" path="m3199,5l3199,809e" filled="false" stroked="true" strokeweight=".48pt" strokecolor="#000000">
                <v:path arrowok="t"/>
              </v:shape>
            </v:group>
            <v:group style="position:absolute;left:6389;top:408;width:2;height:401" coordorigin="6389,408" coordsize="2,401">
              <v:shape style="position:absolute;left:6389;top:408;width:2;height:401" coordorigin="6389,408" coordsize="0,401" path="m6389,408l6389,809e" filled="false" stroked="true" strokeweight=".48pt" strokecolor="#000000">
                <v:path arrowok="t"/>
              </v:shape>
            </v:group>
            <v:group style="position:absolute;left:9578;top:14;width:2;height:804" coordorigin="9578,14" coordsize="2,804">
              <v:shape style="position:absolute;left:9578;top:14;width:2;height:804" coordorigin="9578,14" coordsize="0,804" path="m9578,14l9578,818e" filled="false" stroked="true" strokeweight=".48pt" strokecolor="#000000">
                <v:path arrowok="t"/>
              </v:shape>
              <v:shape style="position:absolute;left:3199;top:412;width:3190;height:402" type="#_x0000_t202" filled="false" stroked="false">
                <v:textbox inset="0,0,0,0">
                  <w:txbxContent>
                    <w:p>
                      <w:pPr>
                        <w:spacing w:before="52"/>
                        <w:ind w:left="0" w:right="2"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9;top:412;width:3190;height:402" type="#_x0000_t202" filled="false" stroked="false">
                <v:textbox inset="0,0,0,0">
                  <w:txbxContent>
                    <w:p>
                      <w:pPr>
                        <w:spacing w:before="52"/>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7513"/>
        <w:jc w:val="left"/>
      </w:pPr>
      <w:r>
        <w:rPr/>
        <w:t>企业合并中承担的被合并方的或有负债： 其他说明：</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60" w:lineRule="auto" w:before="115"/>
        <w:ind w:right="4993"/>
        <w:jc w:val="left"/>
      </w:pPr>
      <w:r>
        <w:rPr/>
        <w:t>□ 是 √ 否 是否存在通过多次交易分步处置对子公司投资且在本期丧失控制权的情形</w:t>
      </w:r>
    </w:p>
    <w:p>
      <w:pPr>
        <w:pStyle w:val="BodyText"/>
        <w:spacing w:line="240" w:lineRule="auto" w:before="27"/>
        <w:ind w:right="0"/>
        <w:jc w:val="left"/>
      </w:pPr>
      <w:r>
        <w:rPr/>
        <w:t>□ 是 √ 否</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2653"/>
        <w:jc w:val="left"/>
      </w:pPr>
      <w:r>
        <w:rPr/>
        <w:t>说明其他原因导致的合并范围变动（如，新设子公司、清算子公司等）及其相关情况： 报告期内，公司在肯尼亚设立全资子公司恒宝（中东非洲）有限责任公司并将其纳入本年度合并范围。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42"/>
        <w:ind w:left="112" w:right="8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1370"/>
        <w:gridCol w:w="1366"/>
        <w:gridCol w:w="1368"/>
        <w:gridCol w:w="1368"/>
        <w:gridCol w:w="1366"/>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100" w:right="178"/>
              <w:jc w:val="both"/>
              <w:rPr>
                <w:rFonts w:ascii="宋体" w:hAnsi="宋体" w:cs="宋体" w:eastAsia="宋体" w:hint="default"/>
                <w:sz w:val="18"/>
                <w:szCs w:val="18"/>
              </w:rPr>
            </w:pPr>
            <w:r>
              <w:rPr>
                <w:rFonts w:ascii="宋体" w:hAnsi="宋体" w:cs="宋体" w:eastAsia="宋体" w:hint="default"/>
                <w:sz w:val="18"/>
                <w:szCs w:val="18"/>
              </w:rPr>
              <w:t>江苏恒宝智能 系统技术有限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江苏丹阳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78"/>
              <w:jc w:val="both"/>
              <w:rPr>
                <w:rFonts w:ascii="宋体" w:hAnsi="宋体" w:cs="宋体" w:eastAsia="宋体" w:hint="default"/>
                <w:sz w:val="18"/>
                <w:szCs w:val="18"/>
              </w:rPr>
            </w:pPr>
            <w:r>
              <w:rPr>
                <w:rFonts w:ascii="宋体" w:hAnsi="宋体" w:cs="宋体" w:eastAsia="宋体" w:hint="default"/>
                <w:sz w:val="18"/>
                <w:szCs w:val="18"/>
              </w:rPr>
              <w:t>北京东方英卡 数字信息技术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企业合并取得</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100" w:right="178"/>
              <w:jc w:val="left"/>
              <w:rPr>
                <w:rFonts w:ascii="宋体" w:hAnsi="宋体" w:cs="宋体" w:eastAsia="宋体" w:hint="default"/>
                <w:sz w:val="18"/>
                <w:szCs w:val="18"/>
              </w:rPr>
            </w:pPr>
            <w:r>
              <w:rPr>
                <w:rFonts w:ascii="宋体" w:hAnsi="宋体" w:cs="宋体" w:eastAsia="宋体" w:hint="default"/>
                <w:sz w:val="18"/>
                <w:szCs w:val="18"/>
              </w:rPr>
              <w:t>恒宝国际有限 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78"/>
              <w:jc w:val="both"/>
              <w:rPr>
                <w:rFonts w:ascii="宋体" w:hAnsi="宋体" w:cs="宋体" w:eastAsia="宋体" w:hint="default"/>
                <w:sz w:val="18"/>
                <w:szCs w:val="18"/>
              </w:rPr>
            </w:pPr>
            <w:r>
              <w:rPr>
                <w:rFonts w:ascii="宋体" w:hAnsi="宋体" w:cs="宋体" w:eastAsia="宋体" w:hint="default"/>
                <w:sz w:val="18"/>
                <w:szCs w:val="18"/>
              </w:rPr>
              <w:t>恒宝科技（印 度）私人有限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0" w:right="178"/>
              <w:jc w:val="both"/>
              <w:rPr>
                <w:rFonts w:ascii="宋体" w:hAnsi="宋体" w:cs="宋体" w:eastAsia="宋体" w:hint="default"/>
                <w:sz w:val="18"/>
                <w:szCs w:val="18"/>
              </w:rPr>
            </w:pPr>
            <w:r>
              <w:rPr>
                <w:rFonts w:ascii="宋体" w:hAnsi="宋体" w:cs="宋体" w:eastAsia="宋体" w:hint="default"/>
                <w:sz w:val="18"/>
                <w:szCs w:val="18"/>
              </w:rPr>
              <w:t>云宝金服（北 京）科技有限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78"/>
              <w:jc w:val="both"/>
              <w:rPr>
                <w:rFonts w:ascii="宋体" w:hAnsi="宋体" w:cs="宋体" w:eastAsia="宋体" w:hint="default"/>
                <w:sz w:val="18"/>
                <w:szCs w:val="18"/>
              </w:rPr>
            </w:pPr>
            <w:r>
              <w:rPr>
                <w:rFonts w:ascii="宋体" w:hAnsi="宋体" w:cs="宋体" w:eastAsia="宋体" w:hint="default"/>
                <w:sz w:val="18"/>
                <w:szCs w:val="18"/>
              </w:rPr>
              <w:t>深圳一卡易科 技股份有限公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企业合并取得</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0" w:right="178"/>
              <w:jc w:val="both"/>
              <w:rPr>
                <w:rFonts w:ascii="宋体" w:hAnsi="宋体" w:cs="宋体" w:eastAsia="宋体" w:hint="default"/>
                <w:sz w:val="18"/>
                <w:szCs w:val="18"/>
              </w:rPr>
            </w:pPr>
            <w:r>
              <w:rPr>
                <w:rFonts w:ascii="宋体" w:hAnsi="宋体" w:cs="宋体" w:eastAsia="宋体" w:hint="default"/>
                <w:sz w:val="18"/>
                <w:szCs w:val="18"/>
              </w:rPr>
              <w:t>深圳钱客多信 息科技有限公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企业合并取得</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78"/>
              <w:jc w:val="both"/>
              <w:rPr>
                <w:rFonts w:ascii="宋体" w:hAnsi="宋体" w:cs="宋体" w:eastAsia="宋体" w:hint="default"/>
                <w:sz w:val="18"/>
                <w:szCs w:val="18"/>
              </w:rPr>
            </w:pPr>
            <w:r>
              <w:rPr>
                <w:rFonts w:ascii="宋体" w:hAnsi="宋体" w:cs="宋体" w:eastAsia="宋体" w:hint="default"/>
                <w:sz w:val="18"/>
                <w:szCs w:val="18"/>
              </w:rPr>
              <w:t>深圳一卡易网 络科技有限公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互联网信息</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企业合并取得</w:t>
            </w:r>
          </w:p>
        </w:tc>
      </w:tr>
      <w:tr>
        <w:trPr>
          <w:trHeight w:val="68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0" w:right="178"/>
              <w:jc w:val="left"/>
              <w:rPr>
                <w:rFonts w:ascii="宋体" w:hAnsi="宋体" w:cs="宋体" w:eastAsia="宋体" w:hint="default"/>
                <w:sz w:val="18"/>
                <w:szCs w:val="18"/>
              </w:rPr>
            </w:pPr>
            <w:r>
              <w:rPr>
                <w:rFonts w:ascii="宋体" w:hAnsi="宋体" w:cs="宋体" w:eastAsia="宋体" w:hint="default"/>
                <w:sz w:val="18"/>
                <w:szCs w:val="18"/>
              </w:rPr>
              <w:t>恒宝（中东非 洲）有限责任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肯尼亚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肯尼亚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footerReference w:type="default" r:id="rId32"/>
          <w:pgSz w:w="11910" w:h="16840"/>
          <w:pgMar w:footer="1017" w:header="905" w:top="1100" w:bottom="1200" w:left="1020" w:right="0"/>
          <w:pgNumType w:start="150"/>
        </w:sectPr>
      </w:pPr>
    </w:p>
    <w:p>
      <w:pPr>
        <w:spacing w:line="240" w:lineRule="auto" w:before="7"/>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1370"/>
        <w:gridCol w:w="1366"/>
        <w:gridCol w:w="1368"/>
        <w:gridCol w:w="1368"/>
        <w:gridCol w:w="1366"/>
        <w:gridCol w:w="1366"/>
        <w:gridCol w:w="1366"/>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5"/>
        <w:ind w:right="7693"/>
        <w:jc w:val="left"/>
      </w:pPr>
      <w:r>
        <w:rPr/>
        <w:t>确定公司是代理人还是委托人的依据：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5"/>
        <w:gridCol w:w="1913"/>
        <w:gridCol w:w="1915"/>
        <w:gridCol w:w="1913"/>
        <w:gridCol w:w="1913"/>
      </w:tblGrid>
      <w:tr>
        <w:trPr>
          <w:trHeight w:val="71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81" w:right="141"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99" w:right="142"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59" w:right="143"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6"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0" w:right="182"/>
              <w:jc w:val="left"/>
              <w:rPr>
                <w:rFonts w:ascii="宋体" w:hAnsi="宋体" w:cs="宋体" w:eastAsia="宋体" w:hint="default"/>
                <w:sz w:val="18"/>
                <w:szCs w:val="18"/>
              </w:rPr>
            </w:pPr>
            <w:r>
              <w:rPr>
                <w:rFonts w:ascii="宋体" w:hAnsi="宋体" w:cs="宋体" w:eastAsia="宋体" w:hint="default"/>
                <w:sz w:val="18"/>
                <w:szCs w:val="18"/>
              </w:rPr>
              <w:t>深圳一卡易科技股份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45" w:right="0"/>
              <w:jc w:val="left"/>
              <w:rPr>
                <w:rFonts w:ascii="Times New Roman" w:hAnsi="Times New Roman" w:cs="Times New Roman" w:eastAsia="Times New Roman" w:hint="default"/>
                <w:sz w:val="18"/>
                <w:szCs w:val="18"/>
              </w:rPr>
            </w:pPr>
            <w:r>
              <w:rPr>
                <w:rFonts w:ascii="Times New Roman"/>
                <w:sz w:val="18"/>
              </w:rPr>
              <w:t>48.90%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2,139,247.00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88,715,750.90</w:t>
            </w:r>
          </w:p>
        </w:tc>
      </w:tr>
    </w:tbl>
    <w:p>
      <w:pPr>
        <w:pStyle w:val="BodyText"/>
        <w:spacing w:line="360" w:lineRule="auto" w:before="49"/>
        <w:ind w:right="6433"/>
        <w:jc w:val="left"/>
      </w:pPr>
      <w:r>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734"/>
        <w:gridCol w:w="737"/>
        <w:gridCol w:w="737"/>
        <w:gridCol w:w="734"/>
        <w:gridCol w:w="737"/>
        <w:gridCol w:w="734"/>
        <w:gridCol w:w="734"/>
        <w:gridCol w:w="737"/>
        <w:gridCol w:w="734"/>
        <w:gridCol w:w="734"/>
        <w:gridCol w:w="737"/>
        <w:gridCol w:w="737"/>
        <w:gridCol w:w="737"/>
      </w:tblGrid>
      <w:tr>
        <w:trPr>
          <w:trHeight w:val="401" w:hRule="exact"/>
        </w:trPr>
        <w:tc>
          <w:tcPr>
            <w:tcW w:w="7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79" w:right="182"/>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7" w:hRule="exact"/>
        </w:trPr>
        <w:tc>
          <w:tcPr>
            <w:tcW w:w="734"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18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0" w:right="182"/>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9"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0" w:right="18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0" w:right="182"/>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353"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一卡</w:t>
            </w: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易科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2"/>
                <w:sz w:val="18"/>
              </w:rPr>
              <w:t>113,50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95,142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208,65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21,970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14,058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36,029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101,19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2"/>
                <w:sz w:val="18"/>
              </w:rPr>
              <w:t>112,28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213,47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30,135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16,739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46,875</w:t>
            </w:r>
          </w:p>
        </w:tc>
      </w:tr>
      <w:tr>
        <w:trPr>
          <w:trHeight w:val="312"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技股</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9,906.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,203.9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2"/>
                <w:sz w:val="18"/>
              </w:rPr>
              <w:t>2,110.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,273.3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,776.2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,049.6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3,068.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4,232.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pacing w:val="-1"/>
                <w:sz w:val="18"/>
              </w:rPr>
              <w:t>7,301.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,558.2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,621.2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,179.4</w:t>
            </w:r>
          </w:p>
        </w:tc>
      </w:tr>
      <w:tr>
        <w:trPr>
          <w:trHeight w:val="312"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份有</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27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26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42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02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7</w:t>
            </w:r>
          </w:p>
        </w:tc>
      </w:tr>
      <w:tr>
        <w:trPr>
          <w:trHeight w:val="30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限公</w:t>
            </w: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61"/>
        <w:gridCol w:w="1061"/>
        <w:gridCol w:w="1061"/>
        <w:gridCol w:w="1066"/>
        <w:gridCol w:w="1066"/>
        <w:gridCol w:w="1063"/>
        <w:gridCol w:w="1063"/>
        <w:gridCol w:w="1061"/>
        <w:gridCol w:w="1068"/>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431" w:right="167"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5" w:right="168"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5" w:right="168"/>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3" w:right="166"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7" w:right="168"/>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353"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深圳一卡</w:t>
            </w:r>
          </w:p>
        </w:tc>
        <w:tc>
          <w:tcPr>
            <w:tcW w:w="1061"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易科技股</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46,246,960</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6,020,939.</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6,020,939.</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6,046,790.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9" w:right="0"/>
              <w:jc w:val="left"/>
              <w:rPr>
                <w:rFonts w:ascii="Times New Roman" w:hAnsi="Times New Roman" w:cs="Times New Roman" w:eastAsia="Times New Roman" w:hint="default"/>
                <w:sz w:val="18"/>
                <w:szCs w:val="18"/>
              </w:rPr>
            </w:pPr>
            <w:r>
              <w:rPr>
                <w:rFonts w:ascii="Times New Roman"/>
                <w:sz w:val="18"/>
              </w:rPr>
              <w:t>40,570,152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4,210,736.</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4,210,736.</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20,579,059</w:t>
            </w:r>
          </w:p>
        </w:tc>
      </w:tr>
      <w:tr>
        <w:trPr>
          <w:trHeight w:val="31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份有限公</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.62</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8"/>
                <w:szCs w:val="18"/>
              </w:rPr>
            </w:pPr>
            <w:r>
              <w:rPr>
                <w:rFonts w:ascii="Times New Roman"/>
                <w:sz w:val="18"/>
              </w:rPr>
              <w:t>10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10</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.83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89</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8"/>
                <w:szCs w:val="18"/>
              </w:rPr>
            </w:pPr>
            <w:r>
              <w:rPr>
                <w:rFonts w:ascii="Times New Roman"/>
                <w:sz w:val="18"/>
              </w:rPr>
              <w:t>89</w:t>
            </w:r>
          </w:p>
        </w:tc>
        <w:tc>
          <w:tcPr>
            <w:tcW w:w="106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.60</w:t>
            </w:r>
          </w:p>
        </w:tc>
      </w:tr>
      <w:tr>
        <w:trPr>
          <w:trHeight w:val="355"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61"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8"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2;width:4779;height:396" coordorigin="12,12" coordsize="4779,396">
              <v:shape style="position:absolute;left:12;top:12;width:4779;height:396" coordorigin="12,12" coordsize="4779,396" path="m12,12l4790,12,4790,408,12,408,12,12xe" filled="true" fillcolor="#d3d3d3" stroked="false">
                <v:path arrowok="t"/>
                <v:fill type="solid"/>
              </v:shape>
            </v:group>
            <v:group style="position:absolute;left:4795;top:12;width:4779;height:396" coordorigin="4795,12" coordsize="4779,396">
              <v:shape style="position:absolute;left:4795;top:12;width:4779;height:396" coordorigin="4795,12" coordsize="4779,396" path="m4795,12l9574,12,9574,408,4795,408,4795,12xe" filled="true" fillcolor="#e1ffff"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793;top:5;width:2;height:404" coordorigin="4793,5" coordsize="2,404">
              <v:shape style="position:absolute;left:4793;top:5;width:2;height:404" coordorigin="4793,5" coordsize="0,404" path="m4793,5l4793,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1370"/>
        <w:gridCol w:w="1366"/>
        <w:gridCol w:w="1368"/>
        <w:gridCol w:w="1368"/>
        <w:gridCol w:w="1366"/>
        <w:gridCol w:w="1366"/>
        <w:gridCol w:w="1366"/>
      </w:tblGrid>
      <w:tr>
        <w:trPr>
          <w:trHeight w:val="403" w:hRule="exact"/>
        </w:trPr>
        <w:tc>
          <w:tcPr>
            <w:tcW w:w="13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对合营企业或</w:t>
            </w:r>
          </w:p>
        </w:tc>
      </w:tr>
      <w:tr>
        <w:trPr>
          <w:trHeight w:val="576" w:hRule="exact"/>
        </w:trPr>
        <w:tc>
          <w:tcPr>
            <w:tcW w:w="13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left="228" w:right="0" w:hanging="92"/>
              <w:jc w:val="left"/>
              <w:rPr>
                <w:rFonts w:ascii="宋体" w:hAnsi="宋体" w:cs="宋体" w:eastAsia="宋体" w:hint="default"/>
                <w:sz w:val="18"/>
                <w:szCs w:val="18"/>
              </w:rPr>
            </w:pPr>
            <w:r>
              <w:rPr>
                <w:rFonts w:ascii="宋体" w:hAnsi="宋体" w:cs="宋体" w:eastAsia="宋体" w:hint="default"/>
                <w:sz w:val="18"/>
                <w:szCs w:val="18"/>
              </w:rPr>
              <w:t>合营企业或联</w:t>
            </w:r>
          </w:p>
          <w:p>
            <w:pPr>
              <w:pStyle w:val="TableParagraph"/>
              <w:spacing w:line="240" w:lineRule="auto" w:before="76"/>
              <w:ind w:left="228" w:right="0"/>
              <w:jc w:val="left"/>
              <w:rPr>
                <w:rFonts w:ascii="宋体" w:hAnsi="宋体" w:cs="宋体" w:eastAsia="宋体" w:hint="default"/>
                <w:sz w:val="18"/>
                <w:szCs w:val="18"/>
              </w:rPr>
            </w:pPr>
            <w:r>
              <w:rPr>
                <w:rFonts w:ascii="宋体" w:hAnsi="宋体" w:cs="宋体" w:eastAsia="宋体" w:hint="default"/>
                <w:sz w:val="18"/>
                <w:szCs w:val="18"/>
              </w:rPr>
              <w:t>营企业名称</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8"/>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8"/>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left="136" w:right="0"/>
              <w:jc w:val="left"/>
              <w:rPr>
                <w:rFonts w:ascii="宋体" w:hAnsi="宋体" w:cs="宋体" w:eastAsia="宋体" w:hint="default"/>
                <w:sz w:val="18"/>
                <w:szCs w:val="18"/>
              </w:rPr>
            </w:pPr>
            <w:r>
              <w:rPr>
                <w:rFonts w:ascii="宋体" w:hAnsi="宋体" w:cs="宋体" w:eastAsia="宋体" w:hint="default"/>
                <w:sz w:val="18"/>
                <w:szCs w:val="18"/>
              </w:rPr>
              <w:t>联营企业投资</w:t>
            </w:r>
          </w:p>
          <w:p>
            <w:pPr>
              <w:pStyle w:val="TableParagraph"/>
              <w:spacing w:line="240" w:lineRule="auto" w:before="76"/>
              <w:ind w:left="136" w:right="0"/>
              <w:jc w:val="left"/>
              <w:rPr>
                <w:rFonts w:ascii="宋体" w:hAnsi="宋体" w:cs="宋体" w:eastAsia="宋体" w:hint="default"/>
                <w:sz w:val="18"/>
                <w:szCs w:val="18"/>
              </w:rPr>
            </w:pPr>
            <w:r>
              <w:rPr>
                <w:rFonts w:ascii="宋体" w:hAnsi="宋体" w:cs="宋体" w:eastAsia="宋体" w:hint="default"/>
                <w:sz w:val="18"/>
                <w:szCs w:val="18"/>
              </w:rPr>
              <w:t>的会计处理方</w:t>
            </w:r>
          </w:p>
        </w:tc>
      </w:tr>
      <w:tr>
        <w:trPr>
          <w:trHeight w:val="360" w:hRule="exact"/>
        </w:trPr>
        <w:tc>
          <w:tcPr>
            <w:tcW w:w="13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法</w:t>
            </w: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上海恒毓投资</w:t>
            </w: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中心（有限合</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98" w:right="0"/>
              <w:jc w:val="left"/>
              <w:rPr>
                <w:rFonts w:ascii="Times New Roman" w:hAnsi="Times New Roman" w:cs="Times New Roman" w:eastAsia="Times New Roman" w:hint="default"/>
                <w:sz w:val="18"/>
                <w:szCs w:val="18"/>
              </w:rPr>
            </w:pPr>
            <w:r>
              <w:rPr>
                <w:rFonts w:ascii="Times New Roman"/>
                <w:sz w:val="18"/>
              </w:rPr>
              <w:t>39.40%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4"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7"/>
        <w:ind w:right="0"/>
        <w:jc w:val="left"/>
      </w:pPr>
      <w:r>
        <w:rPr/>
        <w:t>持有</w:t>
      </w:r>
      <w:r>
        <w:rPr>
          <w:spacing w:val="-50"/>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上海恒毓投资中心（有限合伙）</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上海恒毓投资中心（有限合伙）</w:t>
            </w:r>
          </w:p>
        </w:tc>
      </w:tr>
    </w:tbl>
    <w:p>
      <w:pPr>
        <w:spacing w:after="0" w:line="240" w:lineRule="auto"/>
        <w:jc w:val="center"/>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354,294,662.55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420,697,530.39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177,266,375.03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93,515,000.00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531,561,037.58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514,212,530.39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209,435,048.81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202,599,736.97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17,348,507.19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6,733,998.39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17,348,507.19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6,733,998.39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821,144.46</w:t>
            </w:r>
          </w:p>
        </w:tc>
      </w:tr>
    </w:tbl>
    <w:p>
      <w:pPr>
        <w:pStyle w:val="BodyText"/>
        <w:spacing w:line="360" w:lineRule="auto" w:before="49"/>
        <w:ind w:right="3178"/>
        <w:jc w:val="left"/>
      </w:pPr>
      <w:r>
        <w:rPr/>
        <w:t>其他说明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日，公司实缴出资比例为</w:t>
      </w:r>
      <w:r>
        <w:rPr>
          <w:rFonts w:ascii="Times New Roman" w:hAnsi="Times New Roman" w:cs="Times New Roman" w:eastAsia="Times New Roman" w:hint="default"/>
        </w:rPr>
        <w:t>39.40%</w:t>
      </w:r>
      <w:r>
        <w:rPr/>
        <w:t>，按实缴出资比例确认本公司的净资产份额。</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24"/>
        <w:gridCol w:w="3058"/>
        <w:gridCol w:w="3187"/>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88"/>
        <w:gridCol w:w="2393"/>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559" w:right="110" w:hanging="449"/>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1596"/>
        <w:gridCol w:w="1594"/>
        <w:gridCol w:w="1594"/>
        <w:gridCol w:w="1594"/>
        <w:gridCol w:w="1596"/>
        <w:gridCol w:w="1591"/>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46"/>
        <w:ind w:right="5533"/>
        <w:jc w:val="left"/>
      </w:pPr>
      <w:r>
        <w:rPr/>
        <w:t>在共同经营中的持股比例或享有的份额不同于表决权比例的说明： 共同经营为单独主体的，分类为共同经营的依据：</w:t>
      </w:r>
    </w:p>
    <w:p>
      <w:pPr>
        <w:spacing w:after="0" w:line="360" w:lineRule="auto"/>
        <w:jc w:val="left"/>
        <w:sectPr>
          <w:pgSz w:w="11910" w:h="16840"/>
          <w:pgMar w:header="905" w:footer="1017"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jc w:val="left"/>
      </w:pPr>
      <w:r>
        <w:rPr/>
        <w:t>公司的主要金融工具包括借款、应收款项、应付款项等，各项金融工具的详细情况见本附注七。 与这些金融工具有关的风险，以及公司为降低这些风险所采取的风险管理政策如下所述： </w:t>
      </w:r>
      <w:r>
        <w:rPr>
          <w:spacing w:val="-2"/>
        </w:rPr>
        <w:t>公司管理层对这些风险敞口进行管理和监控以确保将上述风险控制在限定的范围之内。公司从事风险管理的目标是在风险和</w:t>
      </w:r>
      <w:r>
        <w:rPr>
          <w:spacing w:val="-64"/>
        </w:rPr>
        <w:t> </w:t>
      </w:r>
      <w:r>
        <w:rPr>
          <w:spacing w:val="-64"/>
        </w:rPr>
      </w:r>
      <w:r>
        <w:rPr>
          <w:spacing w:val="-2"/>
        </w:rPr>
        <w:t>收益之间取得适当的平衡，将风险对公司经营业绩的负面影响降低到最低水平，使股东及其它权益投资者的利益最大化。基</w:t>
      </w:r>
      <w:r>
        <w:rPr>
          <w:spacing w:val="-63"/>
        </w:rPr>
        <w:t> </w:t>
      </w:r>
      <w:r>
        <w:rPr>
          <w:spacing w:val="-63"/>
        </w:rPr>
      </w:r>
      <w:r>
        <w:rPr/>
        <w:t>于该风险管理目标，公司风险管理的基本策略是确定和分析所面临的各种风险，建立适当的风险承受底线并进行风险管理， 并及时可靠地对各种风险进行监督，从而将风险控制在限定的范围之内。</w:t>
      </w:r>
    </w:p>
    <w:p>
      <w:pPr>
        <w:pStyle w:val="BodyText"/>
        <w:spacing w:line="240" w:lineRule="auto" w:before="19"/>
        <w:ind w:right="0"/>
        <w:jc w:val="left"/>
      </w:pPr>
      <w:r>
        <w:rPr/>
        <w:t>1、市场风险</w:t>
      </w:r>
    </w:p>
    <w:p>
      <w:pPr>
        <w:pStyle w:val="BodyText"/>
        <w:spacing w:line="338" w:lineRule="auto" w:before="76"/>
        <w:ind w:right="1033"/>
        <w:jc w:val="left"/>
      </w:pPr>
      <w:r>
        <w:rPr/>
        <w:t>（1）汇率风险 </w:t>
      </w:r>
      <w:r>
        <w:rPr>
          <w:spacing w:val="-2"/>
        </w:rPr>
        <w:t>公司面临的汇率风险主要来自于公司境外子公司以外币计价的资产和负债以及公司以外币进行的采购和销售业务。公司的其</w:t>
      </w:r>
      <w:r>
        <w:rPr>
          <w:spacing w:val="-64"/>
        </w:rPr>
        <w:t> </w:t>
      </w:r>
      <w:r>
        <w:rPr>
          <w:spacing w:val="-64"/>
        </w:rPr>
      </w:r>
      <w:r>
        <w:rPr>
          <w:spacing w:val="-2"/>
        </w:rPr>
        <w:t>它主要业务活动以人民币计价结算。截止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日，除本报告附注七71所述资产及负债的外币余额外，公司的其他资</w:t>
      </w:r>
    </w:p>
    <w:p>
      <w:pPr>
        <w:pStyle w:val="BodyText"/>
        <w:spacing w:line="217" w:lineRule="exact"/>
        <w:ind w:right="0"/>
        <w:jc w:val="left"/>
      </w:pPr>
      <w:r>
        <w:rPr/>
        <w:t>产及负债均为人民币余额。上述外币余额的资产和负债产生的汇率风险可能对公司的经营业绩产生影响。</w:t>
      </w:r>
    </w:p>
    <w:p>
      <w:pPr>
        <w:pStyle w:val="BodyText"/>
        <w:spacing w:line="360" w:lineRule="auto" w:before="114"/>
        <w:ind w:right="3013"/>
        <w:jc w:val="left"/>
      </w:pPr>
      <w:r>
        <w:rPr/>
        <w:t>（2）利率风险 公司的利率风险产生于银行借款等带息债务。固定利率的金融负债使公司面临公允价值利率风险。</w:t>
      </w:r>
    </w:p>
    <w:p>
      <w:pPr>
        <w:pStyle w:val="BodyText"/>
        <w:spacing w:line="222" w:lineRule="exact"/>
        <w:ind w:right="0"/>
        <w:jc w:val="left"/>
      </w:pPr>
      <w:r>
        <w:rPr/>
        <w:t>（3）价格风险</w:t>
      </w:r>
    </w:p>
    <w:p>
      <w:pPr>
        <w:pStyle w:val="BodyText"/>
        <w:spacing w:line="357" w:lineRule="auto" w:before="117"/>
        <w:ind w:right="5353"/>
        <w:jc w:val="left"/>
      </w:pPr>
      <w:r>
        <w:rPr/>
        <w:t>公司以市场价格采购生产所需原料，因此受到此等价格波动的影响。 2、信用风险</w:t>
      </w:r>
    </w:p>
    <w:p>
      <w:pPr>
        <w:pStyle w:val="BodyText"/>
        <w:spacing w:line="224" w:lineRule="exact"/>
        <w:ind w:right="0"/>
        <w:jc w:val="left"/>
      </w:pPr>
      <w:r>
        <w:rPr/>
        <w:t>公司对信用风险按组合分类进行管理。信用风险主要产生于银行存款、应收账款、其他应收款和应收票据等。</w:t>
      </w:r>
    </w:p>
    <w:p>
      <w:pPr>
        <w:pStyle w:val="BodyText"/>
        <w:spacing w:line="316" w:lineRule="auto" w:before="76"/>
        <w:ind w:right="0"/>
        <w:jc w:val="left"/>
      </w:pPr>
      <w:r>
        <w:rPr>
          <w:spacing w:val="-2"/>
        </w:rPr>
        <w:t>公司银行存款主要存放于国有银行和其它信用评级较高的银行，公司认为其不存在重大的信用风险，不会产生因对方单位违</w:t>
      </w:r>
      <w:r>
        <w:rPr>
          <w:spacing w:val="-64"/>
        </w:rPr>
        <w:t> </w:t>
      </w:r>
      <w:r>
        <w:rPr>
          <w:spacing w:val="-64"/>
        </w:rPr>
      </w:r>
      <w:r>
        <w:rPr/>
        <w:t>约而导致的任何重大损失。 </w:t>
      </w:r>
      <w:r>
        <w:rPr>
          <w:spacing w:val="-2"/>
        </w:rPr>
        <w:t>对于应收账款、其他应收款和应收票据，公司设定相关政策以控制信用风险敞口。公司基于对客户的财务状况、从第三方获</w:t>
      </w:r>
      <w:r>
        <w:rPr>
          <w:spacing w:val="-66"/>
        </w:rPr>
        <w:t> </w:t>
      </w:r>
      <w:r>
        <w:rPr>
          <w:spacing w:val="-66"/>
        </w:rPr>
      </w:r>
      <w:r>
        <w:rPr>
          <w:spacing w:val="-2"/>
        </w:rPr>
        <w:t>取担保的可能性、信用记录及其它因素诸如目前市场状况等评估客户的信用资质并设置相应信用期。定期对客户信用记录进</w:t>
      </w:r>
      <w:r>
        <w:rPr>
          <w:spacing w:val="-64"/>
        </w:rPr>
        <w:t> </w:t>
      </w:r>
      <w:r>
        <w:rPr>
          <w:spacing w:val="-64"/>
        </w:rPr>
      </w:r>
      <w:r>
        <w:rPr>
          <w:spacing w:val="-2"/>
        </w:rPr>
        <w:t>行监控，对于信用记录不良的客户，公司会采用书面催款、缩短信用期或取消信用期等方式，以确保公司的整体信用风险在</w:t>
      </w:r>
      <w:r>
        <w:rPr>
          <w:spacing w:val="-66"/>
        </w:rPr>
        <w:t> </w:t>
      </w:r>
      <w:r>
        <w:rPr>
          <w:spacing w:val="-66"/>
        </w:rPr>
      </w:r>
      <w:r>
        <w:rPr>
          <w:spacing w:val="-2"/>
        </w:rPr>
        <w:t>可控的范围内。此外，公司于每个资产负债表日审核每一单项应收款的回收情况，以确保就无法回收的款项计提充分的坏账</w:t>
      </w:r>
      <w:r>
        <w:rPr>
          <w:spacing w:val="-65"/>
        </w:rPr>
        <w:t> </w:t>
      </w:r>
      <w:r>
        <w:rPr>
          <w:spacing w:val="-65"/>
        </w:rPr>
      </w:r>
      <w:r>
        <w:rPr/>
        <w:t>准备。因此，公司管理层认为所承担的信用风险已经大为降低。</w:t>
      </w:r>
    </w:p>
    <w:p>
      <w:pPr>
        <w:pStyle w:val="BodyText"/>
        <w:spacing w:line="338" w:lineRule="auto" w:before="18"/>
        <w:ind w:right="1033"/>
        <w:jc w:val="left"/>
      </w:pPr>
      <w:r>
        <w:rPr/>
        <w:t>3、流动风险 </w:t>
      </w:r>
      <w:r>
        <w:rPr>
          <w:spacing w:val="-2"/>
        </w:rPr>
        <w:t>流动风险为公司在到期日无法履行其财务义务的风险。公司管理流动性风险的方法是确保有足够的资金流动性来履行到期债</w:t>
      </w:r>
      <w:r>
        <w:rPr>
          <w:spacing w:val="-64"/>
        </w:rPr>
        <w:t> </w:t>
      </w:r>
      <w:r>
        <w:rPr>
          <w:spacing w:val="-64"/>
        </w:rPr>
      </w:r>
      <w:r>
        <w:rPr>
          <w:spacing w:val="-2"/>
        </w:rPr>
        <w:t>务，而不至于造成不可接受的损失或对企业信誉造成损害。公司定期分析负债结构和期限，以确保有充裕的资金。公司管理</w:t>
      </w:r>
    </w:p>
    <w:p>
      <w:pPr>
        <w:pStyle w:val="BodyText"/>
        <w:spacing w:line="316" w:lineRule="auto" w:before="2"/>
        <w:ind w:right="1033"/>
        <w:jc w:val="left"/>
      </w:pPr>
      <w:r>
        <w:rPr>
          <w:spacing w:val="-2"/>
        </w:rPr>
        <w:t>层对银行借款的使用情况进行监控并确保遵守借款协议。同时与金融机构进行融资磋商，以保持一定的授信额度，降低流动</w:t>
      </w:r>
      <w:r>
        <w:rPr>
          <w:spacing w:val="-65"/>
        </w:rPr>
        <w:t> </w:t>
      </w:r>
      <w:r>
        <w:rPr>
          <w:spacing w:val="-65"/>
        </w:rPr>
      </w:r>
      <w:r>
        <w:rPr/>
        <w:t>性风险。</w:t>
      </w:r>
    </w:p>
    <w:p>
      <w:pPr>
        <w:spacing w:after="0" w:line="316" w:lineRule="auto"/>
        <w:jc w:val="left"/>
        <w:sectPr>
          <w:pgSz w:w="11910" w:h="16840"/>
          <w:pgMar w:header="905" w:footer="1017" w:top="1100" w:bottom="120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92"/>
        <w:gridCol w:w="1838"/>
        <w:gridCol w:w="1913"/>
        <w:gridCol w:w="1913"/>
        <w:gridCol w:w="1913"/>
      </w:tblGrid>
      <w:tr>
        <w:trPr>
          <w:trHeight w:val="403" w:hRule="exact"/>
        </w:trPr>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2" w:type="dxa"/>
            <w:vMerge/>
            <w:tcBorders>
              <w:left w:val="single" w:sz="4" w:space="0" w:color="000000"/>
              <w:bottom w:val="single" w:sz="4" w:space="0" w:color="000000"/>
              <w:right w:val="single" w:sz="4" w:space="0" w:color="000000"/>
            </w:tcBorders>
            <w:shd w:val="clear" w:color="auto" w:fill="D3D3D3"/>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823"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859" w:right="141"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859" w:right="142"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00"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6"/>
              <w:ind w:left="100"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81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1594"/>
        <w:gridCol w:w="1594"/>
        <w:gridCol w:w="1594"/>
        <w:gridCol w:w="1596"/>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0"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9" w:right="161"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pStyle w:val="BodyText"/>
        <w:spacing w:line="360" w:lineRule="auto" w:before="49"/>
        <w:ind w:right="6613"/>
        <w:jc w:val="left"/>
      </w:pPr>
      <w:r>
        <w:rPr/>
        <w:t>本企业的母公司情况的说明 报告期内，本企业的第一大股东系自然人钱京先生。</w:t>
      </w:r>
    </w:p>
    <w:p>
      <w:pPr>
        <w:pStyle w:val="BodyText"/>
        <w:spacing w:line="240" w:lineRule="auto" w:before="24"/>
        <w:ind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日，钱京先生对本企业的持股比例和表决权比例均为</w:t>
      </w:r>
      <w:r>
        <w:rPr>
          <w:rFonts w:ascii="Times New Roman" w:hAnsi="Times New Roman" w:cs="Times New Roman" w:eastAsia="Times New Roman" w:hint="default"/>
        </w:rPr>
        <w:t>20.21%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360" w:lineRule="auto"/>
        <w:ind w:right="8593"/>
        <w:jc w:val="left"/>
      </w:pPr>
      <w:r>
        <w:rPr/>
        <w:t>本企业最终控制方是钱京。 其他说明：</w:t>
      </w:r>
    </w:p>
    <w:p>
      <w:pPr>
        <w:spacing w:after="0" w:line="36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spacing w:line="547" w:lineRule="auto" w:before="34"/>
        <w:ind w:left="112" w:right="51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本企业子公司的情况详见附注“九、在其他主体中的权益</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46"/>
        <w:ind w:right="2293"/>
        <w:jc w:val="left"/>
      </w:pPr>
      <w:r>
        <w:rPr>
          <w:spacing w:val="-3"/>
        </w:rPr>
        <w:t>本企业重要的合营或联营企业详见附注“九、在其他主体中的权益</w:t>
      </w:r>
      <w:r>
        <w:rPr>
          <w:rFonts w:ascii="Times New Roman" w:hAnsi="Times New Roman" w:cs="Times New Roman" w:eastAsia="Times New Roman" w:hint="default"/>
          <w:spacing w:val="-3"/>
        </w:rPr>
        <w:t>-3</w:t>
      </w:r>
      <w:r>
        <w:rPr>
          <w:spacing w:val="-3"/>
        </w:rPr>
        <w:t>”。</w:t>
      </w:r>
      <w:r>
        <w:rPr>
          <w:spacing w:val="-82"/>
        </w:rPr>
        <w:t> </w:t>
      </w:r>
      <w:r>
        <w:rPr>
          <w:spacing w:val="-82"/>
        </w:rPr>
      </w: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2;width:4776;height:396" coordorigin="12,12" coordsize="4776,396">
              <v:shape style="position:absolute;left:12;top:12;width:4776;height:396" coordorigin="12,12" coordsize="4776,396" path="m12,12l4788,12,4788,408,12,408,12,12xe" filled="true" fillcolor="#d3d3d3" stroked="false">
                <v:path arrowok="t"/>
                <v:fill type="solid"/>
              </v:shape>
            </v:group>
            <v:group style="position:absolute;left:4793;top:12;width:4781;height:396" coordorigin="4793,12" coordsize="4781,396">
              <v:shape style="position:absolute;left:4793;top:12;width:4781;height:396" coordorigin="4793,12" coordsize="4781,396" path="m4793,12l9574,12,9574,408,4793,408,4793,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790;top:5;width:2;height:404" coordorigin="4790,5" coordsize="2,404">
              <v:shape style="position:absolute;left:4790;top:5;width:2;height:404" coordorigin="4790,5" coordsize="0,404" path="m4790,5l4790,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shape style="position:absolute;left:10;top:10;width:4781;height:404" type="#_x0000_t202" filled="false" stroked="false">
                <v:textbox inset="0,0,0,0">
                  <w:txbxContent>
                    <w:p>
                      <w:pPr>
                        <w:spacing w:before="53"/>
                        <w:ind w:left="1579" w:right="0" w:firstLine="0"/>
                        <w:jc w:val="left"/>
                        <w:rPr>
                          <w:rFonts w:ascii="宋体" w:hAnsi="宋体" w:cs="宋体" w:eastAsia="宋体" w:hint="default"/>
                          <w:sz w:val="18"/>
                          <w:szCs w:val="18"/>
                        </w:rPr>
                      </w:pPr>
                      <w:r>
                        <w:rPr>
                          <w:rFonts w:ascii="宋体" w:hAnsi="宋体" w:cs="宋体" w:eastAsia="宋体" w:hint="default"/>
                          <w:sz w:val="18"/>
                          <w:szCs w:val="18"/>
                        </w:rPr>
                        <w:t>合营或联营企业名称</w:t>
                      </w:r>
                    </w:p>
                  </w:txbxContent>
                </v:textbox>
                <w10:wrap type="none"/>
              </v:shape>
              <v:shape style="position:absolute;left:4790;top:10;width:4786;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与本企业关系</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781"/>
        <w:gridCol w:w="4786"/>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396"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江苏恒神股份有限公司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同受一控制方控制</w:t>
            </w:r>
          </w:p>
        </w:tc>
      </w:tr>
    </w:tbl>
    <w:p>
      <w:pPr>
        <w:pStyle w:val="BodyText"/>
        <w:spacing w:line="240" w:lineRule="auto" w:before="46"/>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38"/>
        <w:gridCol w:w="1454"/>
        <w:gridCol w:w="1454"/>
        <w:gridCol w:w="1706"/>
        <w:gridCol w:w="1706"/>
        <w:gridCol w:w="1709"/>
      </w:tblGrid>
      <w:tr>
        <w:trPr>
          <w:trHeight w:val="403" w:hRule="exact"/>
        </w:trPr>
        <w:tc>
          <w:tcPr>
            <w:tcW w:w="1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6"/>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95"/>
        <w:gridCol w:w="2261"/>
        <w:gridCol w:w="2258"/>
        <w:gridCol w:w="2652"/>
      </w:tblGrid>
      <w:tr>
        <w:trPr>
          <w:trHeight w:val="401"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86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6"/>
        <w:gridCol w:w="1368"/>
        <w:gridCol w:w="1368"/>
        <w:gridCol w:w="1366"/>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15" w:hanging="38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5" w:right="113"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36" w:right="113" w:hanging="2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12" w:right="113"/>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headerReference w:type="default" r:id="rId33"/>
          <w:pgSz w:w="11910" w:h="16840"/>
          <w:pgMar w:header="905" w:footer="1017" w:top="1100" w:bottom="1200" w:left="102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2504" w:space="6324"/>
            <w:col w:w="2062"/>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6"/>
        <w:gridCol w:w="1368"/>
        <w:gridCol w:w="1368"/>
        <w:gridCol w:w="1366"/>
        <w:gridCol w:w="1368"/>
        <w:gridCol w:w="1366"/>
      </w:tblGrid>
      <w:tr>
        <w:trPr>
          <w:trHeight w:val="367"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本期确认的托</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368"/>
        <w:gridCol w:w="1366"/>
        <w:gridCol w:w="1368"/>
        <w:gridCol w:w="1368"/>
        <w:gridCol w:w="1366"/>
        <w:gridCol w:w="1368"/>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定价依据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88"/>
        <w:gridCol w:w="2393"/>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0"/>
        <w:jc w:val="left"/>
      </w:pPr>
      <w:r>
        <w:rPr/>
        <w:t>关联租赁情况说明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915"/>
        <w:gridCol w:w="1913"/>
        <w:gridCol w:w="1915"/>
        <w:gridCol w:w="1913"/>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59"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46"/>
        <w:ind w:right="0"/>
        <w:jc w:val="left"/>
      </w:pPr>
      <w:r>
        <w:rPr/>
        <w:t>本公司作为被担保方</w:t>
      </w:r>
    </w:p>
    <w:p>
      <w:pPr>
        <w:pStyle w:val="BodyText"/>
        <w:spacing w:line="240" w:lineRule="auto" w:before="117"/>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915"/>
        <w:gridCol w:w="1913"/>
        <w:gridCol w:w="1915"/>
        <w:gridCol w:w="1913"/>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6"/>
              <w:ind w:left="859"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49"/>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913"/>
        <w:gridCol w:w="1915"/>
        <w:gridCol w:w="1915"/>
        <w:gridCol w:w="1913"/>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3"/>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after="0" w:line="240" w:lineRule="auto"/>
        <w:jc w:val="right"/>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3,786,500.00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3,884,600.00</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1" w:hRule="exact"/>
        </w:trPr>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13"/>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90"/>
        <w:gridCol w:w="2393"/>
        <w:gridCol w:w="2393"/>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87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7"/>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spacing w:line="487" w:lineRule="auto" w:before="34"/>
        <w:ind w:left="112" w:right="83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7"/>
        <w:ind w:right="0"/>
        <w:jc w:val="left"/>
      </w:pPr>
      <w:r>
        <w:rPr/>
        <w:t>资产负债表日存在的重要承诺</w:t>
      </w:r>
    </w:p>
    <w:p>
      <w:pPr>
        <w:pStyle w:val="BodyText"/>
        <w:spacing w:line="338" w:lineRule="auto" w:before="117"/>
        <w:ind w:right="1123"/>
        <w:jc w:val="left"/>
      </w:pPr>
      <w:r>
        <w:rPr/>
        <w:t>（1）未结清的保函 截止期末，公司在境内已承诺但尚未结清的银行保函金额为2,748,824.50元人民币，20,030.60美元，对应的保证金金额为 </w:t>
      </w:r>
      <w:r>
        <w:rPr>
          <w:spacing w:val="6"/>
        </w:rPr>
        <w:t>2,448,824.50人民币，0.00美元；在境外已承诺但尚未结清的银行保函金额为218,045.07美元，对应的保证金金额为</w:t>
      </w:r>
    </w:p>
    <w:p>
      <w:pPr>
        <w:pStyle w:val="BodyText"/>
        <w:spacing w:line="240" w:lineRule="auto" w:before="2"/>
        <w:ind w:right="0"/>
        <w:jc w:val="left"/>
      </w:pPr>
      <w:r>
        <w:rPr/>
        <w:t>218,045.07美元。</w:t>
      </w:r>
    </w:p>
    <w:p>
      <w:pPr>
        <w:pStyle w:val="BodyText"/>
        <w:spacing w:line="360" w:lineRule="auto" w:before="117"/>
        <w:ind w:right="3103"/>
        <w:jc w:val="left"/>
      </w:pPr>
      <w:r>
        <w:rPr/>
        <w:t>（2）未结清的信用证 截止期末，公司已承诺但尚未结清的信用证金额为72,000,000.00元人民币，4,274,453.38美元。</w:t>
      </w:r>
    </w:p>
    <w:p>
      <w:pPr>
        <w:pStyle w:val="BodyText"/>
        <w:spacing w:line="338" w:lineRule="auto" w:before="25"/>
        <w:ind w:right="1123"/>
        <w:jc w:val="left"/>
      </w:pPr>
      <w:r>
        <w:rPr/>
        <w:t>（3）股份回购事项 报告期内，公司以自有资金，拟以不超过人民币7.20元/股的价格以集中竞价交易的方式回购公司发行在外人民币普通股， 回购总金额不超过20,000.00万元，不低于10,000.00万元。截止2018年12月31日，已回购股份7,693,602股，支付金额</w:t>
      </w:r>
    </w:p>
    <w:p>
      <w:pPr>
        <w:pStyle w:val="BodyText"/>
        <w:spacing w:line="240" w:lineRule="auto" w:before="2"/>
        <w:ind w:right="0"/>
        <w:jc w:val="left"/>
      </w:pPr>
      <w:r>
        <w:rPr/>
        <w:t>46,010,428.76元。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8"/>
        <w:ind w:left="112" w:right="7694" w:hanging="1"/>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0"/>
        <w:rPr>
          <w:rFonts w:ascii="宋体" w:hAnsi="宋体" w:cs="宋体" w:eastAsia="宋体" w:hint="default"/>
          <w:b/>
          <w:bCs/>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491"/>
        <w:gridCol w:w="2297"/>
        <w:gridCol w:w="2388"/>
        <w:gridCol w:w="2390"/>
      </w:tblGrid>
      <w:tr>
        <w:trPr>
          <w:trHeight w:val="71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1007"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2"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65pt;mso-position-horizontal-relative:char;mso-position-vertical-relative:line" coordorigin="0,0" coordsize="9586,413">
            <v:group style="position:absolute;left:12;top:10;width:4978;height:396" coordorigin="12,10" coordsize="4978,396">
              <v:shape style="position:absolute;left:12;top:10;width:4978;height:396" coordorigin="12,10" coordsize="4978,396" path="m12,10l4990,10,4990,406,12,406,12,10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08;width:9576;height:2" coordorigin="5,408" coordsize="9576,2">
              <v:shape style="position:absolute;left:5;top:408;width:9576;height:2" coordorigin="5,408" coordsize="9576,0" path="m5,408l9581,408e" filled="false" stroked="true" strokeweight=".48pt" strokecolor="#000000">
                <v:path arrowok="t"/>
              </v:shape>
            </v:group>
            <v:group style="position:absolute;left:10;top:5;width:2;height:399" coordorigin="10,5" coordsize="2,399">
              <v:shape style="position:absolute;left:10;top:5;width:2;height:399" coordorigin="10,5" coordsize="0,399" path="m10,5l10,403e" filled="false" stroked="true" strokeweight=".48pt" strokecolor="#000000">
                <v:path arrowok="t"/>
              </v:shape>
            </v:group>
            <v:group style="position:absolute;left:4992;top:5;width:2;height:399" coordorigin="4992,5" coordsize="2,399">
              <v:shape style="position:absolute;left:4992;top:5;width:2;height:399" coordorigin="4992,5" coordsize="0,399" path="m4992,5l4992,403e" filled="false" stroked="true" strokeweight=".48pt" strokecolor="#000000">
                <v:path arrowok="t"/>
              </v:shape>
            </v:group>
            <v:group style="position:absolute;left:9576;top:5;width:2;height:399" coordorigin="9576,5" coordsize="2,399">
              <v:shape style="position:absolute;left:9576;top:5;width:2;height:399" coordorigin="9576,5" coordsize="0,399" path="m9576,5l9576,403e" filled="false" stroked="true" strokeweight=".48pt" strokecolor="#000000">
                <v:path arrowok="t"/>
              </v:shape>
              <v:shape style="position:absolute;left:10;top:10;width:4983;height:399" type="#_x0000_t202" filled="false" stroked="false">
                <v:textbox inset="0,0,0,0">
                  <w:txbxContent>
                    <w:p>
                      <w:pPr>
                        <w:spacing w:before="51"/>
                        <w:ind w:left="105"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9151;top:126;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7"/>
          <w:sz w:val="20"/>
          <w:szCs w:val="20"/>
        </w:rPr>
      </w:r>
    </w:p>
    <w:p>
      <w:pPr>
        <w:spacing w:after="0" w:line="412" w:lineRule="exact"/>
        <w:rPr>
          <w:rFonts w:ascii="宋体" w:hAnsi="宋体" w:cs="宋体" w:eastAsia="宋体" w:hint="default"/>
          <w:sz w:val="20"/>
          <w:szCs w:val="20"/>
        </w:rPr>
        <w:sectPr>
          <w:pgSz w:w="11910" w:h="16840"/>
          <w:pgMar w:header="905" w:footer="1017" w:top="1100" w:bottom="1200" w:left="1020" w:right="0"/>
        </w:sectPr>
      </w:pPr>
    </w:p>
    <w:p>
      <w:pPr>
        <w:spacing w:line="240" w:lineRule="auto" w:before="3"/>
        <w:rPr>
          <w:rFonts w:ascii="宋体" w:hAnsi="宋体" w:cs="宋体" w:eastAsia="宋体" w:hint="default"/>
          <w:sz w:val="25"/>
          <w:szCs w:val="25"/>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4;width:4978;height:396" coordorigin="12,14" coordsize="4978,396">
              <v:shape style="position:absolute;left:12;top:14;width:4978;height:396" coordorigin="12,14" coordsize="4978,396" path="m12,14l4990,14,4990,410,12,410,12,14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992;top:5;width:2;height:404" coordorigin="4992,5" coordsize="2,404">
              <v:shape style="position:absolute;left:4992;top:5;width:2;height:404" coordorigin="4992,5" coordsize="0,404" path="m4992,5l4992,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shape style="position:absolute;left:10;top:10;width:4983;height:404" type="#_x0000_t202" filled="false" stroked="false">
                <v:textbox inset="0,0,0,0">
                  <w:txbxContent>
                    <w:p>
                      <w:pPr>
                        <w:spacing w:before="53"/>
                        <w:ind w:left="105" w:right="0" w:firstLine="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xbxContent>
                </v:textbox>
                <w10:wrap type="none"/>
              </v:shape>
              <v:shape style="position:absolute;left:9151;top:129;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76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491"/>
        <w:gridCol w:w="2297"/>
        <w:gridCol w:w="2388"/>
        <w:gridCol w:w="2390"/>
      </w:tblGrid>
      <w:tr>
        <w:trPr>
          <w:trHeight w:val="71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827"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1"/>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324"/>
        <w:gridCol w:w="3058"/>
        <w:gridCol w:w="3187"/>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844"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686"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355"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所有者的终止</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经营利润</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依</w:t>
      </w:r>
      <w:r>
        <w:rPr>
          <w:spacing w:val="-27"/>
        </w:rPr>
        <w:t>据</w:t>
      </w:r>
      <w:r>
        <w:rPr>
          <w:spacing w:val="-3"/>
        </w:rPr>
        <w:t>《</w:t>
      </w:r>
      <w:r>
        <w:rPr/>
        <w:t>企业会计准则</w:t>
      </w:r>
      <w:r>
        <w:rPr>
          <w:spacing w:val="2"/>
        </w:rPr>
        <w:t>第</w:t>
      </w:r>
      <w:r>
        <w:rPr>
          <w:spacing w:val="1"/>
        </w:rPr>
        <w:t>3</w:t>
      </w:r>
      <w:r>
        <w:rPr>
          <w:spacing w:val="-2"/>
        </w:rPr>
        <w:t>5</w:t>
      </w:r>
      <w:r>
        <w:rPr/>
        <w:t>号</w:t>
      </w:r>
      <w:r>
        <w:rPr>
          <w:spacing w:val="-2"/>
        </w:rPr>
        <w:t>-</w:t>
      </w:r>
      <w:r>
        <w:rPr/>
        <w:t>分部报告</w:t>
      </w:r>
      <w:r>
        <w:rPr>
          <w:spacing w:val="-89"/>
        </w:rPr>
        <w:t>》</w:t>
      </w:r>
      <w:r>
        <w:rPr>
          <w:spacing w:val="-27"/>
        </w:rPr>
        <w:t>，</w:t>
      </w:r>
      <w:r>
        <w:rPr/>
        <w:t>企业披露分部信息应当区分业务分部和地区分部</w:t>
      </w:r>
      <w:r>
        <w:rPr>
          <w:spacing w:val="-29"/>
        </w:rPr>
        <w:t>。</w:t>
      </w:r>
      <w:r>
        <w:rPr/>
        <w:t>本报告分部按产品的类别确定分</w:t>
      </w:r>
    </w:p>
    <w:p>
      <w:pPr>
        <w:spacing w:after="0" w:line="240" w:lineRule="auto"/>
        <w:jc w:val="left"/>
        <w:sectPr>
          <w:footerReference w:type="default" r:id="rId34"/>
          <w:pgSz w:w="11910" w:h="16840"/>
          <w:pgMar w:footer="1017" w:header="905" w:top="1100" w:bottom="1200" w:left="1020" w:right="0"/>
          <w:pgNumType w:start="16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部信息。</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061"/>
        <w:gridCol w:w="1063"/>
        <w:gridCol w:w="1063"/>
        <w:gridCol w:w="1063"/>
        <w:gridCol w:w="1063"/>
        <w:gridCol w:w="1063"/>
        <w:gridCol w:w="1063"/>
        <w:gridCol w:w="1063"/>
        <w:gridCol w:w="1063"/>
      </w:tblGrid>
      <w:tr>
        <w:trPr>
          <w:trHeight w:val="713"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制卡类</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49"/>
              <w:ind w:left="436" w:right="166" w:hanging="272"/>
              <w:jc w:val="left"/>
              <w:rPr>
                <w:rFonts w:ascii="宋体" w:hAnsi="宋体" w:cs="宋体" w:eastAsia="宋体" w:hint="default"/>
                <w:sz w:val="18"/>
                <w:szCs w:val="18"/>
              </w:rPr>
            </w:pPr>
            <w:r>
              <w:rPr>
                <w:rFonts w:ascii="宋体" w:hAnsi="宋体" w:cs="宋体" w:eastAsia="宋体" w:hint="default"/>
                <w:sz w:val="18"/>
                <w:szCs w:val="18"/>
              </w:rPr>
              <w:t>特种物联 网</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49"/>
              <w:ind w:left="254" w:right="166" w:hanging="89"/>
              <w:jc w:val="left"/>
              <w:rPr>
                <w:rFonts w:ascii="宋体" w:hAnsi="宋体" w:cs="宋体" w:eastAsia="宋体" w:hint="default"/>
                <w:sz w:val="18"/>
                <w:szCs w:val="18"/>
              </w:rPr>
            </w:pPr>
            <w:r>
              <w:rPr>
                <w:rFonts w:ascii="宋体" w:hAnsi="宋体" w:cs="宋体" w:eastAsia="宋体" w:hint="default"/>
                <w:sz w:val="18"/>
                <w:szCs w:val="18"/>
              </w:rPr>
              <w:t>网络版会 员软件</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434" w:right="165" w:hanging="269"/>
              <w:jc w:val="left"/>
              <w:rPr>
                <w:rFonts w:ascii="宋体" w:hAnsi="宋体" w:cs="宋体" w:eastAsia="宋体" w:hint="default"/>
                <w:sz w:val="18"/>
                <w:szCs w:val="18"/>
              </w:rPr>
            </w:pPr>
            <w:r>
              <w:rPr>
                <w:rFonts w:ascii="宋体" w:hAnsi="宋体" w:cs="宋体" w:eastAsia="宋体" w:hint="default"/>
                <w:sz w:val="18"/>
                <w:szCs w:val="18"/>
              </w:rPr>
              <w:t>分部间抵 销</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766,358,16</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5.22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742,817,31</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4.91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118,516,59</w:t>
            </w:r>
          </w:p>
          <w:p>
            <w:pPr>
              <w:pStyle w:val="TableParagraph"/>
              <w:spacing w:line="240" w:lineRule="auto" w:before="105"/>
              <w:ind w:left="633" w:right="0"/>
              <w:jc w:val="left"/>
              <w:rPr>
                <w:rFonts w:ascii="Times New Roman" w:hAnsi="Times New Roman" w:cs="Times New Roman" w:eastAsia="Times New Roman" w:hint="default"/>
                <w:sz w:val="18"/>
                <w:szCs w:val="18"/>
              </w:rPr>
            </w:pPr>
            <w:r>
              <w:rPr>
                <w:rFonts w:ascii="Times New Roman"/>
                <w:sz w:val="18"/>
              </w:rPr>
              <w:t>3.95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5,465,679.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46,246,960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10,900,619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1,690,305,</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333.68</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7"/>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9" w:right="0"/>
              <w:jc w:val="left"/>
              <w:rPr>
                <w:rFonts w:ascii="Times New Roman" w:hAnsi="Times New Roman" w:cs="Times New Roman" w:eastAsia="Times New Roman" w:hint="default"/>
                <w:sz w:val="18"/>
                <w:szCs w:val="18"/>
              </w:rPr>
            </w:pPr>
            <w:r>
              <w:rPr>
                <w:rFonts w:ascii="Times New Roman"/>
                <w:sz w:val="18"/>
              </w:rPr>
              <w:t>567,089,48</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7.38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9" w:right="0"/>
              <w:jc w:val="left"/>
              <w:rPr>
                <w:rFonts w:ascii="Times New Roman" w:hAnsi="Times New Roman" w:cs="Times New Roman" w:eastAsia="Times New Roman" w:hint="default"/>
                <w:sz w:val="18"/>
                <w:szCs w:val="18"/>
              </w:rPr>
            </w:pPr>
            <w:r>
              <w:rPr>
                <w:rFonts w:ascii="Times New Roman"/>
                <w:sz w:val="18"/>
              </w:rPr>
              <w:t>653,900,99</w:t>
            </w:r>
          </w:p>
          <w:p>
            <w:pPr>
              <w:pStyle w:val="TableParagraph"/>
              <w:spacing w:line="240" w:lineRule="auto" w:before="105"/>
              <w:ind w:left="636" w:right="0"/>
              <w:jc w:val="left"/>
              <w:rPr>
                <w:rFonts w:ascii="Times New Roman" w:hAnsi="Times New Roman" w:cs="Times New Roman" w:eastAsia="Times New Roman" w:hint="default"/>
                <w:sz w:val="18"/>
                <w:szCs w:val="18"/>
              </w:rPr>
            </w:pPr>
            <w:r>
              <w:rPr>
                <w:rFonts w:ascii="Times New Roman"/>
                <w:sz w:val="18"/>
              </w:rPr>
              <w:t>4.17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9" w:right="0"/>
              <w:jc w:val="left"/>
              <w:rPr>
                <w:rFonts w:ascii="Times New Roman" w:hAnsi="Times New Roman" w:cs="Times New Roman" w:eastAsia="Times New Roman" w:hint="default"/>
                <w:sz w:val="18"/>
                <w:szCs w:val="18"/>
              </w:rPr>
            </w:pPr>
            <w:r>
              <w:rPr>
                <w:rFonts w:ascii="Times New Roman"/>
                <w:sz w:val="18"/>
              </w:rPr>
              <w:t>104,002,61</w:t>
            </w:r>
          </w:p>
          <w:p>
            <w:pPr>
              <w:pStyle w:val="TableParagraph"/>
              <w:spacing w:line="240" w:lineRule="auto" w:before="105"/>
              <w:ind w:left="633" w:right="0"/>
              <w:jc w:val="left"/>
              <w:rPr>
                <w:rFonts w:ascii="Times New Roman" w:hAnsi="Times New Roman" w:cs="Times New Roman" w:eastAsia="Times New Roman" w:hint="default"/>
                <w:sz w:val="18"/>
                <w:szCs w:val="18"/>
              </w:rPr>
            </w:pPr>
            <w:r>
              <w:rPr>
                <w:rFonts w:ascii="Times New Roman"/>
                <w:sz w:val="18"/>
              </w:rPr>
              <w:t>6.05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3,876,950.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8,280,133.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6,101,637.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4" w:right="0"/>
              <w:jc w:val="left"/>
              <w:rPr>
                <w:rFonts w:ascii="Times New Roman" w:hAnsi="Times New Roman" w:cs="Times New Roman" w:eastAsia="Times New Roman" w:hint="default"/>
                <w:sz w:val="18"/>
                <w:szCs w:val="18"/>
              </w:rPr>
            </w:pPr>
            <w:r>
              <w:rPr>
                <w:rFonts w:ascii="Times New Roman"/>
                <w:sz w:val="18"/>
              </w:rPr>
              <w:t>1,343,251,</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818.74</w:t>
            </w:r>
          </w:p>
        </w:tc>
      </w:tr>
    </w:tbl>
    <w:p>
      <w:pPr>
        <w:spacing w:line="240" w:lineRule="auto" w:before="2"/>
        <w:rPr>
          <w:rFonts w:ascii="宋体" w:hAnsi="宋体" w:cs="宋体" w:eastAsia="宋体" w:hint="default"/>
          <w:sz w:val="19"/>
          <w:szCs w:val="19"/>
        </w:rPr>
      </w:pPr>
    </w:p>
    <w:p>
      <w:pPr>
        <w:pStyle w:val="Heading3"/>
        <w:spacing w:line="240" w:lineRule="auto" w:before="34"/>
        <w:ind w:right="0"/>
        <w:jc w:val="both"/>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2"/>
        <w:jc w:val="both"/>
      </w:pPr>
      <w:r>
        <w:rPr/>
        <w:t>（</w:t>
      </w:r>
      <w:r>
        <w:rPr>
          <w:rFonts w:ascii="Times New Roman" w:hAnsi="Times New Roman" w:cs="Times New Roman" w:eastAsia="Times New Roman" w:hint="default"/>
        </w:rPr>
        <w:t>1</w:t>
      </w:r>
      <w:r>
        <w:rPr/>
        <w:t>）公司以其所有的座落于北京西城区金融大街的不动产为抵押，向中国农业银行股份有限公司丹阳支行取得</w:t>
      </w:r>
      <w:r>
        <w:rPr>
          <w:rFonts w:ascii="Times New Roman" w:hAnsi="Times New Roman" w:cs="Times New Roman" w:eastAsia="Times New Roman" w:hint="default"/>
        </w:rPr>
        <w:t>2.06</w:t>
      </w:r>
      <w:r>
        <w:rPr/>
        <w:t>亿元人</w:t>
      </w:r>
      <w:r>
        <w:rPr>
          <w:spacing w:val="-46"/>
        </w:rPr>
        <w:t> </w:t>
      </w:r>
      <w:r>
        <w:rPr>
          <w:spacing w:val="-46"/>
        </w:rPr>
      </w:r>
      <w:r>
        <w:rPr/>
        <w:t>民币授信。截止期末，上述抵押物账面原值为人民币</w:t>
      </w:r>
      <w:r>
        <w:rPr>
          <w:rFonts w:ascii="Times New Roman" w:hAnsi="Times New Roman" w:cs="Times New Roman" w:eastAsia="Times New Roman" w:hint="default"/>
        </w:rPr>
        <w:t>43,690,478.23 </w:t>
      </w:r>
      <w:r>
        <w:rPr/>
        <w:t>元，账面价值为人民币</w:t>
      </w:r>
      <w:r>
        <w:rPr>
          <w:rFonts w:ascii="Times New Roman" w:hAnsi="Times New Roman" w:cs="Times New Roman" w:eastAsia="Times New Roman" w:hint="default"/>
        </w:rPr>
        <w:t>33,781,706.11</w:t>
      </w:r>
      <w:r>
        <w:rPr>
          <w:rFonts w:ascii="Times New Roman" w:hAnsi="Times New Roman" w:cs="Times New Roman" w:eastAsia="Times New Roman" w:hint="default"/>
          <w:spacing w:val="40"/>
        </w:rPr>
        <w:t> </w:t>
      </w:r>
      <w:r>
        <w:rPr/>
        <w:t>元。授信额度用于 开具信用证、短期流动资金贷款。</w:t>
      </w:r>
    </w:p>
    <w:p>
      <w:pPr>
        <w:pStyle w:val="BodyText"/>
        <w:spacing w:line="300" w:lineRule="auto" w:before="72"/>
        <w:ind w:right="1132"/>
        <w:jc w:val="both"/>
      </w:pPr>
      <w:r>
        <w:rPr/>
        <w:t>（</w:t>
      </w:r>
      <w:r>
        <w:rPr>
          <w:rFonts w:ascii="Times New Roman" w:hAnsi="Times New Roman" w:cs="Times New Roman" w:eastAsia="Times New Roman" w:hint="default"/>
        </w:rPr>
        <w:t>2</w:t>
      </w:r>
      <w:r>
        <w:rPr/>
        <w:t>）公司以其所有的座落于丹阳市云阳镇横塘化工路、横塘工业园、云阳镇东马场的不动产为抵押物及钱京的个人保证，</w:t>
      </w:r>
      <w:r>
        <w:rPr>
          <w:spacing w:val="-84"/>
        </w:rPr>
        <w:t> </w:t>
      </w:r>
      <w:r>
        <w:rPr>
          <w:spacing w:val="-84"/>
        </w:rPr>
      </w:r>
      <w:r>
        <w:rPr/>
        <w:t>向中国银行股份有限公司丹阳支行取得</w:t>
      </w:r>
      <w:r>
        <w:rPr>
          <w:rFonts w:ascii="Times New Roman" w:hAnsi="Times New Roman" w:cs="Times New Roman" w:eastAsia="Times New Roman" w:hint="default"/>
        </w:rPr>
        <w:t>2.4</w:t>
      </w:r>
      <w:r>
        <w:rPr/>
        <w:t>亿元人民币授信。截止期末，上述抵押物账面原值为人民币</w:t>
      </w:r>
      <w:r>
        <w:rPr>
          <w:rFonts w:ascii="Times New Roman" w:hAnsi="Times New Roman" w:cs="Times New Roman" w:eastAsia="Times New Roman" w:hint="default"/>
        </w:rPr>
        <w:t>136,897,927.16</w:t>
      </w:r>
      <w:r>
        <w:rPr/>
        <w:t>元，账 面价值为人民币</w:t>
      </w:r>
      <w:r>
        <w:rPr>
          <w:rFonts w:ascii="Times New Roman" w:hAnsi="Times New Roman" w:cs="Times New Roman" w:eastAsia="Times New Roman" w:hint="default"/>
        </w:rPr>
        <w:t>65,388,563.34</w:t>
      </w:r>
      <w:r>
        <w:rPr/>
        <w:t>元。授信额度用于开具信用证、保函。</w:t>
      </w:r>
    </w:p>
    <w:p>
      <w:pPr>
        <w:pStyle w:val="BodyText"/>
        <w:spacing w:line="240" w:lineRule="auto" w:before="53"/>
        <w:ind w:right="0"/>
        <w:jc w:val="both"/>
      </w:pPr>
      <w:r>
        <w:rPr/>
        <w:t>（3）公司以其存放于光大银行股份有限公司南京分行的结构性存款人民币</w:t>
      </w:r>
      <w:r>
        <w:rPr>
          <w:rFonts w:ascii="Times New Roman" w:hAnsi="Times New Roman" w:cs="Times New Roman" w:eastAsia="Times New Roman" w:hint="default"/>
        </w:rPr>
        <w:t>8,000</w:t>
      </w:r>
      <w:r>
        <w:rPr/>
        <w:t>万元为质押，向供应商开立信用证。</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51,820.94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2,750,838.58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87,815,430.22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214,825,924.58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87,867,251.16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217,576,763.16</w:t>
            </w:r>
          </w:p>
        </w:tc>
      </w:tr>
    </w:tbl>
    <w:p>
      <w:pPr>
        <w:spacing w:line="240" w:lineRule="auto" w:before="13"/>
        <w:rPr>
          <w:rFonts w:ascii="宋体" w:hAnsi="宋体" w:cs="宋体" w:eastAsia="宋体" w:hint="default"/>
          <w:sz w:val="18"/>
          <w:szCs w:val="18"/>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1"/>
        </w:rPr>
        <w:t> </w:t>
      </w:r>
      <w:r>
        <w:rPr/>
        <w:t>元</w:t>
      </w:r>
    </w:p>
    <w:p>
      <w:pPr>
        <w:spacing w:after="0" w:line="240" w:lineRule="auto"/>
        <w:jc w:val="right"/>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51,820.94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2,750,838.58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51,820.94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2,750,838.58</w:t>
            </w:r>
          </w:p>
        </w:tc>
      </w:tr>
    </w:tbl>
    <w:p>
      <w:pPr>
        <w:pStyle w:val="BodyText"/>
        <w:spacing w:line="240" w:lineRule="auto" w:before="49"/>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17"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9pt;mso-position-horizontal-relative:char;mso-position-vertical-relative:line" coordorigin="0,0" coordsize="9586,418">
            <v:group style="position:absolute;left:12;top:12;width:4779;height:399" coordorigin="12,12" coordsize="4779,399">
              <v:shape style="position:absolute;left:12;top:12;width:4779;height:399" coordorigin="12,12" coordsize="4779,399" path="m12,12l4790,12,4790,410,12,410,12,12xe" filled="true" fillcolor="#d3d3d3" stroked="false">
                <v:path arrowok="t"/>
                <v:fill type="solid"/>
              </v:shape>
            </v:group>
            <v:group style="position:absolute;left:4795;top:12;width:4779;height:399" coordorigin="4795,12" coordsize="4779,399">
              <v:shape style="position:absolute;left:4795;top:12;width:4779;height:399" coordorigin="4795,12" coordsize="4779,399" path="m4795,12l9574,12,9574,410,4795,410,4795,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3;width:9576;height:2" coordorigin="5,413" coordsize="9576,2">
              <v:shape style="position:absolute;left:5;top:413;width:9576;height:2" coordorigin="5,413" coordsize="9576,0" path="m5,413l9581,413e" filled="false" stroked="true" strokeweight=".48pt" strokecolor="#000000">
                <v:path arrowok="t"/>
              </v:shape>
            </v:group>
            <v:group style="position:absolute;left:10;top:5;width:2;height:404" coordorigin="10,5" coordsize="2,404">
              <v:shape style="position:absolute;left:10;top:5;width:2;height:404" coordorigin="10,5" coordsize="0,404" path="m10,5l10,408e" filled="false" stroked="true" strokeweight=".48pt" strokecolor="#000000">
                <v:path arrowok="t"/>
              </v:shape>
            </v:group>
            <v:group style="position:absolute;left:4793;top:5;width:2;height:404" coordorigin="4793,5" coordsize="2,404">
              <v:shape style="position:absolute;left:4793;top:5;width:2;height:404" coordorigin="4793,5" coordsize="0,404" path="m4793,5l4793,408e" filled="false" stroked="true" strokeweight=".48pt" strokecolor="#000000">
                <v:path arrowok="t"/>
              </v:shape>
            </v:group>
            <v:group style="position:absolute;left:9576;top:5;width:2;height:404" coordorigin="9576,5" coordsize="2,404">
              <v:shape style="position:absolute;left:9576;top:5;width:2;height:404" coordorigin="9576,5" coordsize="0,404" path="m9576,5l9576,408e" filled="false" stroked="true" strokeweight=".48pt" strokecolor="#000000">
                <v:path arrowok="t"/>
              </v:shape>
              <v:shape style="position:absolute;left:22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4;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5"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8pt;mso-position-horizontal-relative:char;mso-position-vertical-relative:line" coordorigin="0,0" coordsize="9586,416">
            <v:group style="position:absolute;left:12;top:12;width:4779;height:396" coordorigin="12,12" coordsize="4779,396">
              <v:shape style="position:absolute;left:12;top:12;width:4779;height:396" coordorigin="12,12" coordsize="4779,396" path="m12,12l4790,12,4790,408,12,408,12,12xe" filled="true" fillcolor="#d3d3d3" stroked="false">
                <v:path arrowok="t"/>
                <v:fill type="solid"/>
              </v:shape>
            </v:group>
            <v:group style="position:absolute;left:4795;top:12;width:4779;height:396" coordorigin="4795,12" coordsize="4779,396">
              <v:shape style="position:absolute;left:4795;top:12;width:4779;height:396" coordorigin="4795,12" coordsize="4779,396" path="m4795,12l9574,12,9574,408,4795,408,4795,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0;width:9576;height:2" coordorigin="5,410" coordsize="9576,2">
              <v:shape style="position:absolute;left:5;top:410;width:9576;height:2" coordorigin="5,410" coordsize="9576,0" path="m5,410l9581,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4793;top:5;width:2;height:401" coordorigin="4793,5" coordsize="2,401">
              <v:shape style="position:absolute;left:4793;top:5;width:2;height:401" coordorigin="4793,5" coordsize="0,401" path="m4793,5l4793,406e" filled="false" stroked="true" strokeweight=".48pt" strokecolor="#000000">
                <v:path arrowok="t"/>
              </v:shape>
            </v:group>
            <v:group style="position:absolute;left:9576;top:5;width:2;height:401" coordorigin="9576,5" coordsize="2,401">
              <v:shape style="position:absolute;left:9576;top:5;width:2;height:401" coordorigin="9576,5" coordsize="0,401" path="m9576,5l9576,406e" filled="false" stroked="true" strokeweight=".48pt" strokecolor="#000000">
                <v:path arrowok="t"/>
              </v:shape>
              <v:shape style="position:absolute;left:222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3;top:10;width:4784;height:401" type="#_x0000_t202" filled="false" stroked="false">
                <v:textbox inset="0,0,0,0">
                  <w:txbxContent>
                    <w:p>
                      <w:pPr>
                        <w:spacing w:before="53"/>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32"/>
        <w:gridCol w:w="763"/>
        <w:gridCol w:w="763"/>
        <w:gridCol w:w="761"/>
        <w:gridCol w:w="763"/>
        <w:gridCol w:w="790"/>
        <w:gridCol w:w="653"/>
        <w:gridCol w:w="763"/>
        <w:gridCol w:w="814"/>
        <w:gridCol w:w="931"/>
        <w:gridCol w:w="931"/>
      </w:tblGrid>
      <w:tr>
        <w:trPr>
          <w:trHeight w:val="403"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297" w:right="120"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369"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369"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00"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93,109,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966.66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93.28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12,007,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099.31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12.90</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81,102,</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867.35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4" w:right="0"/>
              <w:jc w:val="left"/>
              <w:rPr>
                <w:rFonts w:ascii="Times New Roman" w:hAnsi="Times New Roman" w:cs="Times New Roman" w:eastAsia="Times New Roman" w:hint="default"/>
                <w:sz w:val="18"/>
                <w:szCs w:val="18"/>
              </w:rPr>
            </w:pPr>
            <w:r>
              <w:rPr>
                <w:rFonts w:ascii="Times New Roman"/>
                <w:sz w:val="18"/>
              </w:rPr>
              <w:t>231,0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07,26</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3.87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98.81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18,962,</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163.08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212,045,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100.79</w:t>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25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6,712,5</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62.87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6.72%</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6,712,5</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62.87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4" w:right="0"/>
              <w:jc w:val="left"/>
              <w:rPr>
                <w:rFonts w:ascii="Times New Roman" w:hAnsi="Times New Roman" w:cs="Times New Roman" w:eastAsia="Times New Roman" w:hint="default"/>
                <w:sz w:val="18"/>
                <w:szCs w:val="18"/>
              </w:rPr>
            </w:pPr>
            <w:r>
              <w:rPr>
                <w:rFonts w:ascii="Times New Roman"/>
                <w:sz w:val="18"/>
              </w:rPr>
              <w:t>2,780</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,823.</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1.19%</w:t>
            </w: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2,780,82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3.79</w:t>
            </w:r>
          </w:p>
        </w:tc>
      </w:tr>
      <w:tr>
        <w:trPr>
          <w:trHeight w:val="102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99,822,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529.53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12,007,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099.31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12.03</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87,815,</w:t>
            </w:r>
          </w:p>
          <w:p>
            <w:pPr>
              <w:pStyle w:val="TableParagraph"/>
              <w:spacing w:line="240" w:lineRule="auto" w:before="105"/>
              <w:ind w:left="180" w:right="0"/>
              <w:jc w:val="left"/>
              <w:rPr>
                <w:rFonts w:ascii="Times New Roman" w:hAnsi="Times New Roman" w:cs="Times New Roman" w:eastAsia="Times New Roman" w:hint="default"/>
                <w:sz w:val="18"/>
                <w:szCs w:val="18"/>
              </w:rPr>
            </w:pPr>
            <w:r>
              <w:rPr>
                <w:rFonts w:ascii="Times New Roman"/>
                <w:sz w:val="18"/>
              </w:rPr>
              <w:t>430.22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4" w:right="0"/>
              <w:jc w:val="left"/>
              <w:rPr>
                <w:rFonts w:ascii="Times New Roman" w:hAnsi="Times New Roman" w:cs="Times New Roman" w:eastAsia="Times New Roman" w:hint="default"/>
                <w:sz w:val="18"/>
                <w:szCs w:val="18"/>
              </w:rPr>
            </w:pPr>
            <w:r>
              <w:rPr>
                <w:rFonts w:ascii="Times New Roman"/>
                <w:sz w:val="18"/>
              </w:rPr>
              <w:t>233,7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88,08</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7.66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18,962,</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163.08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8.11%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214,825,</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924.58</w:t>
            </w:r>
          </w:p>
        </w:tc>
      </w:tr>
    </w:tbl>
    <w:p>
      <w:pPr>
        <w:spacing w:after="0" w:line="240" w:lineRule="auto"/>
        <w:jc w:val="center"/>
        <w:rPr>
          <w:rFonts w:ascii="Times New Roman" w:hAnsi="Times New Roman" w:cs="Times New Roman" w:eastAsia="Times New Roman" w:hint="default"/>
          <w:sz w:val="18"/>
          <w:szCs w:val="18"/>
        </w:rPr>
        <w:sectPr>
          <w:pgSz w:w="11910" w:h="16840"/>
          <w:pgMar w:header="905" w:footer="1017" w:top="1100" w:bottom="1200" w:left="1020" w:right="0"/>
        </w:sectPr>
      </w:pPr>
    </w:p>
    <w:p>
      <w:pPr>
        <w:pStyle w:val="BodyText"/>
        <w:spacing w:line="240" w:lineRule="auto" w:before="49"/>
        <w:ind w:right="-20"/>
        <w:jc w:val="left"/>
      </w:pPr>
      <w:r>
        <w:rPr/>
        <w:t>期末单项金额重大并单项计提坏账准备的应收账款：</w:t>
      </w:r>
    </w:p>
    <w:p>
      <w:pPr>
        <w:pStyle w:val="BodyText"/>
        <w:spacing w:line="360" w:lineRule="auto" w:before="115"/>
        <w:ind w:right="160"/>
        <w:jc w:val="left"/>
      </w:pPr>
      <w:r>
        <w:rPr/>
        <w:t>□ 适用 √ 不适用 组合中，按账龄分析法计提坏账准备的应收账款：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4253" w:space="4574"/>
            <w:col w:w="2063"/>
          </w:cols>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2491"/>
        <w:gridCol w:w="2297"/>
        <w:gridCol w:w="2388"/>
        <w:gridCol w:w="2390"/>
      </w:tblGrid>
      <w:tr>
        <w:trPr>
          <w:trHeight w:val="403" w:hRule="exact"/>
        </w:trPr>
        <w:tc>
          <w:tcPr>
            <w:tcW w:w="24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1" w:type="dxa"/>
            <w:vMerge/>
            <w:tcBorders>
              <w:left w:val="single" w:sz="4" w:space="0" w:color="000000"/>
              <w:bottom w:val="single" w:sz="4" w:space="0" w:color="000000"/>
              <w:right w:val="single" w:sz="4" w:space="0" w:color="000000"/>
            </w:tcBorders>
            <w:shd w:val="clear" w:color="auto" w:fill="D3D3D3"/>
          </w:tcPr>
          <w:p>
            <w:pPr/>
          </w:p>
        </w:tc>
        <w:tc>
          <w:tcPr>
            <w:tcW w:w="2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75,967,929.58</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3,798,396.48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8,594,519.52</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1,718,903.90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1"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4,115,437.26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2,057,718.63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4,432,080.30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4,432,080.30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4,432,080.30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4,432,080.30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93,109,966.66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12,007,099.31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5" w:footer="1017" w:top="1100" w:bottom="1200" w:left="1020" w:right="0"/>
        </w:sectPr>
      </w:pPr>
    </w:p>
    <w:p>
      <w:pPr>
        <w:pStyle w:val="BodyText"/>
        <w:spacing w:line="357" w:lineRule="auto" w:before="49"/>
        <w:ind w:right="-20"/>
        <w:jc w:val="left"/>
      </w:pPr>
      <w:r>
        <w:rPr/>
        <w:t>确定该组合依据的说明： 相同账龄的应收账款具有类似信用风险特征。 期末单项金额非重大但单独计提坏账准备的应收账款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4253" w:space="4665"/>
            <w:col w:w="1972"/>
          </w:cols>
        </w:sectPr>
      </w:pP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086"/>
        <w:gridCol w:w="1802"/>
        <w:gridCol w:w="1942"/>
        <w:gridCol w:w="1262"/>
        <w:gridCol w:w="1562"/>
      </w:tblGrid>
      <w:tr>
        <w:trPr>
          <w:trHeight w:val="427" w:hRule="exact"/>
        </w:trPr>
        <w:tc>
          <w:tcPr>
            <w:tcW w:w="3086" w:type="dxa"/>
            <w:vMerge w:val="restart"/>
            <w:tcBorders>
              <w:top w:val="single" w:sz="6" w:space="0" w:color="000000"/>
              <w:left w:val="single" w:sz="6" w:space="0" w:color="000000"/>
              <w:right w:val="single" w:sz="6" w:space="0" w:color="000000"/>
            </w:tcBorders>
          </w:tcPr>
          <w:p>
            <w:pPr>
              <w:pStyle w:val="TableParagraph"/>
              <w:spacing w:line="240" w:lineRule="auto" w:before="58"/>
              <w:ind w:left="72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56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3086" w:type="dxa"/>
            <w:vMerge/>
            <w:tcBorders>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3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6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27" w:hRule="exact"/>
        </w:trPr>
        <w:tc>
          <w:tcPr>
            <w:tcW w:w="3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837" w:right="0"/>
              <w:jc w:val="left"/>
              <w:rPr>
                <w:rFonts w:ascii="Times New Roman" w:hAnsi="Times New Roman" w:cs="Times New Roman" w:eastAsia="Times New Roman" w:hint="default"/>
                <w:sz w:val="18"/>
                <w:szCs w:val="18"/>
              </w:rPr>
            </w:pPr>
            <w:r>
              <w:rPr>
                <w:rFonts w:ascii="Times New Roman"/>
                <w:sz w:val="18"/>
              </w:rPr>
              <w:t>6,712,562.87</w:t>
            </w:r>
          </w:p>
        </w:tc>
        <w:tc>
          <w:tcPr>
            <w:tcW w:w="1942"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注</w:t>
            </w:r>
          </w:p>
        </w:tc>
      </w:tr>
    </w:tbl>
    <w:p>
      <w:pPr>
        <w:pStyle w:val="BodyText"/>
        <w:spacing w:line="240" w:lineRule="auto" w:before="8"/>
        <w:ind w:right="0"/>
        <w:jc w:val="left"/>
      </w:pPr>
      <w:r>
        <w:rPr/>
        <w:t>注：合并范围内不计提坏账准备。</w:t>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00" w:bottom="1200" w:left="1020" w:right="0"/>
        </w:sectPr>
      </w:pPr>
    </w:p>
    <w:p>
      <w:pPr>
        <w:pStyle w:val="BodyText"/>
        <w:spacing w:line="240" w:lineRule="auto" w:before="44"/>
        <w:ind w:right="-10"/>
        <w:jc w:val="left"/>
      </w:pPr>
      <w:r>
        <w:rPr/>
        <w:t>组合中，采用余额百分比法计提坏账准备的应收账款：</w:t>
      </w:r>
    </w:p>
    <w:p>
      <w:pPr>
        <w:pStyle w:val="BodyText"/>
        <w:spacing w:line="360" w:lineRule="auto" w:before="115"/>
        <w:ind w:right="2320"/>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
        <w:ind w:right="-1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6,955,063.77</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6413" w:space="2414"/>
            <w:col w:w="2063"/>
          </w:cols>
        </w:sectPr>
      </w:pP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7"/>
        <w:gridCol w:w="3101"/>
        <w:gridCol w:w="309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1,300,048.59</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收回货款</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343,000.95</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收回货款</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241,172.58</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收回货款</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1,884,222.12</w:t>
            </w:r>
          </w:p>
        </w:tc>
        <w:tc>
          <w:tcPr>
            <w:tcW w:w="3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5"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8pt;mso-position-horizontal-relative:char;mso-position-vertical-relative:line" coordorigin="0,0" coordsize="9586,416">
            <v:group style="position:absolute;left:12;top:12;width:4978;height:399" coordorigin="12,12" coordsize="4978,399">
              <v:shape style="position:absolute;left:12;top:12;width:4978;height:399" coordorigin="12,12" coordsize="4978,399" path="m12,12l4990,12,4990,410,12,410,12,12xe" filled="true" fillcolor="#d3d3d3" stroked="false">
                <v:path arrowok="t"/>
                <v:fill type="solid"/>
              </v:shape>
            </v:group>
            <v:group style="position:absolute;left:4994;top:12;width:4580;height:399" coordorigin="4994,12" coordsize="4580,399">
              <v:shape style="position:absolute;left:4994;top:12;width:4580;height:399" coordorigin="4994,12" coordsize="4580,399" path="m4994,12l9574,12,9574,410,4994,410,4994,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0;width:9576;height:2" coordorigin="5,410" coordsize="9576,2">
              <v:shape style="position:absolute;left:5;top:410;width:9576;height:2" coordorigin="5,410" coordsize="9576,0" path="m5,410l9581,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4992;top:5;width:2;height:401" coordorigin="4992,5" coordsize="2,401">
              <v:shape style="position:absolute;left:4992;top:5;width:2;height:401" coordorigin="4992,5" coordsize="0,401" path="m4992,5l4992,406e" filled="false" stroked="true" strokeweight=".48pt" strokecolor="#000000">
                <v:path arrowok="t"/>
              </v:shape>
            </v:group>
            <v:group style="position:absolute;left:9576;top:5;width:2;height:401" coordorigin="9576,5" coordsize="2,401">
              <v:shape style="position:absolute;left:9576;top:5;width:2;height:401" coordorigin="9576,5" coordsize="0,401" path="m9576,5l9576,406e" filled="false" stroked="true" strokeweight=".48pt" strokecolor="#000000">
                <v:path arrowok="t"/>
              </v:shape>
              <v:shape style="position:absolute;left:23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2;top:10;width:4584;height:401" type="#_x0000_t202" filled="false" stroked="false">
                <v:textbox inset="0,0,0,0">
                  <w:txbxContent>
                    <w:p>
                      <w:pPr>
                        <w:spacing w:before="53"/>
                        <w:ind w:left="0" w:right="2"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其中重要的应收账款核销情况：</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82"/>
        <w:gridCol w:w="1550"/>
        <w:gridCol w:w="1553"/>
        <w:gridCol w:w="1553"/>
        <w:gridCol w:w="1615"/>
        <w:gridCol w:w="1615"/>
      </w:tblGrid>
      <w:tr>
        <w:trPr>
          <w:trHeight w:val="408" w:hRule="exact"/>
        </w:trPr>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70" w:right="0"/>
              <w:jc w:val="left"/>
              <w:rPr>
                <w:rFonts w:ascii="宋体" w:hAnsi="宋体" w:cs="宋体" w:eastAsia="宋体" w:hint="default"/>
                <w:sz w:val="18"/>
                <w:szCs w:val="18"/>
              </w:rPr>
            </w:pPr>
            <w:r>
              <w:rPr>
                <w:rFonts w:ascii="宋体" w:hAnsi="宋体" w:cs="宋体" w:eastAsia="宋体" w:hint="default"/>
                <w:sz w:val="18"/>
                <w:szCs w:val="18"/>
              </w:rPr>
              <w:t>款项是否由关联</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682"/>
        <w:gridCol w:w="1550"/>
        <w:gridCol w:w="1553"/>
        <w:gridCol w:w="1553"/>
        <w:gridCol w:w="1615"/>
        <w:gridCol w:w="1615"/>
      </w:tblGrid>
      <w:tr>
        <w:trPr>
          <w:trHeight w:val="362" w:hRule="exact"/>
        </w:trPr>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交易产生</w:t>
            </w:r>
          </w:p>
        </w:tc>
      </w:tr>
    </w:tbl>
    <w:p>
      <w:pPr>
        <w:spacing w:after="0" w:line="240" w:lineRule="auto"/>
        <w:jc w:val="left"/>
        <w:rPr>
          <w:rFonts w:ascii="宋体" w:hAnsi="宋体" w:cs="宋体" w:eastAsia="宋体" w:hint="default"/>
          <w:sz w:val="18"/>
          <w:szCs w:val="18"/>
        </w:rPr>
        <w:sectPr>
          <w:pgSz w:w="11910" w:h="16840"/>
          <w:pgMar w:header="905" w:footer="1017" w:top="1100" w:bottom="1200" w:left="1020" w:right="0"/>
        </w:sectPr>
      </w:pPr>
    </w:p>
    <w:p>
      <w:pPr>
        <w:pStyle w:val="BodyText"/>
        <w:spacing w:line="240" w:lineRule="auto" w:before="49"/>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spacing w:val="-1"/>
        </w:rPr>
        <w:t>4)</w:t>
      </w:r>
      <w:r>
        <w:rPr>
          <w:spacing w:val="-1"/>
        </w:rPr>
        <w:t>按欠款方归集的期末余额前五名的应收账款情况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00" w:left="1020" w:right="0"/>
          <w:cols w:num="2" w:equalWidth="0">
            <w:col w:w="4042" w:space="4876"/>
            <w:col w:w="1972"/>
          </w:cols>
        </w:sectPr>
      </w:pP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722"/>
        <w:gridCol w:w="991"/>
        <w:gridCol w:w="1848"/>
        <w:gridCol w:w="1378"/>
        <w:gridCol w:w="1378"/>
        <w:gridCol w:w="1378"/>
      </w:tblGrid>
      <w:tr>
        <w:trPr>
          <w:trHeight w:val="427" w:hRule="exact"/>
        </w:trPr>
        <w:tc>
          <w:tcPr>
            <w:tcW w:w="2722" w:type="dxa"/>
            <w:vMerge w:val="restart"/>
            <w:tcBorders>
              <w:top w:val="single" w:sz="6" w:space="0" w:color="000000"/>
              <w:left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97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7" w:hRule="exact"/>
        </w:trPr>
        <w:tc>
          <w:tcPr>
            <w:tcW w:w="2722" w:type="dxa"/>
            <w:vMerge/>
            <w:tcBorders>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 w:right="0"/>
              <w:jc w:val="left"/>
              <w:rPr>
                <w:rFonts w:ascii="宋体" w:hAnsi="宋体" w:cs="宋体" w:eastAsia="宋体" w:hint="default"/>
                <w:sz w:val="18"/>
                <w:szCs w:val="18"/>
              </w:rPr>
            </w:pPr>
            <w:r>
              <w:rPr>
                <w:rFonts w:ascii="宋体" w:hAnsi="宋体" w:cs="宋体" w:eastAsia="宋体" w:hint="default"/>
                <w:sz w:val="18"/>
                <w:szCs w:val="18"/>
              </w:rPr>
              <w:t>与公司关系</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9" w:right="0"/>
              <w:jc w:val="left"/>
              <w:rPr>
                <w:rFonts w:ascii="宋体" w:hAnsi="宋体" w:cs="宋体" w:eastAsia="宋体" w:hint="default"/>
                <w:sz w:val="18"/>
                <w:szCs w:val="18"/>
              </w:rPr>
            </w:pPr>
            <w:r>
              <w:rPr>
                <w:rFonts w:ascii="宋体" w:hAnsi="宋体" w:cs="宋体" w:eastAsia="宋体" w:hint="default"/>
                <w:sz w:val="18"/>
                <w:szCs w:val="18"/>
              </w:rPr>
              <w:t>占总金额比例</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11,213,486.76</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560,674.34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2"/>
                <w:sz w:val="18"/>
              </w:rPr>
              <w:t>11.23%</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9,504,452.34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475,222.62</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9.52%</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7,083,397.04</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354,169.85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7.10%</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6,712,562.87</w:t>
            </w: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6.72%</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5,508,960.00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275,448.00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5.52%</w:t>
            </w:r>
          </w:p>
        </w:tc>
      </w:tr>
      <w:tr>
        <w:trPr>
          <w:trHeight w:val="427" w:hRule="exact"/>
        </w:trPr>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40,022,859.01</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1,665,514.81</w:t>
            </w:r>
          </w:p>
        </w:tc>
        <w:tc>
          <w:tcPr>
            <w:tcW w:w="1378"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40.09%</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3"/>
        <w:jc w:val="left"/>
      </w:pPr>
      <w:r>
        <w:rPr>
          <w:rFonts w:ascii="Times New Roman" w:hAnsi="Times New Roman" w:cs="Times New Roman" w:eastAsia="Times New Roman" w:hint="default"/>
        </w:rPr>
        <w:t>6)</w:t>
      </w:r>
      <w:r>
        <w:rPr/>
        <w:t>转移应收账款且继续涉入形成的资产、负债金额 其他说明：</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87"/>
        <w:gridCol w:w="3190"/>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7,135,589.14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6,844,212.86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7,135,589.14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6,844,212.86</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915"/>
        <w:gridCol w:w="1913"/>
        <w:gridCol w:w="1915"/>
        <w:gridCol w:w="1913"/>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6"/>
              <w:ind w:left="679"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49"/>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应收股利</w:t>
      </w:r>
    </w:p>
    <w:p>
      <w:pPr>
        <w:spacing w:after="0" w:line="24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13"/>
        <w:gridCol w:w="1915"/>
        <w:gridCol w:w="1913"/>
        <w:gridCol w:w="1915"/>
        <w:gridCol w:w="1913"/>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79"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32"/>
        <w:gridCol w:w="763"/>
        <w:gridCol w:w="763"/>
        <w:gridCol w:w="761"/>
        <w:gridCol w:w="763"/>
        <w:gridCol w:w="790"/>
        <w:gridCol w:w="653"/>
        <w:gridCol w:w="763"/>
        <w:gridCol w:w="814"/>
        <w:gridCol w:w="931"/>
        <w:gridCol w:w="931"/>
      </w:tblGrid>
      <w:tr>
        <w:trPr>
          <w:trHeight w:val="401"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97" w:right="120"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369" w:right="18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369"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259"/>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11,964,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015.68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4,828,4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26.54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40.36</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7,135,5</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89.14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11,13</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0,741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4,286,5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29.13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6,844,21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2.86</w:t>
            </w:r>
          </w:p>
        </w:tc>
      </w:tr>
      <w:tr>
        <w:trPr>
          <w:trHeight w:val="102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11,964,</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015.68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4,828,4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26.54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40.36</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7,135,5</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89.14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 w:right="0"/>
              <w:jc w:val="center"/>
              <w:rPr>
                <w:rFonts w:ascii="Times New Roman" w:hAnsi="Times New Roman" w:cs="Times New Roman" w:eastAsia="Times New Roman" w:hint="default"/>
                <w:sz w:val="18"/>
                <w:szCs w:val="18"/>
              </w:rPr>
            </w:pPr>
            <w:r>
              <w:rPr>
                <w:rFonts w:ascii="Times New Roman"/>
                <w:sz w:val="18"/>
              </w:rPr>
              <w:t>11,13</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0,741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4,286,5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29.13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6,844,21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2.86</w:t>
            </w:r>
          </w:p>
        </w:tc>
      </w:tr>
    </w:tbl>
    <w:p>
      <w:pPr>
        <w:spacing w:after="0" w:line="240" w:lineRule="auto"/>
        <w:jc w:val="left"/>
        <w:rPr>
          <w:rFonts w:ascii="Times New Roman" w:hAnsi="Times New Roman" w:cs="Times New Roman" w:eastAsia="Times New Roman" w:hint="default"/>
          <w:sz w:val="18"/>
          <w:szCs w:val="18"/>
        </w:rPr>
        <w:sectPr>
          <w:pgSz w:w="11910" w:h="16840"/>
          <w:pgMar w:header="905" w:footer="1017" w:top="1100" w:bottom="1200" w:left="1020" w:right="0"/>
        </w:sectPr>
      </w:pPr>
    </w:p>
    <w:p>
      <w:pPr>
        <w:pStyle w:val="BodyText"/>
        <w:spacing w:line="240" w:lineRule="auto" w:before="49"/>
        <w:ind w:right="-20"/>
        <w:jc w:val="left"/>
      </w:pPr>
      <w:r>
        <w:rPr/>
        <w:t>期末单项金额重大并单项计提坏账准备的其他应收款：</w:t>
      </w:r>
    </w:p>
    <w:p>
      <w:pPr>
        <w:pStyle w:val="BodyText"/>
        <w:spacing w:line="360" w:lineRule="auto" w:before="117"/>
        <w:ind w:right="160"/>
        <w:jc w:val="left"/>
      </w:pPr>
      <w:r>
        <w:rPr/>
        <w:t>□ 适用 √ 不适用 组合中，按账龄分析法计提坏账准备的其他应收款：</w:t>
      </w:r>
    </w:p>
    <w:p>
      <w:pPr>
        <w:pStyle w:val="BodyText"/>
        <w:spacing w:line="240" w:lineRule="auto" w:before="25"/>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4433" w:space="4394"/>
            <w:col w:w="2063"/>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491"/>
        <w:gridCol w:w="2297"/>
        <w:gridCol w:w="2388"/>
        <w:gridCol w:w="2390"/>
      </w:tblGrid>
      <w:tr>
        <w:trPr>
          <w:trHeight w:val="401" w:hRule="exact"/>
        </w:trPr>
        <w:tc>
          <w:tcPr>
            <w:tcW w:w="24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1" w:type="dxa"/>
            <w:vMerge/>
            <w:tcBorders>
              <w:left w:val="single" w:sz="4" w:space="0" w:color="000000"/>
              <w:bottom w:val="single" w:sz="4" w:space="0" w:color="000000"/>
              <w:right w:val="single" w:sz="4" w:space="0" w:color="000000"/>
            </w:tcBorders>
            <w:shd w:val="clear" w:color="auto" w:fill="D3D3D3"/>
          </w:tcPr>
          <w:p>
            <w:pPr/>
          </w:p>
        </w:tc>
        <w:tc>
          <w:tcPr>
            <w:tcW w:w="2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3,577,349.09</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178,867.45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4,193,230.80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838,646.16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765,045.73</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382,522.87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1"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3,428,390.06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Times New Roman" w:hAnsi="Times New Roman" w:cs="Times New Roman" w:eastAsia="Times New Roman" w:hint="default"/>
                <w:sz w:val="18"/>
                <w:szCs w:val="18"/>
              </w:rPr>
            </w:pPr>
            <w:r>
              <w:rPr>
                <w:rFonts w:ascii="Times New Roman"/>
                <w:spacing w:val="-1"/>
                <w:sz w:val="18"/>
              </w:rPr>
              <w:t>3,428,390.06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3,428,390.06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3,428,390.06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11,964,015.68</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pacing w:val="-1"/>
                <w:sz w:val="18"/>
              </w:rPr>
              <w:t>4,828,426.54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253"/>
        <w:jc w:val="left"/>
      </w:pPr>
      <w:r>
        <w:rPr/>
        <w:t>确定该组合依据的说明： 组合中，采用余额百分比法计提坏账准备的其他应收款：</w:t>
      </w:r>
    </w:p>
    <w:p>
      <w:pPr>
        <w:spacing w:after="0" w:line="360" w:lineRule="auto"/>
        <w:jc w:val="left"/>
        <w:sectPr>
          <w:type w:val="continuous"/>
          <w:pgSz w:w="11910" w:h="16840"/>
          <w:pgMar w:top="1100" w:bottom="12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5" w:footer="1017" w:top="1100" w:bottom="1200" w:left="1020" w:right="0"/>
        </w:sectPr>
      </w:pPr>
    </w:p>
    <w:p>
      <w:pPr>
        <w:pStyle w:val="BodyText"/>
        <w:spacing w:line="357" w:lineRule="auto" w:before="44"/>
        <w:ind w:right="2320"/>
        <w:jc w:val="left"/>
      </w:pPr>
      <w:r>
        <w:rPr/>
        <w:t>□ 适用 √ 不适用 组合中，采用其他方法计提坏账准备的其他应收款：</w:t>
      </w:r>
    </w:p>
    <w:p>
      <w:pPr>
        <w:pStyle w:val="BodyText"/>
        <w:spacing w:line="240" w:lineRule="auto" w:before="29"/>
        <w:ind w:right="1960"/>
        <w:jc w:val="left"/>
      </w:pPr>
      <w:r>
        <w:rPr/>
        <w:t>□ 适用 √ 不适用</w:t>
      </w:r>
    </w:p>
    <w:p>
      <w:pPr>
        <w:pStyle w:val="BodyText"/>
        <w:spacing w:line="240" w:lineRule="auto" w:before="117"/>
        <w:ind w:right="196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6"/>
        <w:jc w:val="left"/>
      </w:pPr>
      <w:r>
        <w:rPr/>
        <w:t>本期计提坏账准备金额</w:t>
      </w:r>
      <w:r>
        <w:rPr>
          <w:spacing w:val="-48"/>
        </w:rPr>
        <w:t> </w:t>
      </w:r>
      <w:r>
        <w:rPr>
          <w:rFonts w:ascii="Times New Roman" w:hAnsi="Times New Roman" w:cs="Times New Roman" w:eastAsia="Times New Roman" w:hint="default"/>
        </w:rPr>
        <w:t>547,221.93</w:t>
      </w:r>
      <w:r>
        <w:rPr>
          <w:rFonts w:ascii="Times New Roman" w:hAnsi="Times New Roman" w:cs="Times New Roman" w:eastAsia="Times New Roman" w:hint="default"/>
          <w:spacing w:val="-4"/>
        </w:rPr>
        <w:t> </w:t>
      </w:r>
      <w:r>
        <w:rPr/>
        <w:t>元；本期收回或转回坏账准备金额</w:t>
      </w:r>
      <w:r>
        <w:rPr>
          <w:spacing w:val="-48"/>
        </w:rPr>
        <w:t> </w:t>
      </w:r>
      <w:r>
        <w:rPr>
          <w:rFonts w:ascii="Times New Roman" w:hAnsi="Times New Roman" w:cs="Times New Roman" w:eastAsia="Times New Roman" w:hint="default"/>
        </w:rPr>
        <w:t>5,324.52</w:t>
      </w:r>
      <w:r>
        <w:rPr>
          <w:rFonts w:ascii="Times New Roman" w:hAnsi="Times New Roman" w:cs="Times New Roman" w:eastAsia="Times New Roman" w:hint="default"/>
          <w:spacing w:val="-4"/>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6593" w:space="2234"/>
            <w:col w:w="2063"/>
          </w:cols>
        </w:sectPr>
      </w:pP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7"/>
        <w:gridCol w:w="3101"/>
        <w:gridCol w:w="309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15" w:lineRule="exact"/>
        <w:ind w:left="10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8pt;mso-position-horizontal-relative:char;mso-position-vertical-relative:line" coordorigin="0,0" coordsize="9586,416">
            <v:group style="position:absolute;left:12;top:12;width:4978;height:399" coordorigin="12,12" coordsize="4978,399">
              <v:shape style="position:absolute;left:12;top:12;width:4978;height:399" coordorigin="12,12" coordsize="4978,399" path="m12,12l4990,12,4990,410,12,410,12,12xe" filled="true" fillcolor="#d3d3d3" stroked="false">
                <v:path arrowok="t"/>
                <v:fill type="solid"/>
              </v:shape>
            </v:group>
            <v:group style="position:absolute;left:4994;top:12;width:4580;height:399" coordorigin="4994,12" coordsize="4580,399">
              <v:shape style="position:absolute;left:4994;top:12;width:4580;height:399" coordorigin="4994,12" coordsize="4580,399" path="m4994,12l9574,12,9574,410,4994,410,4994,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0;width:9576;height:2" coordorigin="5,410" coordsize="9576,2">
              <v:shape style="position:absolute;left:5;top:410;width:9576;height:2" coordorigin="5,410" coordsize="9576,0" path="m5,410l9581,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4992;top:5;width:2;height:401" coordorigin="4992,5" coordsize="2,401">
              <v:shape style="position:absolute;left:4992;top:5;width:2;height:401" coordorigin="4992,5" coordsize="0,401" path="m4992,5l4992,406e" filled="false" stroked="true" strokeweight=".48pt" strokecolor="#000000">
                <v:path arrowok="t"/>
              </v:shape>
            </v:group>
            <v:group style="position:absolute;left:9576;top:5;width:2;height:401" coordorigin="9576,5" coordsize="2,401">
              <v:shape style="position:absolute;left:9576;top:5;width:2;height:401" coordorigin="9576,5" coordsize="0,401" path="m9576,5l9576,406e" filled="false" stroked="true" strokeweight=".48pt" strokecolor="#000000">
                <v:path arrowok="t"/>
              </v:shape>
              <v:shape style="position:absolute;left:231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2;top:10;width:4584;height:401" type="#_x0000_t202" filled="false" stroked="false">
                <v:textbox inset="0,0,0,0">
                  <w:txbxContent>
                    <w:p>
                      <w:pPr>
                        <w:spacing w:before="53"/>
                        <w:ind w:left="0" w:right="2"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其中重要的其他应收款核销情况：</w:t>
      </w:r>
    </w:p>
    <w:p>
      <w:pPr>
        <w:pStyle w:val="BodyText"/>
        <w:spacing w:line="240" w:lineRule="auto" w:before="117"/>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82"/>
        <w:gridCol w:w="1550"/>
        <w:gridCol w:w="1553"/>
        <w:gridCol w:w="1553"/>
        <w:gridCol w:w="1615"/>
        <w:gridCol w:w="1615"/>
      </w:tblGrid>
      <w:tr>
        <w:trPr>
          <w:trHeight w:val="715" w:hRule="exact"/>
        </w:trPr>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439" w:right="173"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9" w:lineRule="auto"/>
        <w:jc w:val="left"/>
        <w:rPr>
          <w:rFonts w:ascii="宋体" w:hAnsi="宋体" w:cs="宋体" w:eastAsia="宋体" w:hint="default"/>
          <w:sz w:val="18"/>
          <w:szCs w:val="18"/>
        </w:rPr>
        <w:sectPr>
          <w:type w:val="continuous"/>
          <w:pgSz w:w="11910" w:h="16840"/>
          <w:pgMar w:top="1100" w:bottom="1200" w:left="1020" w:right="0"/>
        </w:sectPr>
      </w:pPr>
    </w:p>
    <w:p>
      <w:pPr>
        <w:pStyle w:val="BodyText"/>
        <w:spacing w:line="240" w:lineRule="auto" w:before="49"/>
        <w:ind w:right="-5"/>
        <w:jc w:val="left"/>
      </w:pPr>
      <w:r>
        <w:rPr/>
        <w:t>其他应收款核销说明：</w:t>
      </w:r>
    </w:p>
    <w:p>
      <w:pPr>
        <w:pStyle w:val="BodyText"/>
        <w:spacing w:line="240" w:lineRule="auto" w:before="117"/>
        <w:ind w:right="-5"/>
        <w:jc w:val="left"/>
      </w:pPr>
      <w:r>
        <w:rPr>
          <w:rFonts w:ascii="Times New Roman" w:hAnsi="Times New Roman" w:cs="Times New Roman" w:eastAsia="Times New Roman" w:hint="default"/>
          <w:spacing w:val="-1"/>
        </w:rPr>
        <w:t>4)</w:t>
      </w:r>
      <w:r>
        <w:rPr>
          <w:spacing w:val="-1"/>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200" w:left="1020" w:right="0"/>
          <w:cols w:num="2" w:equalWidth="0">
            <w:col w:w="2782" w:space="6045"/>
            <w:col w:w="2063"/>
          </w:cols>
        </w:sectPr>
      </w:pP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7"/>
        <w:gridCol w:w="3101"/>
        <w:gridCol w:w="309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9,757,827.13</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9,970,810.13</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1,491,510.86</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pacing w:val="-1"/>
                <w:sz w:val="18"/>
              </w:rPr>
              <w:t>678,275.12</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714,677.69</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481,656.74</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11,964,015.68</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11,130,741.99</w:t>
            </w:r>
          </w:p>
        </w:tc>
      </w:tr>
    </w:tbl>
    <w:p>
      <w:pPr>
        <w:pStyle w:val="BodyText"/>
        <w:spacing w:line="240" w:lineRule="auto" w:before="49"/>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82"/>
        <w:gridCol w:w="1550"/>
        <w:gridCol w:w="1553"/>
        <w:gridCol w:w="1553"/>
        <w:gridCol w:w="1615"/>
        <w:gridCol w:w="1615"/>
      </w:tblGrid>
      <w:tr>
        <w:trPr>
          <w:trHeight w:val="1027" w:hRule="exact"/>
        </w:trPr>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9"/>
              <w:jc w:val="righ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173"/>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0" w:right="173"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777,600.00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777,600.00</w:t>
            </w:r>
          </w:p>
        </w:tc>
      </w:tr>
      <w:tr>
        <w:trPr>
          <w:trHeight w:val="40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3" w:hRule="exact"/>
        </w:trPr>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5,127,600.00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1,992,600.00</w:t>
            </w:r>
          </w:p>
        </w:tc>
      </w:tr>
    </w:tbl>
    <w:p>
      <w:pPr>
        <w:pStyle w:val="BodyText"/>
        <w:spacing w:line="240" w:lineRule="auto" w:before="49"/>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2"/>
        <w:jc w:val="right"/>
      </w:pPr>
      <w:r>
        <w:rPr/>
        <w:t>单位：</w:t>
      </w:r>
      <w:r>
        <w:rPr>
          <w:spacing w:val="1"/>
        </w:rPr>
        <w:t> </w:t>
      </w:r>
      <w:r>
        <w:rPr/>
        <w:t>元</w:t>
      </w:r>
    </w:p>
    <w:p>
      <w:pPr>
        <w:spacing w:after="0" w:line="240" w:lineRule="auto"/>
        <w:jc w:val="right"/>
        <w:sectPr>
          <w:type w:val="continuous"/>
          <w:pgSz w:w="11910" w:h="16840"/>
          <w:pgMar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2023"/>
        <w:gridCol w:w="1867"/>
        <w:gridCol w:w="1867"/>
        <w:gridCol w:w="1867"/>
        <w:gridCol w:w="1944"/>
      </w:tblGrid>
      <w:tr>
        <w:trPr>
          <w:trHeight w:val="715" w:hRule="exact"/>
        </w:trPr>
        <w:tc>
          <w:tcPr>
            <w:tcW w:w="20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6" w:right="103" w:hanging="596"/>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pStyle w:val="BodyText"/>
        <w:spacing w:line="240" w:lineRule="auto" w:before="49"/>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3"/>
        <w:jc w:val="left"/>
      </w:pPr>
      <w:r>
        <w:rPr>
          <w:rFonts w:ascii="Times New Roman" w:hAnsi="Times New Roman" w:cs="Times New Roman" w:eastAsia="Times New Roman" w:hint="default"/>
        </w:rPr>
        <w:t>8)</w:t>
      </w:r>
      <w:r>
        <w:rPr/>
        <w:t>转移其他应收款且继续涉入形成的资产、负债金额 其他说明：</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68"/>
        <w:gridCol w:w="1368"/>
        <w:gridCol w:w="1366"/>
        <w:gridCol w:w="1368"/>
        <w:gridCol w:w="1366"/>
        <w:gridCol w:w="1368"/>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502,713,985.40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11,137,414.67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491,576,570.73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244,508,405.40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11,137,414.67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233,370,990.73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75"/>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209,435,048.81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209,435,048.81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202,599,736.97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202,599,736.97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712,149,034.21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11,137,414.67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701,011,619.54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447,108,142.37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center"/>
              <w:rPr>
                <w:rFonts w:ascii="Times New Roman" w:hAnsi="Times New Roman" w:cs="Times New Roman" w:eastAsia="Times New Roman" w:hint="default"/>
                <w:sz w:val="18"/>
                <w:szCs w:val="18"/>
              </w:rPr>
            </w:pPr>
            <w:r>
              <w:rPr>
                <w:rFonts w:ascii="Times New Roman"/>
                <w:sz w:val="18"/>
              </w:rPr>
              <w:t>11,137,414.67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435,970,727.70</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45"/>
        <w:gridCol w:w="1337"/>
        <w:gridCol w:w="1334"/>
        <w:gridCol w:w="1337"/>
        <w:gridCol w:w="1334"/>
        <w:gridCol w:w="1390"/>
        <w:gridCol w:w="1387"/>
      </w:tblGrid>
      <w:tr>
        <w:trPr>
          <w:trHeight w:val="715" w:hRule="exact"/>
        </w:trPr>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8" w:right="149"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06"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02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0" w:right="252"/>
              <w:jc w:val="both"/>
              <w:rPr>
                <w:rFonts w:ascii="宋体" w:hAnsi="宋体" w:cs="宋体" w:eastAsia="宋体" w:hint="default"/>
                <w:sz w:val="18"/>
                <w:szCs w:val="18"/>
              </w:rPr>
            </w:pPr>
            <w:r>
              <w:rPr>
                <w:rFonts w:ascii="宋体" w:hAnsi="宋体" w:cs="宋体" w:eastAsia="宋体" w:hint="default"/>
                <w:sz w:val="18"/>
                <w:szCs w:val="18"/>
              </w:rPr>
              <w:t>江苏恒宝智能 系统技术有限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18,747,405.40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259,747,405.4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252"/>
              <w:jc w:val="both"/>
              <w:rPr>
                <w:rFonts w:ascii="宋体" w:hAnsi="宋体" w:cs="宋体" w:eastAsia="宋体" w:hint="default"/>
                <w:sz w:val="18"/>
                <w:szCs w:val="18"/>
              </w:rPr>
            </w:pPr>
            <w:r>
              <w:rPr>
                <w:rFonts w:ascii="宋体" w:hAnsi="宋体" w:cs="宋体" w:eastAsia="宋体" w:hint="default"/>
                <w:sz w:val="18"/>
                <w:szCs w:val="18"/>
              </w:rPr>
              <w:t>北京东方英卡 数字信息技术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71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0" w:right="252"/>
              <w:jc w:val="left"/>
              <w:rPr>
                <w:rFonts w:ascii="宋体" w:hAnsi="宋体" w:cs="宋体" w:eastAsia="宋体" w:hint="default"/>
                <w:sz w:val="18"/>
                <w:szCs w:val="18"/>
              </w:rPr>
            </w:pPr>
            <w:r>
              <w:rPr>
                <w:rFonts w:ascii="宋体" w:hAnsi="宋体" w:cs="宋体" w:eastAsia="宋体" w:hint="default"/>
                <w:sz w:val="18"/>
                <w:szCs w:val="18"/>
              </w:rPr>
              <w:t>恒宝国际有限 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15,271,960.00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30,271,960.00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252"/>
              <w:jc w:val="both"/>
              <w:rPr>
                <w:rFonts w:ascii="宋体" w:hAnsi="宋体" w:cs="宋体" w:eastAsia="宋体" w:hint="default"/>
                <w:sz w:val="18"/>
                <w:szCs w:val="18"/>
              </w:rPr>
            </w:pPr>
            <w:r>
              <w:rPr>
                <w:rFonts w:ascii="宋体" w:hAnsi="宋体" w:cs="宋体" w:eastAsia="宋体" w:hint="default"/>
                <w:sz w:val="18"/>
                <w:szCs w:val="18"/>
              </w:rPr>
              <w:t>深圳一卡易科 技股份有限公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165,801,000.0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165,801,000.0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0" w:right="101"/>
              <w:jc w:val="left"/>
              <w:rPr>
                <w:rFonts w:ascii="宋体" w:hAnsi="宋体" w:cs="宋体" w:eastAsia="宋体" w:hint="default"/>
                <w:sz w:val="18"/>
                <w:szCs w:val="18"/>
              </w:rPr>
            </w:pPr>
            <w:r>
              <w:rPr>
                <w:rFonts w:ascii="宋体" w:hAnsi="宋体" w:cs="宋体" w:eastAsia="宋体" w:hint="default"/>
                <w:sz w:val="18"/>
                <w:szCs w:val="18"/>
              </w:rPr>
              <w:t>云宝金服（北 </w:t>
            </w:r>
            <w:r>
              <w:rPr>
                <w:rFonts w:ascii="宋体" w:hAnsi="宋体" w:cs="宋体" w:eastAsia="宋体" w:hint="default"/>
                <w:spacing w:val="-5"/>
                <w:sz w:val="18"/>
                <w:szCs w:val="18"/>
              </w:rPr>
              <w:t>京）科技有限公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18,960,000.00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900,000.00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19,860,000.00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01"/>
              <w:jc w:val="left"/>
              <w:rPr>
                <w:rFonts w:ascii="宋体" w:hAnsi="宋体" w:cs="宋体" w:eastAsia="宋体" w:hint="default"/>
                <w:sz w:val="18"/>
                <w:szCs w:val="18"/>
              </w:rPr>
            </w:pPr>
            <w:r>
              <w:rPr>
                <w:rFonts w:ascii="宋体" w:hAnsi="宋体" w:cs="宋体" w:eastAsia="宋体" w:hint="default"/>
                <w:sz w:val="18"/>
                <w:szCs w:val="18"/>
              </w:rPr>
              <w:t>恒宝（中东非 </w:t>
            </w:r>
            <w:r>
              <w:rPr>
                <w:rFonts w:ascii="宋体" w:hAnsi="宋体" w:cs="宋体" w:eastAsia="宋体" w:hint="default"/>
                <w:spacing w:val="-5"/>
                <w:sz w:val="18"/>
                <w:szCs w:val="18"/>
              </w:rPr>
              <w:t>洲）有限责任公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1,033,620.00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1,033,620.00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244,508,405.4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258,205,580.0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502,713,985.4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11,137,414.67</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11"/>
        <w:rPr>
          <w:rFonts w:ascii="宋体" w:hAnsi="宋体" w:cs="宋体" w:eastAsia="宋体" w:hint="default"/>
          <w:sz w:val="21"/>
          <w:szCs w:val="21"/>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794"/>
        <w:gridCol w:w="797"/>
        <w:gridCol w:w="797"/>
        <w:gridCol w:w="799"/>
        <w:gridCol w:w="797"/>
        <w:gridCol w:w="799"/>
        <w:gridCol w:w="797"/>
        <w:gridCol w:w="799"/>
        <w:gridCol w:w="797"/>
        <w:gridCol w:w="799"/>
        <w:gridCol w:w="797"/>
        <w:gridCol w:w="799"/>
      </w:tblGrid>
      <w:tr>
        <w:trPr>
          <w:trHeight w:val="401"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339"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300" w:right="122"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04"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2" w:right="122"/>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4"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8"/>
              <w:ind w:left="124"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5"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上海恒</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r>
      <w:tr>
        <w:trPr>
          <w:trHeight w:val="940"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142"/>
              <w:jc w:val="left"/>
              <w:rPr>
                <w:rFonts w:ascii="宋体" w:hAnsi="宋体" w:cs="宋体" w:eastAsia="宋体" w:hint="default"/>
                <w:sz w:val="18"/>
                <w:szCs w:val="18"/>
              </w:rPr>
            </w:pPr>
            <w:r>
              <w:rPr>
                <w:rFonts w:ascii="宋体" w:hAnsi="宋体" w:cs="宋体" w:eastAsia="宋体" w:hint="default"/>
                <w:sz w:val="18"/>
                <w:szCs w:val="18"/>
              </w:rPr>
              <w:t>毓投资 中心</w:t>
            </w:r>
          </w:p>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202,59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9,736.9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6,835,3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11.84</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209,43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5,048.8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99" w:type="dxa"/>
            <w:vMerge/>
            <w:tcBorders>
              <w:left w:val="single" w:sz="4" w:space="0" w:color="000000"/>
              <w:right w:val="single" w:sz="4" w:space="0" w:color="000000"/>
            </w:tcBorders>
          </w:tcPr>
          <w:p>
            <w:pPr/>
          </w:p>
        </w:tc>
      </w:tr>
      <w:tr>
        <w:trPr>
          <w:trHeight w:val="354"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r>
      <w:tr>
        <w:trPr>
          <w:trHeight w:val="1027"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9,736.9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6,835,3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11.84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209,43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5,048.8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202,59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9,736.9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6,835,3</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11.84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209,43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5,048.8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92"/>
        <w:gridCol w:w="1838"/>
        <w:gridCol w:w="1913"/>
        <w:gridCol w:w="1913"/>
        <w:gridCol w:w="1913"/>
      </w:tblGrid>
      <w:tr>
        <w:trPr>
          <w:trHeight w:val="402" w:hRule="exact"/>
        </w:trPr>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2" w:type="dxa"/>
            <w:vMerge/>
            <w:tcBorders>
              <w:left w:val="single" w:sz="4" w:space="0" w:color="000000"/>
              <w:bottom w:val="single" w:sz="4" w:space="0" w:color="000000"/>
              <w:right w:val="single" w:sz="4" w:space="0" w:color="000000"/>
            </w:tcBorders>
            <w:shd w:val="clear" w:color="auto" w:fill="D3D3D3"/>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1,554,480,627.01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1,269,537,122.39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1,312,642,718.44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975,109,045.18</w:t>
            </w:r>
          </w:p>
        </w:tc>
      </w:tr>
      <w:tr>
        <w:trPr>
          <w:trHeight w:val="401"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10,187,561.02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5,835,824.46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6,203,820.62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3,429,412.54</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1,564,668,188.03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1,275,372,946.85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1,318,846,539.06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978,538,457.72</w:t>
            </w:r>
          </w:p>
        </w:tc>
      </w:tr>
    </w:tbl>
    <w:p>
      <w:pPr>
        <w:pStyle w:val="BodyText"/>
        <w:spacing w:line="240" w:lineRule="auto" w:before="46"/>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24"/>
        <w:gridCol w:w="3058"/>
        <w:gridCol w:w="3187"/>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6" w:right="0"/>
              <w:jc w:val="left"/>
              <w:rPr>
                <w:rFonts w:ascii="Times New Roman" w:hAnsi="Times New Roman" w:cs="Times New Roman" w:eastAsia="Times New Roman" w:hint="default"/>
                <w:sz w:val="18"/>
                <w:szCs w:val="18"/>
              </w:rPr>
            </w:pPr>
            <w:r>
              <w:rPr>
                <w:rFonts w:ascii="Times New Roman"/>
                <w:sz w:val="18"/>
              </w:rPr>
              <w:t>6,835,311.84</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2,653,195.37</w:t>
            </w:r>
          </w:p>
        </w:tc>
      </w:tr>
      <w:tr>
        <w:trPr>
          <w:trHeight w:val="398"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-10,750.26</w:t>
            </w:r>
          </w:p>
        </w:tc>
      </w:tr>
    </w:tbl>
    <w:p>
      <w:pPr>
        <w:spacing w:after="0" w:line="240" w:lineRule="auto"/>
        <w:jc w:val="right"/>
        <w:rPr>
          <w:rFonts w:ascii="Times New Roman" w:hAnsi="Times New Roman" w:cs="Times New Roman" w:eastAsia="Times New Roman"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3324"/>
        <w:gridCol w:w="3058"/>
        <w:gridCol w:w="3187"/>
      </w:tblGrid>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17,179.89</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16,777.24</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1,824,458.02</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8,676,949.75</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2,659,222.35</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4"/>
        <w:ind w:left="0" w:right="113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24"/>
        <w:gridCol w:w="3058"/>
        <w:gridCol w:w="3187"/>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52,214,754.01</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7"/>
              <w:ind w:left="103" w:right="133"/>
              <w:jc w:val="both"/>
              <w:rPr>
                <w:rFonts w:ascii="宋体" w:hAnsi="宋体" w:cs="宋体" w:eastAsia="宋体" w:hint="default"/>
                <w:sz w:val="18"/>
                <w:szCs w:val="18"/>
              </w:rPr>
            </w:pPr>
            <w:r>
              <w:rPr>
                <w:rFonts w:ascii="宋体" w:hAnsi="宋体" w:cs="宋体" w:eastAsia="宋体" w:hint="default"/>
                <w:sz w:val="18"/>
                <w:szCs w:val="18"/>
              </w:rPr>
              <w:t>主要是由于报告期公司出售了北京市 西城区月坛北街 </w:t>
            </w:r>
            <w:r>
              <w:rPr>
                <w:rFonts w:ascii="Times New Roman" w:hAnsi="Times New Roman" w:cs="Times New Roman" w:eastAsia="Times New Roman" w:hint="default"/>
                <w:sz w:val="18"/>
                <w:szCs w:val="18"/>
              </w:rPr>
              <w:t>2 </w:t>
            </w:r>
            <w:r>
              <w:rPr>
                <w:rFonts w:ascii="宋体" w:hAnsi="宋体" w:cs="宋体" w:eastAsia="宋体" w:hint="default"/>
                <w:sz w:val="18"/>
                <w:szCs w:val="18"/>
              </w:rPr>
              <w:t>号 </w:t>
            </w:r>
            <w:r>
              <w:rPr>
                <w:rFonts w:ascii="Times New Roman" w:hAnsi="Times New Roman" w:cs="Times New Roman" w:eastAsia="Times New Roman" w:hint="default"/>
                <w:sz w:val="18"/>
                <w:szCs w:val="18"/>
              </w:rPr>
              <w:t>1 </w:t>
            </w:r>
            <w:r>
              <w:rPr>
                <w:rFonts w:ascii="宋体" w:hAnsi="宋体" w:cs="宋体" w:eastAsia="宋体" w:hint="default"/>
                <w:sz w:val="18"/>
                <w:szCs w:val="18"/>
              </w:rPr>
              <w:t>幢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房产产生处置收益所致。</w:t>
            </w:r>
          </w:p>
        </w:tc>
      </w:tr>
      <w:tr>
        <w:trPr>
          <w:trHeight w:val="1027"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4,089,727.52</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100"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6,218,101.06</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15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17,179.89</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6"/>
              <w:ind w:left="100" w:right="15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-578,687.38</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6,298,897.23</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460"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2,282,946.90</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53,379,230.97</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46"/>
        <w:ind w:right="1132"/>
        <w:jc w:val="both"/>
      </w:pPr>
      <w:r>
        <w:rPr>
          <w:spacing w:val="-3"/>
        </w:rPr>
        <w:t>对公司根据《公开发行证券的公司信息披露解释性公告第</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r>
        <w:rPr/>
        <w:t> 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both"/>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6"/>
          <w:szCs w:val="26"/>
        </w:rPr>
      </w:pPr>
    </w:p>
    <w:tbl>
      <w:tblPr>
        <w:tblW w:w="0" w:type="auto"/>
        <w:jc w:val="left"/>
        <w:tblInd w:w="110" w:type="dxa"/>
        <w:tblLayout w:type="fixed"/>
        <w:tblCellMar>
          <w:top w:w="0" w:type="dxa"/>
          <w:left w:w="0" w:type="dxa"/>
          <w:bottom w:w="0" w:type="dxa"/>
          <w:right w:w="0" w:type="dxa"/>
        </w:tblCellMar>
        <w:tblLook w:val="01E0"/>
      </w:tblPr>
      <w:tblGrid>
        <w:gridCol w:w="2662"/>
        <w:gridCol w:w="3079"/>
        <w:gridCol w:w="3826"/>
      </w:tblGrid>
      <w:tr>
        <w:trPr>
          <w:trHeight w:val="398"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905" w:footer="1017" w:top="1100" w:bottom="1200" w:left="1020" w:right="0"/>
        </w:sectPr>
      </w:pPr>
    </w:p>
    <w:p>
      <w:pPr>
        <w:spacing w:line="240" w:lineRule="auto" w:before="7"/>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2662"/>
        <w:gridCol w:w="3079"/>
        <w:gridCol w:w="1913"/>
        <w:gridCol w:w="1913"/>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209"/>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0.205</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00" w:right="209"/>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0.130</w:t>
            </w:r>
          </w:p>
        </w:tc>
      </w:tr>
    </w:tbl>
    <w:p>
      <w:pPr>
        <w:spacing w:line="240" w:lineRule="auto" w:before="2"/>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7"/>
          <w:w w:val="95"/>
        </w:rPr>
        <w:t> </w:t>
      </w:r>
      <w:r>
        <w:rPr>
          <w:spacing w:val="97"/>
          <w:w w:val="9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footerReference w:type="default" r:id="rId35"/>
          <w:pgSz w:w="11910" w:h="16840"/>
          <w:pgMar w:footer="1017" w:header="905" w:top="1100" w:bottom="1200" w:left="1020" w:right="0"/>
          <w:pgNumType w:start="17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1"/>
        <w:spacing w:line="240" w:lineRule="auto"/>
        <w:ind w:left="3247" w:right="0"/>
        <w:jc w:val="left"/>
        <w:rPr>
          <w:b w:val="0"/>
          <w:bCs w:val="0"/>
        </w:rPr>
      </w:pPr>
      <w:bookmarkStart w:name="_TOC_250000" w:id="12"/>
      <w:r>
        <w:rPr/>
        <w:t>第十二节</w:t>
      </w:r>
      <w:r>
        <w:rPr>
          <w:spacing w:val="-7"/>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3733"/>
        <w:jc w:val="left"/>
      </w:pPr>
      <w:r>
        <w:rPr/>
        <w:t>一、载有法定代表人、财务负责人、会计机构负责人签名并盖章的会计报表。 二、载有会计师事务所盖章、注册会计师签名并盖章的审计报告原件。 三、报告期内在中国证监会指定报纸上公开披露过的所有公司文件的正本及公告的原稿。 四、载有董事长签名的</w:t>
      </w:r>
      <w:r>
        <w:rPr>
          <w:rFonts w:ascii="Times New Roman" w:hAnsi="Times New Roman" w:cs="Times New Roman" w:eastAsia="Times New Roman" w:hint="default"/>
        </w:rPr>
        <w:t>2018</w:t>
      </w:r>
      <w:r>
        <w:rPr/>
        <w:t>年年度报告文本原件。 五、以上备查文件的备置地点：公司证券事务部。</w:t>
      </w:r>
    </w:p>
    <w:sectPr>
      <w:pgSz w:w="11910" w:h="16840"/>
      <w:pgMar w:header="905" w:footer="1017"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3368" type="#_x0000_t75" stroked="false">
          <v:imagedata r:id="rId1" o:title=""/>
        </v:shape>
      </w:pict>
    </w:r>
    <w:r>
      <w:rPr/>
      <w:pict>
        <v:shape style="position:absolute;margin-left:294.316986pt;margin-top:793.597717pt;width:6.5pt;height:11pt;mso-position-horizontal-relative:page;mso-position-vertical-relative:page;z-index:-9533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864" type="#_x0000_t75" stroked="false">
          <v:imagedata r:id="rId1" o:title=""/>
        </v:shape>
      </w:pict>
    </w:r>
    <w:r>
      <w:rPr/>
      <w:pict>
        <v:shape style="position:absolute;margin-left:291.040009pt;margin-top:780.034729pt;width:13.1pt;height:11pt;mso-position-horizontal-relative:page;mso-position-vertical-relative:page;z-index:-952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816" type="#_x0000_t75" stroked="false">
          <v:imagedata r:id="rId1" o:title=""/>
        </v:shape>
      </w:pict>
    </w:r>
    <w:r>
      <w:rPr/>
      <w:pict>
        <v:shape style="position:absolute;margin-left:291.040009pt;margin-top:780.034729pt;width:13.1pt;height:11pt;mso-position-horizontal-relative:page;mso-position-vertical-relative:page;z-index:-952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768" type="#_x0000_t75" stroked="false">
          <v:imagedata r:id="rId1" o:title=""/>
        </v:shape>
      </w:pict>
    </w:r>
    <w:r>
      <w:rPr/>
      <w:pict>
        <v:shape style="position:absolute;margin-left:288.880005pt;margin-top:780.034729pt;width:17.5pt;height:11pt;mso-position-horizontal-relative:page;mso-position-vertical-relative:page;z-index:-952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720" type="#_x0000_t75" stroked="false">
          <v:imagedata r:id="rId1" o:title=""/>
        </v:shape>
      </w:pict>
    </w:r>
    <w:r>
      <w:rPr/>
      <w:pict>
        <v:shape style="position:absolute;margin-left:288.997009pt;margin-top:780.034729pt;width:17.3pt;height:11pt;mso-position-horizontal-relative:page;mso-position-vertical-relative:page;z-index:-952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672" type="#_x0000_t75" stroked="false">
          <v:imagedata r:id="rId1" o:title=""/>
        </v:shape>
      </w:pict>
    </w:r>
    <w:r>
      <w:rPr/>
      <w:pict>
        <v:shape style="position:absolute;margin-left:288.880005pt;margin-top:780.034729pt;width:17.5pt;height:11pt;mso-position-horizontal-relative:page;mso-position-vertical-relative:page;z-index:-952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624" type="#_x0000_t75" stroked="false">
          <v:imagedata r:id="rId1" o:title=""/>
        </v:shape>
      </w:pict>
    </w:r>
    <w:r>
      <w:rPr/>
      <w:pict>
        <v:shape style="position:absolute;margin-left:288.880005pt;margin-top:780.034729pt;width:17.5pt;height:11pt;mso-position-horizontal-relative:page;mso-position-vertical-relative:page;z-index:-952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576" type="#_x0000_t75" stroked="false">
          <v:imagedata r:id="rId1" o:title=""/>
        </v:shape>
      </w:pict>
    </w:r>
    <w:r>
      <w:rPr/>
      <w:pict>
        <v:shape style="position:absolute;margin-left:288.880005pt;margin-top:780.034729pt;width:17.5pt;height:11pt;mso-position-horizontal-relative:page;mso-position-vertical-relative:page;z-index:-952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528" type="#_x0000_t75" stroked="false">
          <v:imagedata r:id="rId1" o:title=""/>
        </v:shape>
      </w:pict>
    </w:r>
    <w:r>
      <w:rPr/>
      <w:pict>
        <v:shape style="position:absolute;margin-left:288.880005pt;margin-top:780.034729pt;width:17.5pt;height:11pt;mso-position-horizontal-relative:page;mso-position-vertical-relative:page;z-index:-952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456" type="#_x0000_t75" stroked="false">
          <v:imagedata r:id="rId1" o:title=""/>
        </v:shape>
      </w:pict>
    </w:r>
    <w:r>
      <w:rPr/>
      <w:pict>
        <v:shape style="position:absolute;margin-left:288.880005pt;margin-top:780.034729pt;width:17.5pt;height:11pt;mso-position-horizontal-relative:page;mso-position-vertical-relative:page;z-index:-952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408" type="#_x0000_t75" stroked="false">
          <v:imagedata r:id="rId1" o:title=""/>
        </v:shape>
      </w:pict>
    </w:r>
    <w:r>
      <w:rPr/>
      <w:pict>
        <v:shape style="position:absolute;margin-left:288.880005pt;margin-top:780.034729pt;width:17.5pt;height:11pt;mso-position-horizontal-relative:page;mso-position-vertical-relative:page;z-index:-952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3320" type="#_x0000_t75" stroked="false">
          <v:imagedata r:id="rId1" o:title=""/>
        </v:shape>
      </w:pict>
    </w:r>
    <w:r>
      <w:rPr/>
      <w:pict>
        <v:shape style="position:absolute;margin-left:293.316986pt;margin-top:780.034729pt;width:8.5pt;height:11pt;mso-position-horizontal-relative:page;mso-position-vertical-relative:page;z-index:-953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3224" type="#_x0000_t75" stroked="false">
          <v:imagedata r:id="rId1" o:title=""/>
        </v:shape>
      </w:pict>
    </w:r>
    <w:r>
      <w:rPr/>
      <w:pict>
        <v:shape style="position:absolute;margin-left:291.040009pt;margin-top:780.034729pt;width:13.1pt;height:11pt;mso-position-horizontal-relative:page;mso-position-vertical-relative:page;z-index:-953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3176" type="#_x0000_t75" stroked="false">
          <v:imagedata r:id="rId1" o:title=""/>
        </v:shape>
      </w:pict>
    </w:r>
    <w:r>
      <w:rPr/>
      <w:pict>
        <v:shape style="position:absolute;margin-left:291.040009pt;margin-top:780.034729pt;width:13.1pt;height:11pt;mso-position-horizontal-relative:page;mso-position-vertical-relative:page;z-index:-953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3128" type="#_x0000_t75" stroked="false">
          <v:imagedata r:id="rId1" o:title=""/>
        </v:shape>
      </w:pict>
    </w:r>
    <w:r>
      <w:rPr/>
      <w:pict>
        <v:shape style="position:absolute;margin-left:291.040009pt;margin-top:780.034729pt;width:13.1pt;height:11pt;mso-position-horizontal-relative:page;mso-position-vertical-relative:page;z-index:-953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3056" type="#_x0000_t75" stroked="false">
          <v:imagedata r:id="rId1" o:title=""/>
        </v:shape>
      </w:pict>
    </w:r>
    <w:r>
      <w:rPr/>
      <w:pict>
        <v:shape style="position:absolute;margin-left:291.040009pt;margin-top:780.034729pt;width:13.1pt;height:11pt;mso-position-horizontal-relative:page;mso-position-vertical-relative:page;z-index:-953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3008" type="#_x0000_t75" stroked="false">
          <v:imagedata r:id="rId1" o:title=""/>
        </v:shape>
      </w:pict>
    </w:r>
    <w:r>
      <w:rPr/>
      <w:pict>
        <v:shape style="position:absolute;margin-left:291.040009pt;margin-top:780.034729pt;width:13.1pt;height:11pt;mso-position-horizontal-relative:page;mso-position-vertical-relative:page;z-index:-952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960" type="#_x0000_t75" stroked="false">
          <v:imagedata r:id="rId1" o:title=""/>
        </v:shape>
      </w:pict>
    </w:r>
    <w:r>
      <w:rPr/>
      <w:pict>
        <v:shape style="position:absolute;margin-left:291.040009pt;margin-top:780.034729pt;width:13.1pt;height:11pt;mso-position-horizontal-relative:page;mso-position-vertical-relative:page;z-index:-952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7117pt;margin-top:806.691345pt;width:59.491561pt;height:26.793909pt;mso-position-horizontal-relative:page;mso-position-vertical-relative:page;z-index:-952912" type="#_x0000_t75" stroked="false">
          <v:imagedata r:id="rId1" o:title=""/>
        </v:shape>
      </w:pict>
    </w:r>
    <w:r>
      <w:rPr/>
      <w:pict>
        <v:shape style="position:absolute;margin-left:291.040009pt;margin-top:780.034729pt;width:13.1pt;height:11pt;mso-position-horizontal-relative:page;mso-position-vertical-relative:page;z-index:-952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7001pt;margin-top:38.302395pt;width:159.6pt;height:11.5pt;mso-position-horizontal-relative:page;mso-position-vertical-relative:page;z-index:-953392" type="#_x0000_t202" filled="false" stroked="false">
          <v:textbox inset="0,0,0,0">
            <w:txbxContent>
              <w:p>
                <w:pPr>
                  <w:pStyle w:val="BodyText"/>
                  <w:spacing w:line="214" w:lineRule="exact"/>
                  <w:ind w:left="20" w:right="0"/>
                  <w:jc w:val="left"/>
                </w:pPr>
                <w:r>
                  <w:rPr/>
                  <w:t>恒宝股份有限公司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7001pt;margin-top:44.908394pt;width:159.6pt;height:11.4pt;mso-position-horizontal-relative:page;mso-position-vertical-relative:page;z-index:-953272" type="#_x0000_t202" filled="false" stroked="false">
          <v:textbox inset="0,0,0,0">
            <w:txbxContent>
              <w:p>
                <w:pPr>
                  <w:pStyle w:val="BodyText"/>
                  <w:spacing w:line="214" w:lineRule="exact"/>
                  <w:ind w:left="20" w:right="0"/>
                  <w:jc w:val="left"/>
                </w:pPr>
                <w:r>
                  <w:rPr/>
                  <w:t>恒宝股份有限公司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7001pt;margin-top:44.908394pt;width:159.6pt;height:11.4pt;mso-position-horizontal-relative:page;mso-position-vertical-relative:page;z-index:-953248" type="#_x0000_t202" filled="false" stroked="false">
          <v:textbox inset="0,0,0,0">
            <w:txbxContent>
              <w:p>
                <w:pPr>
                  <w:pStyle w:val="BodyText"/>
                  <w:spacing w:line="214" w:lineRule="exact"/>
                  <w:ind w:left="20" w:right="0"/>
                  <w:jc w:val="left"/>
                </w:pPr>
                <w:r>
                  <w:rPr/>
                  <w:t>恒宝股份有限公司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7001pt;margin-top:44.908394pt;width:159.6pt;height:11.4pt;mso-position-horizontal-relative:page;mso-position-vertical-relative:page;z-index:-953080" type="#_x0000_t202" filled="false" stroked="false">
          <v:textbox inset="0,0,0,0">
            <w:txbxContent>
              <w:p>
                <w:pPr>
                  <w:pStyle w:val="BodyText"/>
                  <w:spacing w:line="214" w:lineRule="exact"/>
                  <w:ind w:left="20" w:right="0"/>
                  <w:jc w:val="left"/>
                </w:pPr>
                <w:r>
                  <w:rPr/>
                  <w:t>恒宝股份有限公司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7001pt;margin-top:44.908394pt;width:159.6pt;height:11.4pt;mso-position-horizontal-relative:page;mso-position-vertical-relative:page;z-index:-952480" type="#_x0000_t202" filled="false" stroked="false">
          <v:textbox inset="0,0,0,0">
            <w:txbxContent>
              <w:p>
                <w:pPr>
                  <w:pStyle w:val="BodyText"/>
                  <w:spacing w:line="214" w:lineRule="exact"/>
                  <w:ind w:left="20" w:right="0"/>
                  <w:jc w:val="left"/>
                </w:pPr>
                <w:r>
                  <w:rPr/>
                  <w:t>恒宝股份有限公司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925"/>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47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hengbao.com/" TargetMode="External"/><Relationship Id="rId11" Type="http://schemas.openxmlformats.org/officeDocument/2006/relationships/hyperlink" Target="mailto:hengbao@hengbao.com" TargetMode="External"/><Relationship Id="rId12" Type="http://schemas.openxmlformats.org/officeDocument/2006/relationships/hyperlink" Target="mailto:ir@hengbao.com"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image" Target="media/image3.png"/><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4.png"/><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header" Target="header5.xml"/><Relationship Id="rId34" Type="http://schemas.openxmlformats.org/officeDocument/2006/relationships/footer" Target="footer18.xml"/><Relationship Id="rId35" Type="http://schemas.openxmlformats.org/officeDocument/2006/relationships/footer" Target="footer1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2020-05-05T02:16:24Z</dcterms:created>
  <dcterms:modified xsi:type="dcterms:W3CDTF">2020-05-05T02:16:24Z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LastSaved">
    <vt:filetime>2020-05-04T00:00:00Z</vt:filetime>
  </property>
</Properties>
</file>